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4CA" w:rsidRDefault="007544CA" w:rsidP="00E94341">
      <w:pPr>
        <w:pStyle w:val="Heading1"/>
      </w:pPr>
      <w:bookmarkStart w:id="0" w:name="ChapterNumber"/>
      <w:r>
        <w:t>1</w:t>
      </w:r>
      <w:bookmarkEnd w:id="0"/>
      <w:r>
        <w:tab/>
      </w:r>
      <w:bookmarkStart w:id="1" w:name="ChapterTitle"/>
      <w:r>
        <w:t>Key results and their interpretation</w:t>
      </w:r>
      <w:bookmarkEnd w:id="1"/>
    </w:p>
    <w:bookmarkStart w:id="2" w:name="begin"/>
    <w:bookmarkEnd w:id="2"/>
    <w:p w:rsidR="007544CA" w:rsidRDefault="007544CA" w:rsidP="00133508">
      <w:pPr>
        <w:pStyle w:val="Heading2"/>
      </w:pPr>
      <w:r>
        <w:fldChar w:fldCharType="begin" w:fldLock="1"/>
      </w:r>
      <w:r>
        <w:instrText xml:space="preserve"> COMMENTS  \* MERGEFORMAT </w:instrText>
      </w:r>
      <w:r>
        <w:fldChar w:fldCharType="separate"/>
      </w:r>
      <w:r>
        <w:t>1.</w:t>
      </w:r>
      <w:r>
        <w:fldChar w:fldCharType="end"/>
      </w:r>
      <w:r w:rsidR="00366344">
        <w:fldChar w:fldCharType="begin" w:fldLock="1"/>
      </w:r>
      <w:r w:rsidR="00366344">
        <w:instrText xml:space="preserve"> SEQ Heading2 </w:instrText>
      </w:r>
      <w:r w:rsidR="00366344">
        <w:fldChar w:fldCharType="separate"/>
      </w:r>
      <w:r>
        <w:rPr>
          <w:noProof/>
        </w:rPr>
        <w:t>1</w:t>
      </w:r>
      <w:r w:rsidR="00366344">
        <w:rPr>
          <w:noProof/>
        </w:rPr>
        <w:fldChar w:fldCharType="end"/>
      </w:r>
      <w:r>
        <w:tab/>
        <w:t>What is industry assistance?</w:t>
      </w:r>
    </w:p>
    <w:p w:rsidR="007544CA" w:rsidRDefault="007544CA" w:rsidP="00133508">
      <w:pPr>
        <w:pStyle w:val="BodyText"/>
      </w:pPr>
      <w:r>
        <w:t xml:space="preserve">The </w:t>
      </w:r>
      <w:r w:rsidRPr="00B41EA6">
        <w:rPr>
          <w:i/>
        </w:rPr>
        <w:t>Productivity Commission Act 1998</w:t>
      </w:r>
      <w:r>
        <w:t xml:space="preserve"> defines government assistance to industry as: </w:t>
      </w:r>
    </w:p>
    <w:p w:rsidR="007544CA" w:rsidRDefault="007544CA" w:rsidP="00133508">
      <w:pPr>
        <w:pStyle w:val="Quote"/>
      </w:pPr>
      <w:r>
        <w:t xml:space="preserve">… any act that, directly or indirectly: assists a person to carry on a business or activity; or confers a pecuniary benefit on, or results in a pecuniary benefit to, a person in respect of carrying on a business or activity. </w:t>
      </w:r>
    </w:p>
    <w:p w:rsidR="007544CA" w:rsidRDefault="007544CA" w:rsidP="00133508">
      <w:pPr>
        <w:pStyle w:val="BodyText"/>
      </w:pPr>
      <w:r>
        <w:t xml:space="preserve">Assistance takes many forms, extending beyond direct government grants and subsidies to particular firms or industries. It also includes import tariffs, regulatory restrictions on competition, tax concessions, concessional finance, provision of subsidised services by government agencies, government procurement preferences, and guaranteed prices. </w:t>
      </w:r>
    </w:p>
    <w:p w:rsidR="007544CA" w:rsidRDefault="007544CA" w:rsidP="00133508">
      <w:pPr>
        <w:pStyle w:val="BodyText"/>
      </w:pPr>
      <w:r>
        <w:t>Not all government measures that provide direct selective support to business are included in measured assistance. In some cases this is because the support is effectively the government ‘purchasing’ an outcome on behalf of the community. For example, payments from the Emissions Reduction Fund (under the Direct Action Plan) for reducing carbon emissions are not considered assistance.</w:t>
      </w:r>
      <w:r>
        <w:rPr>
          <w:rStyle w:val="FootnoteReference"/>
        </w:rPr>
        <w:footnoteReference w:id="1"/>
      </w:r>
      <w:r>
        <w:t xml:space="preserve"> In other cases, it is because it is too hard to estimate the assistance provided. For example, payments to farmers for projects aimed at improving the application of fertiliser to reduce pollution from run</w:t>
      </w:r>
      <w:r>
        <w:noBreakHyphen/>
        <w:t>off in the Great Barrier Reef could deliver benefits to farmers in savings on fertiliser costs. But where farmers also contribute to the costs, and fertiliser savings vary across farmers, such assistance is too difficult to reliably measure. State and territory assistance is also not included in the measures. Overall, therefore, measured assistance should be regarded as a lower bound to the actual assistance provided by governments to business.</w:t>
      </w:r>
    </w:p>
    <w:p w:rsidR="007544CA" w:rsidRDefault="007544CA" w:rsidP="00133508">
      <w:pPr>
        <w:pStyle w:val="BodyText"/>
      </w:pPr>
      <w:r>
        <w:t xml:space="preserve">Other policies that target community outcomes can provide an indirect pecuniary benefit to some businesses, but do not fall within the ambit of traditional industry assistance. Superannuation tax concessions, for example, clearly provide significant </w:t>
      </w:r>
      <w:r w:rsidRPr="005B4E41">
        <w:t>benefits to the finance sector</w:t>
      </w:r>
      <w:r>
        <w:t xml:space="preserve"> in demand growth, but the concessions are provided to </w:t>
      </w:r>
      <w:r w:rsidRPr="00F91116">
        <w:t>individual</w:t>
      </w:r>
      <w:r>
        <w:t>s and not to firms.</w:t>
      </w:r>
    </w:p>
    <w:p w:rsidR="007544CA" w:rsidRDefault="007544CA" w:rsidP="00133508">
      <w:pPr>
        <w:pStyle w:val="BodyText"/>
      </w:pPr>
      <w:r>
        <w:t xml:space="preserve">Inevitably, there will be different views about whether some policies provide assistance. The fuel tax credit is one such measure. It is not considered assistance as the excise tax on fuel is purported to be a mechanism to pay for roads, which are not used by those receiving </w:t>
      </w:r>
      <w:r>
        <w:lastRenderedPageBreak/>
        <w:t xml:space="preserve">the fuel rebate. Should roads be generally priced, as discussed in the Commission’s </w:t>
      </w:r>
      <w:r w:rsidRPr="00B41EA6">
        <w:rPr>
          <w:i/>
        </w:rPr>
        <w:t>Public Infrastructure</w:t>
      </w:r>
      <w:r>
        <w:t xml:space="preserve"> inquiry report (PC </w:t>
      </w:r>
      <w:proofErr w:type="spellStart"/>
      <w:r>
        <w:t>2014a</w:t>
      </w:r>
      <w:proofErr w:type="spellEnd"/>
      <w:r>
        <w:t>), the taxation of fuel would change, perhaps towards a recognition of the negative externalities of fuel consumption. A diesel fuel rebate under those conditions would constitute assistance.</w:t>
      </w:r>
    </w:p>
    <w:p w:rsidR="007544CA" w:rsidRDefault="007544CA" w:rsidP="00133508">
      <w:pPr>
        <w:pStyle w:val="BodyText"/>
      </w:pPr>
      <w:r>
        <w:t xml:space="preserve">Labelling a policy as ‘assistance’ does not mean it is necessarily ‘bad’. Some measures, such as support for R&amp;D, can have knowledge and skill spillovers that benefit firms and industries beyond the recipients. Other measures can address regional problems, facilitating industry adjustment through helping workers transition, or aiding firm exit where assets are stranded. Ultimately, only a detailed evaluation can confirm the overall net impact of any assistance measure. This </w:t>
      </w:r>
      <w:r w:rsidRPr="00BE0083">
        <w:rPr>
          <w:i/>
        </w:rPr>
        <w:t>Trade and Assistance Review</w:t>
      </w:r>
      <w:r>
        <w:t xml:space="preserve"> provides a starting point by identifying, and where possible measuring, the assistance provided by trade and industry policies. It provides the information to start asking the questions about whether the public is well served by the assistance provided and the way in which it is provided.</w:t>
      </w:r>
    </w:p>
    <w:p w:rsidR="007544CA" w:rsidRDefault="00366344" w:rsidP="00133508">
      <w:pPr>
        <w:pStyle w:val="Heading2"/>
      </w:pPr>
      <w:r>
        <w:fldChar w:fldCharType="begin" w:fldLock="1"/>
      </w:r>
      <w:r>
        <w:instrText xml:space="preserve"> COMMENTS  \* MERGEFORMAT </w:instrText>
      </w:r>
      <w:r>
        <w:fldChar w:fldCharType="separate"/>
      </w:r>
      <w:r w:rsidR="007544CA">
        <w:t>1.</w:t>
      </w:r>
      <w:r>
        <w:fldChar w:fldCharType="end"/>
      </w:r>
      <w:r>
        <w:fldChar w:fldCharType="begin" w:fldLock="1"/>
      </w:r>
      <w:r>
        <w:instrText xml:space="preserve"> SEQ Heading2 </w:instrText>
      </w:r>
      <w:r>
        <w:fldChar w:fldCharType="separate"/>
      </w:r>
      <w:r w:rsidR="007544CA">
        <w:rPr>
          <w:noProof/>
        </w:rPr>
        <w:t>2</w:t>
      </w:r>
      <w:r>
        <w:rPr>
          <w:noProof/>
        </w:rPr>
        <w:fldChar w:fldCharType="end"/>
      </w:r>
      <w:r w:rsidR="007544CA">
        <w:tab/>
        <w:t>Key findings</w:t>
      </w:r>
    </w:p>
    <w:p w:rsidR="007544CA" w:rsidRDefault="007544CA" w:rsidP="00133508">
      <w:pPr>
        <w:pStyle w:val="Heading3"/>
        <w:spacing w:before="360"/>
      </w:pPr>
      <w:r>
        <w:t>Total assistance was over $15 billion in 2014</w:t>
      </w:r>
      <w:r>
        <w:noBreakHyphen/>
        <w:t>15, slightly down from 2013</w:t>
      </w:r>
      <w:r>
        <w:noBreakHyphen/>
        <w:t>14</w:t>
      </w:r>
    </w:p>
    <w:p w:rsidR="007544CA" w:rsidRDefault="007544CA" w:rsidP="00133508">
      <w:pPr>
        <w:pStyle w:val="BodyText"/>
      </w:pPr>
      <w:r>
        <w:t>Readily distinguishable and quantified tariff and budgetary assistance to industry</w:t>
      </w:r>
      <w:r w:rsidRPr="0004019F">
        <w:t xml:space="preserve"> </w:t>
      </w:r>
      <w:r>
        <w:t xml:space="preserve">was over </w:t>
      </w:r>
      <w:r w:rsidRPr="0004019F">
        <w:t>$</w:t>
      </w:r>
      <w:r>
        <w:t>15</w:t>
      </w:r>
      <w:r w:rsidRPr="0004019F">
        <w:t xml:space="preserve"> billion in gross </w:t>
      </w:r>
      <w:r>
        <w:t>terms in 2014</w:t>
      </w:r>
      <w:r>
        <w:noBreakHyphen/>
        <w:t>15</w:t>
      </w:r>
      <w:r w:rsidRPr="0004019F">
        <w:t xml:space="preserve"> — comprising $</w:t>
      </w:r>
      <w:r>
        <w:t>7.8</w:t>
      </w:r>
      <w:r w:rsidRPr="0004019F">
        <w:t xml:space="preserve"> billion in </w:t>
      </w:r>
      <w:r>
        <w:t xml:space="preserve">gross </w:t>
      </w:r>
      <w:r w:rsidRPr="0004019F">
        <w:t>tariff assistance, $</w:t>
      </w:r>
      <w:r>
        <w:t>4.3</w:t>
      </w:r>
      <w:r w:rsidRPr="0004019F">
        <w:t> billion of budgetary outlays</w:t>
      </w:r>
      <w:r>
        <w:t>,</w:t>
      </w:r>
      <w:r w:rsidRPr="0004019F">
        <w:t xml:space="preserve"> and $</w:t>
      </w:r>
      <w:r>
        <w:t>3.1</w:t>
      </w:r>
      <w:r w:rsidRPr="0004019F">
        <w:t> billion in tax concessions</w:t>
      </w:r>
      <w:r>
        <w:t xml:space="preserve"> (figure 1.1, top panel)</w:t>
      </w:r>
      <w:r w:rsidRPr="0004019F">
        <w:t xml:space="preserve">. </w:t>
      </w:r>
    </w:p>
    <w:p w:rsidR="007544CA" w:rsidRDefault="007544CA" w:rsidP="00133508">
      <w:pPr>
        <w:pStyle w:val="BodyText"/>
      </w:pPr>
      <w:r>
        <w:t>E</w:t>
      </w:r>
      <w:r w:rsidRPr="00FF34C8">
        <w:t xml:space="preserve">stimated assistance </w:t>
      </w:r>
      <w:r>
        <w:t xml:space="preserve">in gross terms fell by </w:t>
      </w:r>
      <w:r w:rsidRPr="00FF34C8">
        <w:t>around $</w:t>
      </w:r>
      <w:r>
        <w:t>0.6 </w:t>
      </w:r>
      <w:r w:rsidRPr="00FF34C8">
        <w:t>billion from 201</w:t>
      </w:r>
      <w:r>
        <w:t>3</w:t>
      </w:r>
      <w:r>
        <w:noBreakHyphen/>
      </w:r>
      <w:r w:rsidRPr="00FF34C8">
        <w:t>1</w:t>
      </w:r>
      <w:r>
        <w:t>4</w:t>
      </w:r>
      <w:r w:rsidRPr="00FF34C8">
        <w:t xml:space="preserve"> in nominal terms</w:t>
      </w:r>
      <w:r>
        <w:t xml:space="preserve"> (a</w:t>
      </w:r>
      <w:r w:rsidRPr="00FF34C8">
        <w:t xml:space="preserve">round </w:t>
      </w:r>
      <w:r>
        <w:t>4 </w:t>
      </w:r>
      <w:r w:rsidRPr="00FF34C8">
        <w:t>per</w:t>
      </w:r>
      <w:r>
        <w:t> </w:t>
      </w:r>
      <w:r w:rsidRPr="00FF34C8">
        <w:t>cent</w:t>
      </w:r>
      <w:r>
        <w:t xml:space="preserve">), or by around 3 per cent in real terms. </w:t>
      </w:r>
    </w:p>
    <w:p w:rsidR="007544CA" w:rsidRDefault="007544CA" w:rsidP="00133508">
      <w:pPr>
        <w:pStyle w:val="BodyText"/>
      </w:pPr>
      <w:r>
        <w:t>After allowing for the negative effects of tariff assistance on the cost of inputs (the input tariff penalty), total estimated net combined assistance amounted to around $7.6 billion in 2014</w:t>
      </w:r>
      <w:r>
        <w:noBreakHyphen/>
        <w:t>15, a fall of around $0.8 billion in nominal terms (9 per cent) from 2013</w:t>
      </w:r>
      <w:r>
        <w:noBreakHyphen/>
        <w:t xml:space="preserve">14 levels (figure 1.1, bottom panel). </w:t>
      </w:r>
    </w:p>
    <w:p w:rsidR="007544CA" w:rsidRDefault="007544CA" w:rsidP="00133508">
      <w:pPr>
        <w:pStyle w:val="BodyText"/>
      </w:pPr>
      <w:r>
        <w:t>Around half the $15 billion is tariff assistance, which has an adverse distortionary effect on an economy</w:t>
      </w:r>
      <w:r>
        <w:noBreakHyphen/>
        <w:t xml:space="preserve">wide basis. Industries protected by tariffs use more resources (capital and labour) than they would if not protected by the tariff. Tariffs also penalise industries, notably services, that use imported inputs, reducing their ability to compete for capital and labour. </w:t>
      </w:r>
    </w:p>
    <w:p w:rsidR="007544CA" w:rsidRDefault="007544CA" w:rsidP="00133508">
      <w:pPr>
        <w:pStyle w:val="BodyText"/>
      </w:pPr>
      <w:r>
        <w:t xml:space="preserve">While costly to the budget, the other half of the $15 billion is budgetary assistance, which is not inherently distortionary. For example, measures targeted at </w:t>
      </w:r>
      <w:r w:rsidRPr="00B60527">
        <w:rPr>
          <w:i/>
        </w:rPr>
        <w:t>potential</w:t>
      </w:r>
      <w:r>
        <w:t xml:space="preserve"> market failures (such as in R&amp;D) and which genuinely induces ‘additional’ activity may deliver net benefits, including to industries beyond those directly assisted. However, some budgetary </w:t>
      </w:r>
      <w:r>
        <w:lastRenderedPageBreak/>
        <w:t>assistance is likely to be distortionary, such as non</w:t>
      </w:r>
      <w:r>
        <w:noBreakHyphen/>
        <w:t xml:space="preserve">competitive grants to a single firm or narrowly defined industry. </w:t>
      </w:r>
    </w:p>
    <w:p w:rsidR="007544CA" w:rsidRDefault="007544CA" w:rsidP="0013350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Default="007544CA" w:rsidP="00133508">
            <w:pPr>
              <w:pStyle w:val="FigureTitle"/>
            </w:pPr>
            <w:r w:rsidRPr="00784A05">
              <w:rPr>
                <w:b w:val="0"/>
              </w:rPr>
              <w:t xml:space="preserve">Figure </w:t>
            </w:r>
            <w:r w:rsidRPr="00784A05">
              <w:rPr>
                <w:b w:val="0"/>
              </w:rPr>
              <w:fldChar w:fldCharType="begin" w:fldLock="1"/>
            </w:r>
            <w:r w:rsidRPr="00784A05">
              <w:rPr>
                <w:b w:val="0"/>
              </w:rPr>
              <w:instrText xml:space="preserve"> COMMENTS  \* MERGEFORMAT </w:instrText>
            </w:r>
            <w:r w:rsidRPr="00784A05">
              <w:rPr>
                <w:b w:val="0"/>
              </w:rPr>
              <w:fldChar w:fldCharType="separate"/>
            </w:r>
            <w:r>
              <w:rPr>
                <w:b w:val="0"/>
              </w:rPr>
              <w:t>1.</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1</w:t>
            </w:r>
            <w:r w:rsidRPr="00784A05">
              <w:rPr>
                <w:b w:val="0"/>
              </w:rPr>
              <w:fldChar w:fldCharType="end"/>
            </w:r>
            <w:r>
              <w:tab/>
              <w:t xml:space="preserve">Aggregate estimates of measurable assistance, </w:t>
            </w:r>
            <w:r>
              <w:br/>
              <w:t>2009</w:t>
            </w:r>
            <w:r>
              <w:noBreakHyphen/>
              <w:t>10 to 2014</w:t>
            </w:r>
            <w:r>
              <w:noBreakHyphen/>
              <w:t>15</w:t>
            </w:r>
          </w:p>
          <w:p w:rsidR="007544CA" w:rsidRPr="00176D3F" w:rsidRDefault="007544CA" w:rsidP="00133508">
            <w:pPr>
              <w:pStyle w:val="Subtitle"/>
            </w:pPr>
            <w:r>
              <w:t>$ billion (nominal)</w:t>
            </w:r>
          </w:p>
        </w:tc>
      </w:tr>
      <w:tr w:rsidR="007544CA" w:rsidTr="00133508">
        <w:tblPrEx>
          <w:tblCellMar>
            <w:left w:w="108" w:type="dxa"/>
            <w:right w:w="108" w:type="dxa"/>
          </w:tblCellMar>
        </w:tblPrEx>
        <w:tc>
          <w:tcPr>
            <w:tcW w:w="8771" w:type="dxa"/>
            <w:tcBorders>
              <w:top w:val="nil"/>
              <w:left w:val="nil"/>
              <w:bottom w:val="nil"/>
              <w:right w:val="nil"/>
            </w:tcBorders>
            <w:shd w:val="clear" w:color="auto" w:fill="auto"/>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7544CA" w:rsidRPr="005173E9" w:rsidTr="00133508">
              <w:trPr>
                <w:trHeight w:val="283"/>
                <w:jc w:val="center"/>
              </w:trPr>
              <w:tc>
                <w:tcPr>
                  <w:tcW w:w="8504" w:type="dxa"/>
                  <w:tcBorders>
                    <w:top w:val="nil"/>
                    <w:bottom w:val="nil"/>
                  </w:tcBorders>
                </w:tcPr>
                <w:p w:rsidR="007544CA" w:rsidRPr="005173E9" w:rsidRDefault="007544CA" w:rsidP="00133508">
                  <w:pPr>
                    <w:pStyle w:val="TableColumnHeading"/>
                    <w:jc w:val="center"/>
                    <w:rPr>
                      <w:noProof/>
                      <w:lang w:val="en-GB" w:eastAsia="en-GB"/>
                    </w:rPr>
                  </w:pPr>
                  <w:r w:rsidRPr="005173E9">
                    <w:rPr>
                      <w:noProof/>
                      <w:lang w:val="en-GB" w:eastAsia="en-GB"/>
                    </w:rPr>
                    <w:t>Gross assistance by component</w:t>
                  </w:r>
                </w:p>
              </w:tc>
            </w:tr>
            <w:tr w:rsidR="007544CA" w:rsidTr="00133508">
              <w:trPr>
                <w:trHeight w:val="283"/>
                <w:jc w:val="center"/>
              </w:trPr>
              <w:tc>
                <w:tcPr>
                  <w:tcW w:w="8504" w:type="dxa"/>
                  <w:tcBorders>
                    <w:top w:val="nil"/>
                    <w:bottom w:val="nil"/>
                  </w:tcBorders>
                </w:tcPr>
                <w:p w:rsidR="007544CA" w:rsidRPr="00291011" w:rsidRDefault="007544CA" w:rsidP="00133508">
                  <w:pPr>
                    <w:pStyle w:val="Figure"/>
                    <w:spacing w:before="0" w:after="0"/>
                    <w:rPr>
                      <w:noProof/>
                      <w:lang w:val="en-GB" w:eastAsia="en-GB"/>
                    </w:rPr>
                  </w:pPr>
                  <w:r>
                    <w:rPr>
                      <w:noProof/>
                    </w:rPr>
                    <w:drawing>
                      <wp:inline distT="0" distB="0" distL="0" distR="0" wp14:anchorId="5D577F60" wp14:editId="00BE80D6">
                        <wp:extent cx="5400675" cy="2886075"/>
                        <wp:effectExtent l="0" t="0" r="9525" b="9525"/>
                        <wp:docPr id="1" name="Picture 1" descr="This figure shows in the top panel that aggregate estimated assistance declined by $0.6 billion (or 4 per cent) from 2013 14. The bottom panel shows that after deducting the tariff input penalty from aggregate assistance, the net combined assistance has fallen by $0.8 billion (or 9 per cent) from 2013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675" cy="2886075"/>
                                </a:xfrm>
                                <a:prstGeom prst="rect">
                                  <a:avLst/>
                                </a:prstGeom>
                                <a:noFill/>
                                <a:ln>
                                  <a:noFill/>
                                </a:ln>
                              </pic:spPr>
                            </pic:pic>
                          </a:graphicData>
                        </a:graphic>
                      </wp:inline>
                    </w:drawing>
                  </w:r>
                </w:p>
              </w:tc>
            </w:tr>
            <w:tr w:rsidR="007544CA" w:rsidRPr="005173E9" w:rsidTr="00133508">
              <w:trPr>
                <w:trHeight w:val="283"/>
                <w:jc w:val="center"/>
              </w:trPr>
              <w:tc>
                <w:tcPr>
                  <w:tcW w:w="8504" w:type="dxa"/>
                  <w:tcBorders>
                    <w:top w:val="nil"/>
                    <w:bottom w:val="nil"/>
                  </w:tcBorders>
                </w:tcPr>
                <w:p w:rsidR="007544CA" w:rsidRPr="005173E9" w:rsidRDefault="007544CA" w:rsidP="00133508">
                  <w:pPr>
                    <w:pStyle w:val="TableColumnHeading"/>
                    <w:spacing w:before="240"/>
                    <w:jc w:val="center"/>
                    <w:rPr>
                      <w:noProof/>
                      <w:lang w:val="en-GB" w:eastAsia="en-GB"/>
                    </w:rPr>
                  </w:pPr>
                  <w:r w:rsidRPr="005173E9">
                    <w:rPr>
                      <w:noProof/>
                      <w:lang w:val="en-GB" w:eastAsia="en-GB"/>
                    </w:rPr>
                    <w:t>Net combined assistance</w:t>
                  </w:r>
                </w:p>
                <w:p w:rsidR="007544CA" w:rsidRPr="005173E9" w:rsidRDefault="007544CA" w:rsidP="00133508">
                  <w:pPr>
                    <w:pStyle w:val="TableColumnHeading"/>
                    <w:jc w:val="center"/>
                    <w:rPr>
                      <w:noProof/>
                      <w:lang w:val="en-GB" w:eastAsia="en-GB"/>
                    </w:rPr>
                  </w:pPr>
                  <w:r w:rsidRPr="005173E9">
                    <w:rPr>
                      <w:noProof/>
                      <w:lang w:val="en-GB" w:eastAsia="en-GB"/>
                    </w:rPr>
                    <w:t>(Gross assistance less tariff penalty on inputs)</w:t>
                  </w:r>
                </w:p>
              </w:tc>
            </w:tr>
            <w:tr w:rsidR="007544CA" w:rsidTr="00133508">
              <w:trPr>
                <w:trHeight w:val="283"/>
                <w:jc w:val="center"/>
              </w:trPr>
              <w:tc>
                <w:tcPr>
                  <w:tcW w:w="8504" w:type="dxa"/>
                  <w:tcBorders>
                    <w:top w:val="nil"/>
                    <w:bottom w:val="nil"/>
                  </w:tcBorders>
                </w:tcPr>
                <w:p w:rsidR="007544CA" w:rsidRPr="00291011" w:rsidRDefault="007544CA" w:rsidP="00133508">
                  <w:pPr>
                    <w:pStyle w:val="Figure"/>
                    <w:spacing w:before="0" w:after="0"/>
                    <w:rPr>
                      <w:noProof/>
                      <w:lang w:val="en-GB" w:eastAsia="en-GB"/>
                    </w:rPr>
                  </w:pPr>
                  <w:r>
                    <w:rPr>
                      <w:noProof/>
                    </w:rPr>
                    <w:drawing>
                      <wp:inline distT="0" distB="0" distL="0" distR="0" wp14:anchorId="276147FE" wp14:editId="5A13A23B">
                        <wp:extent cx="5410200" cy="2838450"/>
                        <wp:effectExtent l="0" t="0" r="0" b="0"/>
                        <wp:docPr id="2" name="Picture 2" descr="This figure shows in the top panel that aggregate estimated assistance declined by $0.6 billion (or 4 per cent) from 2013 14. The bottom panel shows that after deducting the tariff input penalty from aggregate assistance, the net combined assistance has fallen by $0.8 billion (or 9 per cent) from 2013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10200" cy="2838450"/>
                                </a:xfrm>
                                <a:prstGeom prst="rect">
                                  <a:avLst/>
                                </a:prstGeom>
                                <a:noFill/>
                                <a:ln>
                                  <a:noFill/>
                                </a:ln>
                              </pic:spPr>
                            </pic:pic>
                          </a:graphicData>
                        </a:graphic>
                      </wp:inline>
                    </w:drawing>
                  </w:r>
                </w:p>
              </w:tc>
            </w:tr>
          </w:tbl>
          <w:p w:rsidR="007544CA" w:rsidRDefault="007544CA" w:rsidP="00133508">
            <w:pPr>
              <w:pStyle w:val="Figure"/>
            </w:pPr>
          </w:p>
        </w:tc>
      </w:tr>
      <w:tr w:rsidR="007544CA" w:rsidRPr="00176D3F" w:rsidTr="00133508">
        <w:tc>
          <w:tcPr>
            <w:tcW w:w="8771" w:type="dxa"/>
            <w:tcBorders>
              <w:top w:val="nil"/>
              <w:left w:val="nil"/>
              <w:bottom w:val="nil"/>
              <w:right w:val="nil"/>
            </w:tcBorders>
            <w:shd w:val="clear" w:color="auto" w:fill="auto"/>
          </w:tcPr>
          <w:p w:rsidR="007544CA" w:rsidRPr="00176D3F" w:rsidRDefault="007544CA" w:rsidP="00133508">
            <w:pPr>
              <w:pStyle w:val="Source"/>
            </w:pPr>
            <w:r>
              <w:rPr>
                <w:i/>
              </w:rPr>
              <w:t>S</w:t>
            </w:r>
            <w:r w:rsidRPr="00784A05">
              <w:rPr>
                <w:i/>
              </w:rPr>
              <w:t>ource</w:t>
            </w:r>
            <w:r w:rsidRPr="00176D3F">
              <w:t xml:space="preserve">: </w:t>
            </w:r>
            <w:r>
              <w:t>Commission estimates.</w:t>
            </w:r>
          </w:p>
        </w:tc>
      </w:tr>
      <w:tr w:rsidR="007544CA" w:rsidTr="00133508">
        <w:tc>
          <w:tcPr>
            <w:tcW w:w="8771" w:type="dxa"/>
            <w:tcBorders>
              <w:top w:val="nil"/>
              <w:left w:val="nil"/>
              <w:bottom w:val="single" w:sz="6" w:space="0" w:color="78A22F"/>
              <w:right w:val="nil"/>
            </w:tcBorders>
            <w:shd w:val="clear" w:color="auto" w:fill="auto"/>
          </w:tcPr>
          <w:p w:rsidR="007544CA" w:rsidRDefault="007544CA" w:rsidP="00133508">
            <w:pPr>
              <w:pStyle w:val="Figurespace"/>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Heading3"/>
      </w:pPr>
      <w:r>
        <w:lastRenderedPageBreak/>
        <w:t>Manufacturing receives 60 per cent of gross and over 90 per cent of total net assistance</w:t>
      </w:r>
    </w:p>
    <w:p w:rsidR="007544CA" w:rsidRPr="006210D3" w:rsidRDefault="007544CA" w:rsidP="00133508">
      <w:pPr>
        <w:pStyle w:val="BodyText"/>
      </w:pPr>
      <w:r>
        <w:t>Manufacturing receives by far the highest net combined assistance, by virtue of tariff assistance (figure 1.2). The services sector records negative net assistance, as it incurs about two</w:t>
      </w:r>
      <w:r>
        <w:noBreakHyphen/>
        <w:t>thirds of the input cost penalty posed by manufacturing tariffs.</w:t>
      </w:r>
    </w:p>
    <w:p w:rsidR="007544CA" w:rsidRDefault="007544CA" w:rsidP="0013350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Default="007544CA" w:rsidP="00133508">
            <w:pPr>
              <w:pStyle w:val="FigureTitle"/>
            </w:pPr>
            <w:r w:rsidRPr="00784A05">
              <w:rPr>
                <w:b w:val="0"/>
              </w:rPr>
              <w:t xml:space="preserve">Figure </w:t>
            </w:r>
            <w:r w:rsidRPr="00784A05">
              <w:rPr>
                <w:b w:val="0"/>
              </w:rPr>
              <w:fldChar w:fldCharType="begin" w:fldLock="1"/>
            </w:r>
            <w:r w:rsidRPr="00784A05">
              <w:rPr>
                <w:b w:val="0"/>
              </w:rPr>
              <w:instrText xml:space="preserve"> COMMENTS  \* MERGEFORMAT </w:instrText>
            </w:r>
            <w:r w:rsidRPr="00784A05">
              <w:rPr>
                <w:b w:val="0"/>
              </w:rPr>
              <w:fldChar w:fldCharType="separate"/>
            </w:r>
            <w:r>
              <w:rPr>
                <w:b w:val="0"/>
              </w:rPr>
              <w:t>1.</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2</w:t>
            </w:r>
            <w:r w:rsidRPr="00784A05">
              <w:rPr>
                <w:b w:val="0"/>
              </w:rPr>
              <w:fldChar w:fldCharType="end"/>
            </w:r>
            <w:r>
              <w:tab/>
              <w:t>The incidence of assistance varies widely across industries, 2014</w:t>
            </w:r>
            <w:r>
              <w:noBreakHyphen/>
              <w:t>15</w:t>
            </w:r>
          </w:p>
          <w:p w:rsidR="007544CA" w:rsidRPr="00176D3F" w:rsidRDefault="007544CA" w:rsidP="00133508">
            <w:pPr>
              <w:pStyle w:val="Subtitle"/>
            </w:pPr>
            <w:r>
              <w:t xml:space="preserve">$ billion (nominal) </w:t>
            </w:r>
          </w:p>
        </w:tc>
      </w:tr>
      <w:tr w:rsidR="007544CA" w:rsidTr="0013350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544CA" w:rsidRPr="005173E9" w:rsidTr="00133508">
              <w:trPr>
                <w:jc w:val="center"/>
              </w:trPr>
              <w:tc>
                <w:tcPr>
                  <w:tcW w:w="5000" w:type="pct"/>
                  <w:tcBorders>
                    <w:top w:val="nil"/>
                    <w:bottom w:val="nil"/>
                  </w:tcBorders>
                </w:tcPr>
                <w:p w:rsidR="007544CA" w:rsidRPr="005173E9" w:rsidRDefault="007544CA" w:rsidP="00133508">
                  <w:pPr>
                    <w:pStyle w:val="TableColumnHeading"/>
                    <w:jc w:val="center"/>
                  </w:pPr>
                  <w:r w:rsidRPr="005173E9">
                    <w:rPr>
                      <w:noProof/>
                      <w:lang w:val="en-GB" w:eastAsia="en-GB"/>
                    </w:rPr>
                    <w:t>Components of assistance</w:t>
                  </w:r>
                </w:p>
              </w:tc>
            </w:tr>
            <w:tr w:rsidR="007544CA" w:rsidTr="00133508">
              <w:trPr>
                <w:jc w:val="center"/>
              </w:trPr>
              <w:tc>
                <w:tcPr>
                  <w:tcW w:w="5000" w:type="pct"/>
                  <w:tcBorders>
                    <w:top w:val="nil"/>
                    <w:bottom w:val="nil"/>
                  </w:tcBorders>
                </w:tcPr>
                <w:p w:rsidR="007544CA" w:rsidRDefault="007544CA" w:rsidP="00133508">
                  <w:pPr>
                    <w:pStyle w:val="Figure"/>
                    <w:spacing w:before="0" w:after="0"/>
                  </w:pPr>
                  <w:r>
                    <w:rPr>
                      <w:noProof/>
                    </w:rPr>
                    <w:drawing>
                      <wp:inline distT="0" distB="0" distL="0" distR="0" wp14:anchorId="3E43974D" wp14:editId="42102962">
                        <wp:extent cx="5353050" cy="2686050"/>
                        <wp:effectExtent l="0" t="0" r="0" b="0"/>
                        <wp:docPr id="3" name="Picture 3" descr="More details can be found within the text immediately before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53050" cy="2686050"/>
                                </a:xfrm>
                                <a:prstGeom prst="rect">
                                  <a:avLst/>
                                </a:prstGeom>
                                <a:noFill/>
                                <a:ln>
                                  <a:noFill/>
                                </a:ln>
                              </pic:spPr>
                            </pic:pic>
                          </a:graphicData>
                        </a:graphic>
                      </wp:inline>
                    </w:drawing>
                  </w:r>
                </w:p>
              </w:tc>
            </w:tr>
            <w:tr w:rsidR="007544CA" w:rsidRPr="005173E9" w:rsidTr="00133508">
              <w:trPr>
                <w:jc w:val="center"/>
              </w:trPr>
              <w:tc>
                <w:tcPr>
                  <w:tcW w:w="5000" w:type="pct"/>
                  <w:tcBorders>
                    <w:top w:val="nil"/>
                    <w:bottom w:val="nil"/>
                  </w:tcBorders>
                </w:tcPr>
                <w:p w:rsidR="007544CA" w:rsidRPr="005173E9" w:rsidRDefault="007544CA" w:rsidP="00133508">
                  <w:pPr>
                    <w:pStyle w:val="TableColumnHeading"/>
                    <w:spacing w:before="240"/>
                    <w:jc w:val="center"/>
                    <w:rPr>
                      <w:rFonts w:cs="Arial"/>
                      <w:i w:val="0"/>
                      <w:szCs w:val="18"/>
                    </w:rPr>
                  </w:pPr>
                  <w:r w:rsidRPr="005173E9">
                    <w:rPr>
                      <w:noProof/>
                      <w:lang w:val="en-GB" w:eastAsia="en-GB"/>
                    </w:rPr>
                    <w:t>Net combined assistance</w:t>
                  </w:r>
                </w:p>
              </w:tc>
            </w:tr>
            <w:tr w:rsidR="007544CA" w:rsidRPr="005274A3" w:rsidTr="00133508">
              <w:trPr>
                <w:jc w:val="center"/>
              </w:trPr>
              <w:tc>
                <w:tcPr>
                  <w:tcW w:w="5000" w:type="pct"/>
                  <w:tcBorders>
                    <w:top w:val="nil"/>
                    <w:bottom w:val="nil"/>
                  </w:tcBorders>
                </w:tcPr>
                <w:p w:rsidR="007544CA" w:rsidRPr="003A4603" w:rsidRDefault="007544CA" w:rsidP="00133508">
                  <w:pPr>
                    <w:pStyle w:val="Figure"/>
                    <w:spacing w:before="0" w:after="0"/>
                    <w:rPr>
                      <w:rFonts w:ascii="Arial" w:hAnsi="Arial" w:cs="Arial"/>
                      <w:noProof/>
                      <w:sz w:val="18"/>
                      <w:szCs w:val="18"/>
                      <w:lang w:val="en-GB" w:eastAsia="en-GB"/>
                    </w:rPr>
                  </w:pPr>
                  <w:r>
                    <w:rPr>
                      <w:rFonts w:ascii="Arial" w:hAnsi="Arial" w:cs="Arial"/>
                      <w:noProof/>
                      <w:sz w:val="18"/>
                      <w:szCs w:val="18"/>
                    </w:rPr>
                    <w:drawing>
                      <wp:inline distT="0" distB="0" distL="0" distR="0" wp14:anchorId="0110683A" wp14:editId="6D7B2174">
                        <wp:extent cx="5353050" cy="2686050"/>
                        <wp:effectExtent l="0" t="0" r="0" b="0"/>
                        <wp:docPr id="4" name="Picture 4" descr="More details can be found within the text immediately before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53050" cy="2686050"/>
                                </a:xfrm>
                                <a:prstGeom prst="rect">
                                  <a:avLst/>
                                </a:prstGeom>
                                <a:noFill/>
                                <a:ln>
                                  <a:noFill/>
                                </a:ln>
                              </pic:spPr>
                            </pic:pic>
                          </a:graphicData>
                        </a:graphic>
                      </wp:inline>
                    </w:drawing>
                  </w:r>
                </w:p>
              </w:tc>
            </w:tr>
          </w:tbl>
          <w:p w:rsidR="007544CA" w:rsidRDefault="007544CA" w:rsidP="00133508">
            <w:pPr>
              <w:pStyle w:val="Figure"/>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Heading3"/>
      </w:pPr>
      <w:r>
        <w:lastRenderedPageBreak/>
        <w:t>Support for R&amp;D represents about 40 per cent of measured budgetary assistance</w:t>
      </w:r>
    </w:p>
    <w:p w:rsidR="007544CA" w:rsidRDefault="007544CA" w:rsidP="00133508">
      <w:pPr>
        <w:pStyle w:val="BodyText"/>
      </w:pPr>
      <w:r>
        <w:t>Support for business R&amp;D continues to be the largest type of industry assistance delivered through budgetary measures (figure 1.3), representing over 40 per cent ($3.1 billion) of budgetary assistance. The majority is in the form of the demand</w:t>
      </w:r>
      <w:r>
        <w:noBreakHyphen/>
        <w:t xml:space="preserve">driven R&amp;D Tax Incentive ($2.2 billion). The remainder is mostly outlays for research institution funding, including rural research. </w:t>
      </w:r>
    </w:p>
    <w:p w:rsidR="007544CA" w:rsidRDefault="007544CA" w:rsidP="00133508">
      <w:pPr>
        <w:pStyle w:val="BodyText"/>
      </w:pPr>
      <w:r>
        <w:t>Industry specific assistance, such as a range of selective grants and concessions for the automotive, film, ethanol and finance industries, represented 18 per cent ($1.3 billion) of measured assistance. Initiatives targeting small business, such as capital gains tax discounts, are the third largest category.</w:t>
      </w:r>
    </w:p>
    <w:p w:rsidR="007544CA" w:rsidRDefault="007544CA" w:rsidP="00133508">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Default="007544CA" w:rsidP="00133508">
            <w:pPr>
              <w:pStyle w:val="FigureTitle"/>
            </w:pPr>
            <w:r w:rsidRPr="00784A05">
              <w:rPr>
                <w:b w:val="0"/>
              </w:rPr>
              <w:t xml:space="preserve">Figure </w:t>
            </w:r>
            <w:r w:rsidRPr="00784A05">
              <w:rPr>
                <w:b w:val="0"/>
              </w:rPr>
              <w:fldChar w:fldCharType="begin" w:fldLock="1"/>
            </w:r>
            <w:r w:rsidRPr="00784A05">
              <w:rPr>
                <w:b w:val="0"/>
              </w:rPr>
              <w:instrText xml:space="preserve"> COMMENTS  \* MERGEFORMAT </w:instrText>
            </w:r>
            <w:r w:rsidRPr="00784A05">
              <w:rPr>
                <w:b w:val="0"/>
              </w:rPr>
              <w:fldChar w:fldCharType="separate"/>
            </w:r>
            <w:r>
              <w:rPr>
                <w:b w:val="0"/>
              </w:rPr>
              <w:t>1.</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3</w:t>
            </w:r>
            <w:r w:rsidRPr="00784A05">
              <w:rPr>
                <w:b w:val="0"/>
              </w:rPr>
              <w:fldChar w:fldCharType="end"/>
            </w:r>
            <w:r>
              <w:tab/>
              <w:t>Budgetary assistance by category, 2009</w:t>
            </w:r>
            <w:r>
              <w:noBreakHyphen/>
              <w:t>10 to 2014</w:t>
            </w:r>
            <w:r>
              <w:noBreakHyphen/>
              <w:t>15</w:t>
            </w:r>
          </w:p>
          <w:p w:rsidR="007544CA" w:rsidRPr="00176D3F" w:rsidRDefault="007544CA" w:rsidP="00133508">
            <w:pPr>
              <w:pStyle w:val="Subtitle"/>
            </w:pPr>
            <w:r>
              <w:t>$ billion (nominal)</w:t>
            </w:r>
          </w:p>
        </w:tc>
      </w:tr>
      <w:tr w:rsidR="007544CA" w:rsidTr="0013350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7544CA" w:rsidTr="00133508">
              <w:trPr>
                <w:jc w:val="center"/>
              </w:trPr>
              <w:tc>
                <w:tcPr>
                  <w:tcW w:w="8504" w:type="dxa"/>
                  <w:tcBorders>
                    <w:top w:val="nil"/>
                    <w:bottom w:val="nil"/>
                  </w:tcBorders>
                </w:tcPr>
                <w:p w:rsidR="007544CA" w:rsidRPr="00F07C1D" w:rsidRDefault="007544CA" w:rsidP="00133508">
                  <w:pPr>
                    <w:pStyle w:val="Figure"/>
                    <w:spacing w:before="60" w:after="60"/>
                    <w:rPr>
                      <w:rStyle w:val="NoteLabel"/>
                    </w:rPr>
                  </w:pPr>
                  <w:r>
                    <w:rPr>
                      <w:rFonts w:ascii="Arial" w:hAnsi="Arial"/>
                      <w:b/>
                      <w:noProof/>
                      <w:position w:val="6"/>
                      <w:sz w:val="18"/>
                    </w:rPr>
                    <w:drawing>
                      <wp:inline distT="0" distB="0" distL="0" distR="0" wp14:anchorId="27BF5BAD" wp14:editId="732CB684">
                        <wp:extent cx="5381625" cy="2867025"/>
                        <wp:effectExtent l="0" t="0" r="9525" b="9525"/>
                        <wp:docPr id="5" name="Picture 5" descr="More details can be found within the text immediately before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1625" cy="2867025"/>
                                </a:xfrm>
                                <a:prstGeom prst="rect">
                                  <a:avLst/>
                                </a:prstGeom>
                                <a:noFill/>
                                <a:ln>
                                  <a:noFill/>
                                </a:ln>
                              </pic:spPr>
                            </pic:pic>
                          </a:graphicData>
                        </a:graphic>
                      </wp:inline>
                    </w:drawing>
                  </w:r>
                </w:p>
              </w:tc>
            </w:tr>
          </w:tbl>
          <w:p w:rsidR="007544CA" w:rsidRDefault="007544CA" w:rsidP="00133508">
            <w:pPr>
              <w:pStyle w:val="Figure"/>
            </w:pPr>
          </w:p>
        </w:tc>
      </w:tr>
      <w:tr w:rsidR="007544CA" w:rsidRPr="00176D3F" w:rsidTr="00133508">
        <w:tc>
          <w:tcPr>
            <w:tcW w:w="8771" w:type="dxa"/>
            <w:tcBorders>
              <w:top w:val="nil"/>
              <w:left w:val="nil"/>
              <w:bottom w:val="nil"/>
              <w:right w:val="nil"/>
            </w:tcBorders>
            <w:shd w:val="clear" w:color="auto" w:fill="auto"/>
          </w:tcPr>
          <w:p w:rsidR="007544CA" w:rsidRPr="00176D3F" w:rsidRDefault="007544CA" w:rsidP="00133508">
            <w:pPr>
              <w:pStyle w:val="Note"/>
            </w:pPr>
            <w:r>
              <w:rPr>
                <w:rStyle w:val="NoteLabel"/>
              </w:rPr>
              <w:t>a</w:t>
            </w:r>
            <w:r>
              <w:t xml:space="preserve"> Includes investment measures. </w:t>
            </w:r>
          </w:p>
        </w:tc>
      </w:tr>
      <w:tr w:rsidR="007544CA" w:rsidRPr="00176D3F" w:rsidTr="00133508">
        <w:tc>
          <w:tcPr>
            <w:tcW w:w="8771" w:type="dxa"/>
            <w:tcBorders>
              <w:top w:val="nil"/>
              <w:left w:val="nil"/>
              <w:bottom w:val="nil"/>
              <w:right w:val="nil"/>
            </w:tcBorders>
            <w:shd w:val="clear" w:color="auto" w:fill="auto"/>
          </w:tcPr>
          <w:p w:rsidR="007544CA" w:rsidRPr="00176D3F" w:rsidRDefault="007544CA" w:rsidP="00133508">
            <w:pPr>
              <w:pStyle w:val="Source"/>
            </w:pPr>
            <w:r>
              <w:rPr>
                <w:i/>
              </w:rPr>
              <w:t>S</w:t>
            </w:r>
            <w:r w:rsidRPr="00784A05">
              <w:rPr>
                <w:i/>
              </w:rPr>
              <w:t>ource</w:t>
            </w:r>
            <w:r w:rsidRPr="00176D3F">
              <w:t xml:space="preserve">: </w:t>
            </w:r>
            <w:r>
              <w:t xml:space="preserve">Commission estimates. </w:t>
            </w:r>
          </w:p>
        </w:tc>
      </w:tr>
      <w:tr w:rsidR="007544CA" w:rsidTr="00133508">
        <w:tc>
          <w:tcPr>
            <w:tcW w:w="8771" w:type="dxa"/>
            <w:tcBorders>
              <w:top w:val="nil"/>
              <w:left w:val="nil"/>
              <w:bottom w:val="single" w:sz="6" w:space="0" w:color="78A22F"/>
              <w:right w:val="nil"/>
            </w:tcBorders>
            <w:shd w:val="clear" w:color="auto" w:fill="auto"/>
          </w:tcPr>
          <w:p w:rsidR="007544CA" w:rsidRDefault="007544CA" w:rsidP="00133508">
            <w:pPr>
              <w:pStyle w:val="Figurespace"/>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Heading3"/>
      </w:pPr>
      <w:r>
        <w:t xml:space="preserve">Five recent announcements are likely to increase assistance to industry </w:t>
      </w:r>
    </w:p>
    <w:p w:rsidR="007544CA" w:rsidRDefault="007544CA" w:rsidP="00133508">
      <w:pPr>
        <w:pStyle w:val="BodyText"/>
      </w:pPr>
      <w:r>
        <w:t xml:space="preserve">Over the past 40 years the industry assistance landscape has changed in fundamental ways. Tariff and import quota protection has been markedly reduced to relatively minimal levels. Complex and costly agricultural production, marketing and pricing have been unwound so that market prices and costs drive economic decisions. (The last agricultural quota and </w:t>
      </w:r>
      <w:r>
        <w:lastRenderedPageBreak/>
        <w:t>price control system, which was for potatoes in Western Australia, was removed on 1 July 2016). And highly selective and preferential grants, subsidies and bounties provided to specific industries and firms are not as prevalent. The reforms were driven both unilaterally and by requirements of multilateral agreements (such as the elimination of export subsidies).</w:t>
      </w:r>
    </w:p>
    <w:p w:rsidR="007544CA" w:rsidRDefault="007544CA" w:rsidP="00133508">
      <w:pPr>
        <w:pStyle w:val="BodyText"/>
      </w:pPr>
      <w:r>
        <w:t>The industry assistance landscape of today is characterised by an emphasis on business R&amp;D, facilitation of regional adjustment, small business targeting, WTO compliant export assistance, and support to achieve environmental objectives. Tax concessions and concessional finance</w:t>
      </w:r>
      <w:r>
        <w:rPr>
          <w:rStyle w:val="FootnoteReference"/>
        </w:rPr>
        <w:footnoteReference w:id="2"/>
      </w:r>
      <w:r>
        <w:t xml:space="preserve"> aside, budgetary assistance is more likely to take the form of competitive grants and other merit</w:t>
      </w:r>
      <w:r>
        <w:noBreakHyphen/>
        <w:t>based selection processes. Nevertheless, non</w:t>
      </w:r>
      <w:r>
        <w:noBreakHyphen/>
        <w:t xml:space="preserve">merit specific assistance to industries and firms has not completely disappeared. </w:t>
      </w:r>
    </w:p>
    <w:p w:rsidR="007544CA" w:rsidRDefault="007544CA" w:rsidP="00133508">
      <w:pPr>
        <w:pStyle w:val="BodyText"/>
      </w:pPr>
      <w:r>
        <w:t xml:space="preserve">The long term big picture of the changing nature of industry assistance has been driven by government recognition in the </w:t>
      </w:r>
      <w:proofErr w:type="spellStart"/>
      <w:r>
        <w:t>1980s</w:t>
      </w:r>
      <w:proofErr w:type="spellEnd"/>
      <w:r>
        <w:t xml:space="preserve"> and </w:t>
      </w:r>
      <w:proofErr w:type="spellStart"/>
      <w:r>
        <w:t>1990s</w:t>
      </w:r>
      <w:proofErr w:type="spellEnd"/>
      <w:r>
        <w:t xml:space="preserve"> of the efficiency costs of the old</w:t>
      </w:r>
      <w:r>
        <w:noBreakHyphen/>
        <w:t>style protectionist framework. Yet the size and nature of industry assistance in Australia continues to be heavily influenced by reactions to periodic events and disruptions. For instance, the global financial crisis, periodic droughts, the setting of carbon emission reduction objectives, and the commitment to meet environmental water objectives, have all prompted significant changes in industry assistance. Most recently, the global supply glut affecting the steel industry has encouraged poorly</w:t>
      </w:r>
      <w:r>
        <w:noBreakHyphen/>
        <w:t>targeted assistance (chapter 4).</w:t>
      </w:r>
    </w:p>
    <w:p w:rsidR="007544CA" w:rsidRDefault="007544CA" w:rsidP="00133508">
      <w:pPr>
        <w:pStyle w:val="BodyText"/>
      </w:pPr>
      <w:r>
        <w:t xml:space="preserve">This </w:t>
      </w:r>
      <w:r w:rsidRPr="006B04AE">
        <w:rPr>
          <w:i/>
        </w:rPr>
        <w:t>Trade &amp; Assistance</w:t>
      </w:r>
      <w:r>
        <w:t xml:space="preserve"> </w:t>
      </w:r>
      <w:r w:rsidRPr="00167179">
        <w:rPr>
          <w:i/>
        </w:rPr>
        <w:t>Review</w:t>
      </w:r>
      <w:r>
        <w:t xml:space="preserve"> identifies five recent developments with significant industry assistance implications. These are discussed in more detail in chapter 3.</w:t>
      </w:r>
    </w:p>
    <w:p w:rsidR="007544CA" w:rsidRDefault="007544CA" w:rsidP="00133508">
      <w:pPr>
        <w:pStyle w:val="ListBullet"/>
      </w:pPr>
      <w:r>
        <w:t xml:space="preserve">The Agricultural Competitiveness White Paper (July 2015). The package is costed at $4 billion, with over half for concessional loans. The scale of assistance realised will depend on factors such as the difference between the concessional loan rate and the borrowing costs farmers are facing. Other direct financial assistance includes tax concessions. The package also includes indirect assistance, such as for R&amp;D. Many other measures are intended to benefit agriculture but are not considered to be industry assistance </w:t>
      </w:r>
      <w:r w:rsidRPr="005B35CD">
        <w:rPr>
          <w:i/>
        </w:rPr>
        <w:t>per se</w:t>
      </w:r>
      <w:r>
        <w:t>, such as improved roads in beef producing areas.</w:t>
      </w:r>
    </w:p>
    <w:p w:rsidR="007544CA" w:rsidRDefault="007544CA" w:rsidP="00133508">
      <w:pPr>
        <w:pStyle w:val="ListBullet"/>
      </w:pPr>
      <w:r>
        <w:t>The Defence Industry Policy Statement (March 2016) and local build of submarines. The Statement includes over $800 million over 10 years in support for the defence industry, including for</w:t>
      </w:r>
      <w:r w:rsidRPr="00F91116">
        <w:t xml:space="preserve"> </w:t>
      </w:r>
      <w:r>
        <w:t>skill development, collaborative R&amp;D, and exporting. To the extent that it involves a premium over an overseas build, the local build of the submarines also confers significant industry assistance. This is a major step back from the historical reduction in using government procurement preference as industry policy.</w:t>
      </w:r>
    </w:p>
    <w:p w:rsidR="007544CA" w:rsidRDefault="007544CA" w:rsidP="00133508">
      <w:pPr>
        <w:pStyle w:val="ListBullet"/>
      </w:pPr>
      <w:r>
        <w:t>Setting of the Renewable Energy Target (RET) (June 2015) and programs to meet the target and achieve carbon emissions reduction. Further business support over the budget forward estimates (and beyond) that has been committed or announced includes R&amp;D grants, an expansion of exemption from the RET liability, co</w:t>
      </w:r>
      <w:r>
        <w:noBreakHyphen/>
        <w:t xml:space="preserve">funding renewables </w:t>
      </w:r>
      <w:r>
        <w:lastRenderedPageBreak/>
        <w:t xml:space="preserve">projects, and debt and equity finance. The cost to government of the investment measures, and the industry assistance provided, will depend on the extent to which the government shares directly in the upside as well as downside of such investments. </w:t>
      </w:r>
    </w:p>
    <w:p w:rsidR="007544CA" w:rsidRDefault="007544CA" w:rsidP="00133508">
      <w:pPr>
        <w:pStyle w:val="ListBullet"/>
      </w:pPr>
      <w:r>
        <w:t>Establishment of several regional business investment grants programs. These relate to ‘life’ after cessation of automotive manufacturing or address more general economic growth concerns for Tasmania. These programs continue to follow the same design as past programs (including high project subsidy rates up to 50 per cent). A review of these types of grant programs is needed to see if this approach does indeed deliver the intended benefits.</w:t>
      </w:r>
    </w:p>
    <w:p w:rsidR="007544CA" w:rsidRDefault="007544CA" w:rsidP="00133508">
      <w:pPr>
        <w:pStyle w:val="ListBullet"/>
      </w:pPr>
      <w:r>
        <w:t xml:space="preserve">Support for business innovation, research collaboration and commercialisation announced in the </w:t>
      </w:r>
      <w:r w:rsidRPr="008F5EFD">
        <w:rPr>
          <w:i/>
        </w:rPr>
        <w:t>Industry Innovation and Competiveness Agenda</w:t>
      </w:r>
      <w:r>
        <w:t xml:space="preserve"> (October 2014) and the </w:t>
      </w:r>
      <w:r w:rsidRPr="008F5EFD">
        <w:rPr>
          <w:i/>
        </w:rPr>
        <w:t xml:space="preserve">National Innovation and Science </w:t>
      </w:r>
      <w:r>
        <w:rPr>
          <w:i/>
        </w:rPr>
        <w:t xml:space="preserve">Agenda </w:t>
      </w:r>
      <w:r>
        <w:t xml:space="preserve">(December 2015). These measures add to, rather than replace, an existing number of business innovation and collaboration programs. </w:t>
      </w:r>
    </w:p>
    <w:p w:rsidR="007544CA" w:rsidRDefault="007544CA" w:rsidP="00133508">
      <w:pPr>
        <w:pStyle w:val="BodyText"/>
      </w:pPr>
      <w:r>
        <w:t xml:space="preserve">Some of these measures will be included in the Commission’s future update of assistance estimates beyond 30 June 2015. </w:t>
      </w:r>
    </w:p>
    <w:p w:rsidR="007544CA" w:rsidRDefault="007544CA" w:rsidP="00133508">
      <w:pPr>
        <w:pStyle w:val="Heading3"/>
      </w:pPr>
      <w:r>
        <w:t>Progress on trade liberalisation is mixed</w:t>
      </w:r>
    </w:p>
    <w:p w:rsidR="007544CA" w:rsidRDefault="007544CA" w:rsidP="00133508">
      <w:pPr>
        <w:pStyle w:val="BodyText"/>
      </w:pPr>
      <w:r>
        <w:t>The 2013</w:t>
      </w:r>
      <w:r>
        <w:noBreakHyphen/>
        <w:t xml:space="preserve">14 </w:t>
      </w:r>
      <w:r w:rsidRPr="007C6FCD">
        <w:rPr>
          <w:i/>
        </w:rPr>
        <w:t>T</w:t>
      </w:r>
      <w:r>
        <w:rPr>
          <w:i/>
        </w:rPr>
        <w:t xml:space="preserve">rade &amp; Assistance Review </w:t>
      </w:r>
      <w:r w:rsidRPr="0012639C">
        <w:t>provided a</w:t>
      </w:r>
      <w:r>
        <w:rPr>
          <w:i/>
        </w:rPr>
        <w:t xml:space="preserve"> </w:t>
      </w:r>
      <w:r w:rsidRPr="00471B48">
        <w:t>comprehensive</w:t>
      </w:r>
      <w:r w:rsidRPr="00F615C5">
        <w:t xml:space="preserve"> </w:t>
      </w:r>
      <w:r>
        <w:t>update on the activities underway in Australian trade policy. The main developments in 2014</w:t>
      </w:r>
      <w:r>
        <w:noBreakHyphen/>
        <w:t>15 are summarised in chapter 4. They include the following.</w:t>
      </w:r>
    </w:p>
    <w:p w:rsidR="007544CA" w:rsidRDefault="007544CA" w:rsidP="00133508">
      <w:pPr>
        <w:pStyle w:val="ListBullet"/>
      </w:pPr>
      <w:r>
        <w:t>T</w:t>
      </w:r>
      <w:r w:rsidRPr="001766A7">
        <w:t>he China Australia Free Trade Agreement (</w:t>
      </w:r>
      <w:proofErr w:type="spellStart"/>
      <w:r w:rsidRPr="001766A7">
        <w:t>ChAFTA</w:t>
      </w:r>
      <w:proofErr w:type="spellEnd"/>
      <w:r w:rsidRPr="001766A7">
        <w:t>) came</w:t>
      </w:r>
      <w:r>
        <w:t xml:space="preserve"> into force on 20 December 2015.</w:t>
      </w:r>
    </w:p>
    <w:p w:rsidR="007544CA" w:rsidRPr="003825C7" w:rsidRDefault="007544CA" w:rsidP="00133508">
      <w:pPr>
        <w:pStyle w:val="ListBullet"/>
      </w:pPr>
      <w:r>
        <w:t>Australia signed the Trans</w:t>
      </w:r>
      <w:r>
        <w:noBreakHyphen/>
        <w:t>Pacific Partnership</w:t>
      </w:r>
      <w:r w:rsidRPr="00D7102C">
        <w:rPr>
          <w:lang w:val="en-US"/>
        </w:rPr>
        <w:t xml:space="preserve"> (</w:t>
      </w:r>
      <w:proofErr w:type="spellStart"/>
      <w:r w:rsidRPr="00D7102C">
        <w:rPr>
          <w:lang w:val="en-US"/>
        </w:rPr>
        <w:t>TPP</w:t>
      </w:r>
      <w:proofErr w:type="spellEnd"/>
      <w:r w:rsidRPr="00D7102C">
        <w:rPr>
          <w:lang w:val="en-US"/>
        </w:rPr>
        <w:t xml:space="preserve">) </w:t>
      </w:r>
      <w:r>
        <w:rPr>
          <w:lang w:val="en-US"/>
        </w:rPr>
        <w:t xml:space="preserve">Agreement </w:t>
      </w:r>
      <w:r w:rsidRPr="00D7102C">
        <w:rPr>
          <w:lang w:val="en-US"/>
        </w:rPr>
        <w:t>on 4</w:t>
      </w:r>
      <w:r>
        <w:rPr>
          <w:lang w:val="en-US"/>
        </w:rPr>
        <w:t> </w:t>
      </w:r>
      <w:r w:rsidRPr="00D7102C">
        <w:rPr>
          <w:lang w:val="en-US"/>
        </w:rPr>
        <w:t xml:space="preserve">February 2016. </w:t>
      </w:r>
      <w:r>
        <w:rPr>
          <w:lang w:val="en-US"/>
        </w:rPr>
        <w:t>A</w:t>
      </w:r>
      <w:r w:rsidRPr="00D7102C">
        <w:rPr>
          <w:lang w:val="en-US"/>
        </w:rPr>
        <w:t xml:space="preserve">greement countries met </w:t>
      </w:r>
      <w:r>
        <w:rPr>
          <w:lang w:val="en-US"/>
        </w:rPr>
        <w:t xml:space="preserve">in </w:t>
      </w:r>
      <w:r w:rsidRPr="00D7102C">
        <w:rPr>
          <w:lang w:val="en-US"/>
        </w:rPr>
        <w:t>May 2016 to review progress on their respective internal processes to approve the Agreement.</w:t>
      </w:r>
      <w:r>
        <w:rPr>
          <w:lang w:val="en-US"/>
        </w:rPr>
        <w:t xml:space="preserve"> The United States of America (USA) is unlikely to sign the </w:t>
      </w:r>
      <w:proofErr w:type="spellStart"/>
      <w:r>
        <w:rPr>
          <w:lang w:val="en-US"/>
        </w:rPr>
        <w:t>TPP</w:t>
      </w:r>
      <w:proofErr w:type="spellEnd"/>
      <w:r>
        <w:rPr>
          <w:lang w:val="en-US"/>
        </w:rPr>
        <w:t xml:space="preserve"> before its elections in November 2016, and some doubt hangs over whether it will come into force.</w:t>
      </w:r>
    </w:p>
    <w:p w:rsidR="007544CA" w:rsidRDefault="007544CA" w:rsidP="00133508">
      <w:pPr>
        <w:pStyle w:val="ListBullet"/>
      </w:pPr>
      <w:r>
        <w:t xml:space="preserve">An </w:t>
      </w:r>
      <w:r w:rsidRPr="00F16FF8">
        <w:t xml:space="preserve">accession offer to the WTO Committee on Government Procurement </w:t>
      </w:r>
      <w:r>
        <w:t>in</w:t>
      </w:r>
      <w:r w:rsidRPr="00F16FF8">
        <w:t xml:space="preserve"> September</w:t>
      </w:r>
      <w:r>
        <w:t> </w:t>
      </w:r>
      <w:r w:rsidRPr="00F16FF8">
        <w:t>2015</w:t>
      </w:r>
      <w:r>
        <w:t xml:space="preserve">. </w:t>
      </w:r>
      <w:r>
        <w:rPr>
          <w:lang w:val="en-US"/>
        </w:rPr>
        <w:t>Membership of the Government Procurement Agreement (GPA) would provide legally binding market access for Australian firms to the procurement markets of GPA Members (currently 18 including the EU). Conversely, Australia would provide similar access to foreign firms to Australian Government procurement. Australia’s accession offer has yet to be made public.</w:t>
      </w:r>
    </w:p>
    <w:p w:rsidR="007544CA" w:rsidRPr="003825C7" w:rsidRDefault="007544CA" w:rsidP="00133508">
      <w:pPr>
        <w:pStyle w:val="ListBullet"/>
      </w:pPr>
      <w:r>
        <w:rPr>
          <w:lang w:val="en-US"/>
        </w:rPr>
        <w:t xml:space="preserve">Australian is a joint leader, with the European Union (EU) and USA, in negotiations (among 23 Parties) on a proposed </w:t>
      </w:r>
      <w:r w:rsidRPr="00705A9F">
        <w:rPr>
          <w:lang w:val="en-US"/>
        </w:rPr>
        <w:t>Trade in Services Agreement (</w:t>
      </w:r>
      <w:proofErr w:type="spellStart"/>
      <w:r w:rsidRPr="00705A9F">
        <w:rPr>
          <w:lang w:val="en-US"/>
        </w:rPr>
        <w:t>TiSA</w:t>
      </w:r>
      <w:proofErr w:type="spellEnd"/>
      <w:r>
        <w:rPr>
          <w:lang w:val="en-US"/>
        </w:rPr>
        <w:t xml:space="preserve">), covering an estimated 70 per cent of global services trade. By opening up trade in services, the Parties hope the </w:t>
      </w:r>
      <w:proofErr w:type="spellStart"/>
      <w:r>
        <w:rPr>
          <w:lang w:val="en-US"/>
        </w:rPr>
        <w:t>TiSA</w:t>
      </w:r>
      <w:proofErr w:type="spellEnd"/>
      <w:r>
        <w:rPr>
          <w:lang w:val="en-US"/>
        </w:rPr>
        <w:t xml:space="preserve"> talks will help kick start the stalled multilateral negotiations under the WTO Doha Round.</w:t>
      </w:r>
      <w:r w:rsidRPr="00705A9F">
        <w:rPr>
          <w:lang w:val="en-US"/>
        </w:rPr>
        <w:t xml:space="preserve"> </w:t>
      </w:r>
    </w:p>
    <w:p w:rsidR="007544CA" w:rsidRDefault="007544CA" w:rsidP="00133508">
      <w:pPr>
        <w:pStyle w:val="ListBullet"/>
      </w:pPr>
      <w:r>
        <w:lastRenderedPageBreak/>
        <w:t>The final arbitration of the investor</w:t>
      </w:r>
      <w:r>
        <w:noBreakHyphen/>
        <w:t>state dispute in relation to tobacco plain packaging was concluded in Australia’s favour. Notwithstanding, caution should continue to be exercised about inclusion of investor</w:t>
      </w:r>
      <w:r>
        <w:noBreakHyphen/>
        <w:t>state dispute settlement (</w:t>
      </w:r>
      <w:proofErr w:type="spellStart"/>
      <w:r>
        <w:t>ISDS</w:t>
      </w:r>
      <w:proofErr w:type="spellEnd"/>
      <w:r>
        <w:t xml:space="preserve">) provisions in trade agreements. The </w:t>
      </w:r>
      <w:proofErr w:type="spellStart"/>
      <w:r>
        <w:t>ISDS</w:t>
      </w:r>
      <w:proofErr w:type="spellEnd"/>
      <w:r>
        <w:t xml:space="preserve"> avenue was one of three avenues of dispute by the tobacco companies (and supporting countries). The Constitutional challenges failed in 2012, but the WTO Disputes by five tobacco exporting countries remain open. </w:t>
      </w:r>
    </w:p>
    <w:p w:rsidR="007544CA" w:rsidRDefault="007544CA" w:rsidP="00133508">
      <w:pPr>
        <w:pStyle w:val="ListBullet"/>
      </w:pPr>
      <w:r>
        <w:t>A</w:t>
      </w:r>
      <w:r w:rsidRPr="00B523FF">
        <w:t xml:space="preserve">n economic stocktake of recent </w:t>
      </w:r>
      <w:proofErr w:type="spellStart"/>
      <w:r w:rsidRPr="00B523FF">
        <w:t>anti</w:t>
      </w:r>
      <w:r>
        <w:noBreakHyphen/>
      </w:r>
      <w:r w:rsidRPr="00B523FF">
        <w:t>dumping</w:t>
      </w:r>
      <w:proofErr w:type="spellEnd"/>
      <w:r w:rsidRPr="00B523FF">
        <w:t xml:space="preserve"> activity and the changes to Australia</w:t>
      </w:r>
      <w:r>
        <w:t>’</w:t>
      </w:r>
      <w:r w:rsidRPr="00B523FF">
        <w:t xml:space="preserve">s </w:t>
      </w:r>
      <w:proofErr w:type="spellStart"/>
      <w:r w:rsidRPr="00B523FF">
        <w:t>anti</w:t>
      </w:r>
      <w:r>
        <w:noBreakHyphen/>
      </w:r>
      <w:r w:rsidRPr="00B523FF">
        <w:t>dumping</w:t>
      </w:r>
      <w:proofErr w:type="spellEnd"/>
      <w:r w:rsidRPr="00B523FF">
        <w:t xml:space="preserve"> system since 2009 </w:t>
      </w:r>
      <w:r>
        <w:t xml:space="preserve">found </w:t>
      </w:r>
      <w:r w:rsidRPr="00B523FF">
        <w:t xml:space="preserve">that there has been an increase in use of </w:t>
      </w:r>
      <w:proofErr w:type="spellStart"/>
      <w:r w:rsidRPr="00B523FF">
        <w:t>anti</w:t>
      </w:r>
      <w:r>
        <w:noBreakHyphen/>
      </w:r>
      <w:r w:rsidRPr="00B523FF">
        <w:t>dumping</w:t>
      </w:r>
      <w:proofErr w:type="spellEnd"/>
      <w:r w:rsidRPr="00B523FF">
        <w:t xml:space="preserve"> measures</w:t>
      </w:r>
      <w:r>
        <w:t>. P</w:t>
      </w:r>
      <w:r w:rsidRPr="00B523FF">
        <w:t xml:space="preserve">olicy changes have made </w:t>
      </w:r>
      <w:proofErr w:type="spellStart"/>
      <w:r w:rsidRPr="00B523FF">
        <w:t>anti</w:t>
      </w:r>
      <w:r>
        <w:noBreakHyphen/>
      </w:r>
      <w:r w:rsidRPr="00B523FF">
        <w:t>dumping</w:t>
      </w:r>
      <w:proofErr w:type="spellEnd"/>
      <w:r w:rsidRPr="00B523FF">
        <w:t xml:space="preserve"> protection easier to access</w:t>
      </w:r>
      <w:r>
        <w:t xml:space="preserve">, accommodating </w:t>
      </w:r>
      <w:r w:rsidRPr="00B523FF">
        <w:t>increased demand for protection.</w:t>
      </w:r>
    </w:p>
    <w:p w:rsidR="007544CA" w:rsidRDefault="007544CA" w:rsidP="00133508">
      <w:pPr>
        <w:pStyle w:val="ListBullet"/>
      </w:pPr>
      <w:r>
        <w:t>Screening limits and conditions associated with some foreign investments have been tightened, in particular agricultural land and agribusinesses. The rejection of the proposed sale of the Kidman pastoral assets raises some important questions about foreign investments rules and processes, such as the meaning of ‘the national interest’.</w:t>
      </w:r>
    </w:p>
    <w:p w:rsidR="007544CA" w:rsidRDefault="007544CA" w:rsidP="00133508">
      <w:pPr>
        <w:pStyle w:val="Heading3"/>
      </w:pPr>
      <w:r>
        <w:t>About this Review</w:t>
      </w:r>
    </w:p>
    <w:p w:rsidR="007544CA" w:rsidRDefault="007544CA" w:rsidP="00133508">
      <w:pPr>
        <w:pStyle w:val="BodyText"/>
      </w:pPr>
      <w:r>
        <w:t xml:space="preserve">This edition of </w:t>
      </w:r>
      <w:r w:rsidRPr="001E1338">
        <w:rPr>
          <w:i/>
        </w:rPr>
        <w:t>Trade &amp; Assistance Review</w:t>
      </w:r>
      <w:r>
        <w:t xml:space="preserve"> is organised as follows:</w:t>
      </w:r>
    </w:p>
    <w:p w:rsidR="007544CA" w:rsidRDefault="007544CA" w:rsidP="00133508">
      <w:pPr>
        <w:pStyle w:val="ListBullet"/>
      </w:pPr>
      <w:r>
        <w:t>Chapter 2 (and the supporting appendix A) contains the Commission’s latest estimates of Australian Government assistance to industry, for the year to 30 June 2015. This continues a time series of assistance estimates dating back four decades. This long series provides a clear illustration of the patterns of industry support through time and the reform of trade barriers.</w:t>
      </w:r>
    </w:p>
    <w:p w:rsidR="007544CA" w:rsidRDefault="007544CA" w:rsidP="00133508">
      <w:pPr>
        <w:pStyle w:val="ListBullet"/>
      </w:pPr>
      <w:r>
        <w:t>Chapter 3 (and the supporting appendix B) reports on material announcements and developments in industry assistance since around May 2015, such as proposed new programs, recent expenditures under established schemes, and reviews. This provides some insight into potential changes in measured assistance.</w:t>
      </w:r>
    </w:p>
    <w:p w:rsidR="007544CA" w:rsidRDefault="007544CA" w:rsidP="00133508">
      <w:pPr>
        <w:pStyle w:val="ListBullet"/>
      </w:pPr>
      <w:r>
        <w:t xml:space="preserve">Chapter 4 outlines recent developments in trade policy, such as trade agreement negotiations, </w:t>
      </w:r>
      <w:proofErr w:type="spellStart"/>
      <w:r>
        <w:t>anti</w:t>
      </w:r>
      <w:r>
        <w:noBreakHyphen/>
        <w:t>dumping</w:t>
      </w:r>
      <w:proofErr w:type="spellEnd"/>
      <w:r>
        <w:t xml:space="preserve"> assistance and foreign investment restrictions.</w:t>
      </w:r>
    </w:p>
    <w:p w:rsidR="007544CA" w:rsidRDefault="007544CA" w:rsidP="00133508">
      <w:pPr>
        <w:pStyle w:val="BodyText"/>
      </w:pPr>
    </w:p>
    <w:p w:rsidR="007544CA" w:rsidRDefault="007544CA" w:rsidP="007544CA">
      <w:pPr>
        <w:sectPr w:rsidR="007544CA" w:rsidSect="007544CA">
          <w:headerReference w:type="even" r:id="rId14"/>
          <w:headerReference w:type="default" r:id="rId15"/>
          <w:footerReference w:type="even" r:id="rId16"/>
          <w:footerReference w:type="default" r:id="rId17"/>
          <w:pgSz w:w="11907" w:h="16840" w:code="9"/>
          <w:pgMar w:top="1985" w:right="1304" w:bottom="1247" w:left="1814" w:header="1701" w:footer="397" w:gutter="0"/>
          <w:pgNumType w:chapSep="period"/>
          <w:cols w:space="720"/>
          <w:docGrid w:linePitch="326"/>
        </w:sectPr>
      </w:pPr>
    </w:p>
    <w:p w:rsidR="007544CA" w:rsidRDefault="007544CA" w:rsidP="00133508">
      <w:pPr>
        <w:pStyle w:val="Heading1"/>
        <w:spacing w:before="0"/>
      </w:pPr>
      <w:r>
        <w:lastRenderedPageBreak/>
        <w:t>2</w:t>
      </w:r>
      <w:r>
        <w:tab/>
        <w:t>Assistance estimates</w:t>
      </w:r>
    </w:p>
    <w:p w:rsidR="007544CA" w:rsidRDefault="007544CA" w:rsidP="00133508">
      <w:pPr>
        <w:pStyle w:val="BodyText"/>
      </w:pPr>
      <w:r>
        <w:t>Industry is assisted through a wide array of government programs, regulatory instruments and policies. Each year, the Commission updates and publishes estimates of the assistance provided by:</w:t>
      </w:r>
    </w:p>
    <w:p w:rsidR="007544CA" w:rsidRDefault="007544CA" w:rsidP="00133508">
      <w:pPr>
        <w:pStyle w:val="ListBullet"/>
      </w:pPr>
      <w:r>
        <w:t>import tariffs, which raise the price of imported products (mainly manufactured goods) allowing competing domestic firms to charge higher prices</w:t>
      </w:r>
    </w:p>
    <w:p w:rsidR="007544CA" w:rsidRDefault="007544CA" w:rsidP="00133508">
      <w:pPr>
        <w:pStyle w:val="ListBullet"/>
      </w:pPr>
      <w:r>
        <w:t>Australian Government budgetary measures — divided into government subsidies (predominantly grants and concessional loans) and tax concessions. This budgetary support advantages recipient firms and industries relative to those that do not receive support.</w:t>
      </w:r>
      <w:r>
        <w:rPr>
          <w:rStyle w:val="FootnoteReference"/>
        </w:rPr>
        <w:footnoteReference w:id="3"/>
      </w:r>
      <w:r>
        <w:t xml:space="preserve"> </w:t>
      </w:r>
    </w:p>
    <w:p w:rsidR="007544CA" w:rsidRDefault="007544CA">
      <w:pPr>
        <w:pStyle w:val="BodyText"/>
      </w:pPr>
      <w:r>
        <w:t>The estimates cover a broad range of measures that afford substantive support to industry and that can be readily quantified on a consistent annual basis. However, they do not capture all Australian Government support for industry (box 2.1). For example, the assistance provided through government regulation is not included in the estimates, nor is assistance arising from government purchasing preferences. In large part this is because the extent of these forms of assistance is difficult to estimate. The estimates also do not include assistance from other government jurisdictions. This can be considerable. A detailed study for the 2009</w:t>
      </w:r>
      <w:r>
        <w:noBreakHyphen/>
        <w:t>10 Review indicated that State and Territory assistance to industry amounted to around $4 billion in identifiable assistance in 2008</w:t>
      </w:r>
      <w:r>
        <w:noBreakHyphen/>
        <w:t>09 (PC </w:t>
      </w:r>
      <w:proofErr w:type="spellStart"/>
      <w:r>
        <w:t>2011b</w:t>
      </w:r>
      <w:proofErr w:type="spellEnd"/>
      <w:r>
        <w:t xml:space="preserve">). The reported estimates in this chapter, therefore, do not cover the full extent of assistance to industry and the gap between reported values and actual assistance is potentially large. </w:t>
      </w:r>
    </w:p>
    <w:p w:rsidR="007544CA" w:rsidRDefault="007544CA">
      <w:pPr>
        <w:pStyle w:val="BodyText"/>
      </w:pPr>
      <w:r>
        <w:t xml:space="preserve">There are also government policies that can advantage businesses that are not considered industry assistance. This arises where activities to support social or other objectives increases demand for an industry’s products, or where it lowers the costs of production for some businesses (box 2.1). This chapter reports on government activities that constitute industry assistance and that can be measured. </w:t>
      </w:r>
    </w:p>
    <w:p w:rsidR="007544CA" w:rsidRDefault="007544C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F2F2F2"/>
          </w:tcPr>
          <w:p w:rsidR="007544CA" w:rsidRDefault="007544CA" w:rsidP="00133508">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2.</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1</w:t>
            </w:r>
            <w:r>
              <w:rPr>
                <w:b w:val="0"/>
              </w:rPr>
              <w:fldChar w:fldCharType="end"/>
            </w:r>
            <w:r>
              <w:tab/>
              <w:t>What is not included in the Commission’s assistance estimates</w:t>
            </w:r>
          </w:p>
        </w:tc>
      </w:tr>
      <w:tr w:rsidR="007544CA" w:rsidTr="00133508">
        <w:trPr>
          <w:cantSplit/>
        </w:trPr>
        <w:tc>
          <w:tcPr>
            <w:tcW w:w="8771" w:type="dxa"/>
            <w:tcBorders>
              <w:top w:val="nil"/>
              <w:left w:val="nil"/>
              <w:bottom w:val="nil"/>
              <w:right w:val="nil"/>
            </w:tcBorders>
            <w:shd w:val="clear" w:color="auto" w:fill="F2F2F2"/>
          </w:tcPr>
          <w:p w:rsidR="007544CA" w:rsidRDefault="007544CA" w:rsidP="00133508">
            <w:pPr>
              <w:pStyle w:val="Box"/>
            </w:pPr>
            <w:r>
              <w:t xml:space="preserve">The Commission’s assistance estimates cover only those measures that selectively benefit particular firms, industries or activities, and that can be quantified given practical constraints in measurement and data availability. Consequently, there are some significant government programs which selectively confer industry assistance, but cannot be appropriately estimated. Conversely, certain businesses benefit significantly from some government arrangements, but the benefit is not classified as (preferential) industry assistance, generally because the purpose of the arrangement is a broader public objective. </w:t>
            </w:r>
          </w:p>
          <w:p w:rsidR="007544CA" w:rsidRPr="00D07007" w:rsidRDefault="007544CA" w:rsidP="00133508">
            <w:pPr>
              <w:pStyle w:val="BoxHeading1"/>
            </w:pPr>
            <w:r>
              <w:t>Examples of industry assistance not included in the core estimates</w:t>
            </w:r>
          </w:p>
          <w:p w:rsidR="007544CA" w:rsidRPr="0034061E" w:rsidRDefault="007544CA" w:rsidP="00133508">
            <w:pPr>
              <w:pStyle w:val="BoxListBullet"/>
            </w:pPr>
            <w:r w:rsidRPr="0034061E">
              <w:t>Regulatory restrictions on competition such as those relating to pharmacies, air services, importation of books, media and broadcasting, and importation of second hand cars</w:t>
            </w:r>
          </w:p>
          <w:p w:rsidR="007544CA" w:rsidRPr="0034061E" w:rsidRDefault="007544CA" w:rsidP="00133508">
            <w:pPr>
              <w:pStyle w:val="BoxListBullet"/>
            </w:pPr>
            <w:r w:rsidRPr="0034061E">
              <w:t>Government purchasing preferences and local content arrangements, such as defence procurement</w:t>
            </w:r>
          </w:p>
          <w:p w:rsidR="007544CA" w:rsidRDefault="007544CA" w:rsidP="00133508">
            <w:pPr>
              <w:pStyle w:val="BoxListBullet"/>
            </w:pPr>
            <w:r>
              <w:t>Concessional debt and equity finance</w:t>
            </w:r>
          </w:p>
          <w:p w:rsidR="007544CA" w:rsidRPr="0034061E" w:rsidRDefault="007544CA" w:rsidP="00133508">
            <w:pPr>
              <w:pStyle w:val="BoxListBullet"/>
            </w:pPr>
            <w:r w:rsidRPr="0034061E">
              <w:t xml:space="preserve">State and </w:t>
            </w:r>
            <w:r>
              <w:t>t</w:t>
            </w:r>
            <w:r w:rsidRPr="0034061E">
              <w:t>erritory government support to industry</w:t>
            </w:r>
          </w:p>
          <w:p w:rsidR="007544CA" w:rsidRDefault="007544CA" w:rsidP="00133508">
            <w:pPr>
              <w:pStyle w:val="BoxListBullet"/>
            </w:pPr>
            <w:r w:rsidRPr="0034061E">
              <w:t>Anti</w:t>
            </w:r>
            <w:r>
              <w:noBreakHyphen/>
            </w:r>
            <w:r w:rsidRPr="0034061E">
              <w:t>dumping and countervailing duties</w:t>
            </w:r>
          </w:p>
          <w:p w:rsidR="007544CA" w:rsidRDefault="007544CA" w:rsidP="00133508">
            <w:pPr>
              <w:pStyle w:val="BoxListBullet"/>
            </w:pPr>
            <w:r>
              <w:t>Access and pricing of resources (mining, forestry, fisheries and water), if on favourable economic terms.</w:t>
            </w:r>
          </w:p>
          <w:p w:rsidR="007544CA" w:rsidRPr="0034061E" w:rsidRDefault="007544CA" w:rsidP="00133508">
            <w:pPr>
              <w:pStyle w:val="BoxListBullet"/>
            </w:pPr>
            <w:r>
              <w:t>Support for professional sport (such as tax concessions for international tournaments in Australia and support for sporting venue redevelopment).</w:t>
            </w:r>
          </w:p>
          <w:p w:rsidR="007544CA" w:rsidRDefault="007544CA" w:rsidP="00133508">
            <w:pPr>
              <w:pStyle w:val="Box"/>
            </w:pPr>
            <w:r>
              <w:t xml:space="preserve">Some of these arrangements have been examined in detail in inquiries, research reports, and previous </w:t>
            </w:r>
            <w:r>
              <w:rPr>
                <w:i/>
              </w:rPr>
              <w:t>Trade &amp; Assistance</w:t>
            </w:r>
            <w:r>
              <w:t xml:space="preserve"> Reviews. </w:t>
            </w:r>
          </w:p>
          <w:p w:rsidR="007544CA" w:rsidRDefault="007544CA" w:rsidP="00133508">
            <w:pPr>
              <w:pStyle w:val="BoxHeading1"/>
            </w:pPr>
            <w:r>
              <w:t>Examples of policies that provide a benefit to certain businesses that are not classified as industry assistance</w:t>
            </w:r>
          </w:p>
          <w:p w:rsidR="007544CA" w:rsidRDefault="007544CA" w:rsidP="00133508">
            <w:pPr>
              <w:pStyle w:val="BoxListBullet"/>
            </w:pPr>
            <w:r>
              <w:t>Superannuation concessions</w:t>
            </w:r>
          </w:p>
          <w:p w:rsidR="007544CA" w:rsidRDefault="007544CA" w:rsidP="00133508">
            <w:pPr>
              <w:pStyle w:val="BoxListBullet"/>
            </w:pPr>
            <w:r>
              <w:t>Health insurance rebate</w:t>
            </w:r>
          </w:p>
          <w:p w:rsidR="007544CA" w:rsidRDefault="007544CA" w:rsidP="00133508">
            <w:pPr>
              <w:pStyle w:val="BoxListBullet"/>
            </w:pPr>
            <w:r>
              <w:t>Government funding of private community service providers</w:t>
            </w:r>
          </w:p>
          <w:p w:rsidR="007544CA" w:rsidRDefault="007544CA" w:rsidP="00133508">
            <w:pPr>
              <w:pStyle w:val="BoxListBullet"/>
            </w:pPr>
            <w:r>
              <w:t>Indigenous business support</w:t>
            </w:r>
          </w:p>
          <w:p w:rsidR="007544CA" w:rsidRDefault="007544CA" w:rsidP="00133508">
            <w:pPr>
              <w:pStyle w:val="BoxListBullet"/>
            </w:pPr>
            <w:r>
              <w:t xml:space="preserve">Employment incentives to business </w:t>
            </w:r>
          </w:p>
          <w:p w:rsidR="007544CA" w:rsidRDefault="007544CA" w:rsidP="00133508">
            <w:pPr>
              <w:pStyle w:val="BoxListBullet"/>
            </w:pPr>
            <w:r>
              <w:t>Remote housing concessions in mining regions</w:t>
            </w:r>
          </w:p>
          <w:p w:rsidR="007544CA" w:rsidRDefault="007544CA" w:rsidP="00133508">
            <w:pPr>
              <w:pStyle w:val="BoxListBullet"/>
            </w:pPr>
            <w:r>
              <w:t xml:space="preserve">Differential tax rates in relation to excises, GST and </w:t>
            </w:r>
            <w:proofErr w:type="spellStart"/>
            <w:r>
              <w:t>FBT</w:t>
            </w:r>
            <w:proofErr w:type="spellEnd"/>
            <w:r>
              <w:t xml:space="preserve"> (and state payroll tax) </w:t>
            </w:r>
          </w:p>
          <w:p w:rsidR="007544CA" w:rsidRDefault="007544CA" w:rsidP="00133508">
            <w:pPr>
              <w:pStyle w:val="BoxListBullet"/>
            </w:pPr>
            <w:r>
              <w:t xml:space="preserve">Improved transport infrastructure, for example, an upgraded road in a concentrated beef producing area would be expected to lower logistics costs for beef producers, but the road is not for the sole use of beef producers. </w:t>
            </w:r>
          </w:p>
          <w:p w:rsidR="007544CA" w:rsidRDefault="007544CA" w:rsidP="00133508">
            <w:pPr>
              <w:pStyle w:val="Box"/>
            </w:pPr>
            <w:r>
              <w:t>Although not classified as assistance, evaluations of these program should include analysis of the effects on business.</w:t>
            </w:r>
          </w:p>
        </w:tc>
      </w:tr>
      <w:tr w:rsidR="007544CA" w:rsidTr="00133508">
        <w:trPr>
          <w:cantSplit/>
        </w:trPr>
        <w:tc>
          <w:tcPr>
            <w:tcW w:w="8771" w:type="dxa"/>
            <w:tcBorders>
              <w:top w:val="nil"/>
              <w:left w:val="nil"/>
              <w:bottom w:val="single" w:sz="6" w:space="0" w:color="78A22F"/>
              <w:right w:val="nil"/>
            </w:tcBorders>
            <w:shd w:val="clear" w:color="auto" w:fill="F2F2F2"/>
          </w:tcPr>
          <w:p w:rsidR="007544CA" w:rsidRDefault="007544CA" w:rsidP="00133508">
            <w:pPr>
              <w:pStyle w:val="Box"/>
              <w:spacing w:before="0" w:line="120" w:lineRule="exact"/>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BodyText"/>
      </w:pPr>
      <w:r>
        <w:lastRenderedPageBreak/>
        <w:t>The following sections present the 2014</w:t>
      </w:r>
      <w:r>
        <w:noBreakHyphen/>
        <w:t xml:space="preserve">15 assistance estimates at the sectoral level (primary production, mining, manufacturing and services), and for detailed 34 industry groupings. Detailed estimates are provided in appendix A. The estimates cover: </w:t>
      </w:r>
    </w:p>
    <w:p w:rsidR="007544CA" w:rsidRDefault="007544CA" w:rsidP="00133508">
      <w:pPr>
        <w:pStyle w:val="ListBullet"/>
      </w:pPr>
      <w:r>
        <w:t>gross and net assistance provided by import tariffs, which mainly assist the manufacturing sector while raising costs to consumers and to industries that use manufactured and other tariff</w:t>
      </w:r>
      <w:r>
        <w:noBreakHyphen/>
        <w:t>assisted inputs (section 2.1)</w:t>
      </w:r>
    </w:p>
    <w:p w:rsidR="007544CA" w:rsidRDefault="007544CA" w:rsidP="00133508">
      <w:pPr>
        <w:pStyle w:val="ListBullet"/>
      </w:pPr>
      <w:r>
        <w:t>Australian Government budgetary measures — divided into government outlays and tax concessions, and then into 8 categories (including R&amp;D, export assistance and support to small business), which confer financial support to the recipient businesses (section 2.2)</w:t>
      </w:r>
    </w:p>
    <w:p w:rsidR="007544CA" w:rsidRDefault="007544CA" w:rsidP="00133508">
      <w:pPr>
        <w:pStyle w:val="ListBullet"/>
      </w:pPr>
      <w:r>
        <w:t xml:space="preserve">the combined rate of assistance, and the effective rate of assistance, which indicates the extent to which assistance to an industry enables it to attract and hold economic resources relative to other industries (section 2.3). </w:t>
      </w:r>
    </w:p>
    <w:p w:rsidR="007544CA" w:rsidRDefault="007544CA" w:rsidP="00133508">
      <w:pPr>
        <w:pStyle w:val="ListBullet"/>
      </w:pPr>
      <w:r>
        <w:t xml:space="preserve">trends in these sources of assistance over the four decades (section 2.4). </w:t>
      </w:r>
    </w:p>
    <w:p w:rsidR="007544CA" w:rsidRPr="00CB1596" w:rsidRDefault="007544CA" w:rsidP="00133508">
      <w:pPr>
        <w:pStyle w:val="Heading2"/>
      </w:pPr>
      <w:r w:rsidRPr="00E66E87">
        <w:fldChar w:fldCharType="begin" w:fldLock="1"/>
      </w:r>
      <w:r w:rsidRPr="007B14A0">
        <w:instrText xml:space="preserve"> COMMENTS  \* MERGEFORMAT </w:instrText>
      </w:r>
      <w:r w:rsidRPr="00E66E87">
        <w:fldChar w:fldCharType="separate"/>
      </w:r>
      <w:r>
        <w:t>2.</w:t>
      </w:r>
      <w:r w:rsidRPr="00E66E87">
        <w:fldChar w:fldCharType="end"/>
      </w:r>
      <w:r w:rsidR="00366344">
        <w:fldChar w:fldCharType="begin" w:fldLock="1"/>
      </w:r>
      <w:r w:rsidR="00366344">
        <w:instrText xml:space="preserve"> SEQ Heading2 </w:instrText>
      </w:r>
      <w:r w:rsidR="00366344">
        <w:fldChar w:fldCharType="separate"/>
      </w:r>
      <w:r>
        <w:rPr>
          <w:noProof/>
        </w:rPr>
        <w:t>1</w:t>
      </w:r>
      <w:r w:rsidR="00366344">
        <w:rPr>
          <w:noProof/>
        </w:rPr>
        <w:fldChar w:fldCharType="end"/>
      </w:r>
      <w:r>
        <w:tab/>
        <w:t>Tariff assistance</w:t>
      </w:r>
    </w:p>
    <w:p w:rsidR="007544CA" w:rsidRDefault="007544CA" w:rsidP="00133508">
      <w:pPr>
        <w:pStyle w:val="BodyText"/>
      </w:pPr>
      <w:r>
        <w:t xml:space="preserve">Tariffs have direct effects on the returns received by Australian producers, where over 50 per cent of merchandise trade continues to be subject to a 5 per cent general tariff on imported goods. The Commission’s estimates of tariff assistance are divided into three categories — ‘output’ assistance, ‘input’ assistance and ‘net’ assistance. </w:t>
      </w:r>
    </w:p>
    <w:p w:rsidR="007544CA" w:rsidRDefault="007544CA" w:rsidP="00133508">
      <w:pPr>
        <w:pStyle w:val="ListBullet"/>
      </w:pPr>
      <w:r>
        <w:t xml:space="preserve">Tariffs on imported goods increase the price at which those goods are sold on the Australian market and, thus, allow scope for domestic producers of competing products to increase their prices. These effects are captured by the Commission’s estimates of </w:t>
      </w:r>
      <w:r w:rsidRPr="00545DD7">
        <w:rPr>
          <w:i/>
        </w:rPr>
        <w:t>output assistance</w:t>
      </w:r>
      <w:r>
        <w:t xml:space="preserve">. </w:t>
      </w:r>
    </w:p>
    <w:p w:rsidR="007544CA" w:rsidRDefault="007544CA" w:rsidP="00133508">
      <w:pPr>
        <w:pStyle w:val="ListBullet"/>
      </w:pPr>
      <w:r>
        <w:t xml:space="preserve">On the other hand, tariffs also increase the price of local and imported goods that are used as inputs and thus penalise local user industries. This ‘penalty’ is reduced if tariff concessions are available to Australian producers. The penalties are reflected in the Commission’s estimates of </w:t>
      </w:r>
      <w:r w:rsidRPr="00545DD7">
        <w:rPr>
          <w:i/>
        </w:rPr>
        <w:t>input assistance</w:t>
      </w:r>
      <w:r>
        <w:t xml:space="preserve">. </w:t>
      </w:r>
    </w:p>
    <w:p w:rsidR="007544CA" w:rsidRDefault="007544CA" w:rsidP="00133508">
      <w:pPr>
        <w:pStyle w:val="ListBullet"/>
      </w:pPr>
      <w:r w:rsidRPr="00545DD7">
        <w:rPr>
          <w:i/>
        </w:rPr>
        <w:t>Net tariff assistance</w:t>
      </w:r>
      <w:r>
        <w:t xml:space="preserve"> represents the total net assistance provided through tariffs to industry, and is calculated as output tariff assistance less the input assistance, where input assistance is the cost penalty on business inputs imposed by tariffs (box 2.2).</w:t>
      </w:r>
    </w:p>
    <w:p w:rsidR="007544CA" w:rsidRDefault="007544CA" w:rsidP="00133508">
      <w:pPr>
        <w:pStyle w:val="Heading3"/>
      </w:pPr>
      <w:r>
        <w:t>Output assistance</w:t>
      </w:r>
    </w:p>
    <w:p w:rsidR="007544CA" w:rsidRDefault="007544CA" w:rsidP="00133508">
      <w:pPr>
        <w:pStyle w:val="BodyText"/>
      </w:pPr>
      <w:r w:rsidRPr="00DC23A3">
        <w:t>The gross value of tariff assistance to domestic production was around $7.</w:t>
      </w:r>
      <w:r>
        <w:t>8 </w:t>
      </w:r>
      <w:r w:rsidRPr="00DC23A3">
        <w:t>billion in 201</w:t>
      </w:r>
      <w:r>
        <w:t>4</w:t>
      </w:r>
      <w:r>
        <w:noBreakHyphen/>
        <w:t>15,</w:t>
      </w:r>
      <w:r w:rsidRPr="00DC23A3">
        <w:t xml:space="preserve"> </w:t>
      </w:r>
      <w:r>
        <w:t xml:space="preserve">around the same level as in the previous year </w:t>
      </w:r>
      <w:r w:rsidRPr="00DC23A3">
        <w:t>(table</w:t>
      </w:r>
      <w:r>
        <w:t> 2.1</w:t>
      </w:r>
      <w:r w:rsidRPr="00DC23A3">
        <w:t xml:space="preserve">). </w:t>
      </w:r>
      <w:r>
        <w:t>The gross value of tariff assistance fell from 2009</w:t>
      </w:r>
      <w:r>
        <w:noBreakHyphen/>
        <w:t>10 to 2014</w:t>
      </w:r>
      <w:r>
        <w:noBreakHyphen/>
        <w:t xml:space="preserve">15. </w:t>
      </w:r>
      <w:r w:rsidRPr="00DC23A3">
        <w:t xml:space="preserve">The estimated </w:t>
      </w:r>
      <w:r>
        <w:t>fall</w:t>
      </w:r>
      <w:r w:rsidRPr="00DC23A3">
        <w:t xml:space="preserve"> in 2010</w:t>
      </w:r>
      <w:r>
        <w:noBreakHyphen/>
      </w:r>
      <w:r w:rsidRPr="00DC23A3">
        <w:t xml:space="preserve">11 </w:t>
      </w:r>
      <w:r>
        <w:t>reflects mainly</w:t>
      </w:r>
      <w:r w:rsidRPr="00DC23A3">
        <w:t xml:space="preserve"> reductions in </w:t>
      </w:r>
      <w:r>
        <w:t xml:space="preserve">tariffs </w:t>
      </w:r>
      <w:r w:rsidRPr="00DC23A3">
        <w:t>assist</w:t>
      </w:r>
      <w:r>
        <w:t>ing</w:t>
      </w:r>
      <w:r w:rsidRPr="00DC23A3">
        <w:t xml:space="preserve"> </w:t>
      </w:r>
      <w:r w:rsidRPr="00CE67F8">
        <w:rPr>
          <w:i/>
        </w:rPr>
        <w:t>Motor vehicles and parts</w:t>
      </w:r>
      <w:r>
        <w:t xml:space="preserve"> (to 5 per cent)</w:t>
      </w:r>
      <w:r w:rsidRPr="00DC23A3">
        <w:t xml:space="preserve"> and </w:t>
      </w:r>
      <w:r>
        <w:t xml:space="preserve">certain </w:t>
      </w:r>
      <w:r w:rsidRPr="00CE67F8">
        <w:rPr>
          <w:i/>
        </w:rPr>
        <w:t>Textiles, clothing and footwear products</w:t>
      </w:r>
      <w:r>
        <w:t xml:space="preserve"> (to 10 per cent)</w:t>
      </w:r>
      <w:r w:rsidRPr="00FE293B">
        <w:t xml:space="preserve"> </w:t>
      </w:r>
      <w:r w:rsidRPr="00DC23A3">
        <w:t xml:space="preserve">in January 2010. </w:t>
      </w:r>
      <w:r>
        <w:t xml:space="preserve">Output tariff assistance </w:t>
      </w:r>
      <w:r>
        <w:lastRenderedPageBreak/>
        <w:t>also fell in 2014</w:t>
      </w:r>
      <w:r>
        <w:noBreakHyphen/>
        <w:t xml:space="preserve">15 reflecting the reduction in certain </w:t>
      </w:r>
      <w:r w:rsidRPr="00CE67F8">
        <w:rPr>
          <w:i/>
        </w:rPr>
        <w:t>Textile, clothing and footwear</w:t>
      </w:r>
      <w:r>
        <w:t xml:space="preserve"> items to 5 per cent on 1 January 2015. </w:t>
      </w:r>
      <w:r w:rsidRPr="00DC23A3">
        <w:t xml:space="preserve">The estimated </w:t>
      </w:r>
      <w:r>
        <w:t>fall</w:t>
      </w:r>
      <w:r w:rsidRPr="00DC23A3">
        <w:t xml:space="preserve"> in 2012</w:t>
      </w:r>
      <w:r>
        <w:noBreakHyphen/>
      </w:r>
      <w:r w:rsidRPr="00DC23A3">
        <w:t>13 reflect</w:t>
      </w:r>
      <w:r>
        <w:t>ed</w:t>
      </w:r>
      <w:r w:rsidRPr="00DC23A3">
        <w:t xml:space="preserve"> lower output levels in tariff assisted activities (mainly </w:t>
      </w:r>
      <w:r w:rsidRPr="00CE67F8">
        <w:rPr>
          <w:i/>
        </w:rPr>
        <w:t>Metal and fabricated metal products</w:t>
      </w:r>
      <w:r w:rsidRPr="00DC23A3">
        <w:t xml:space="preserve">, and </w:t>
      </w:r>
      <w:r w:rsidRPr="00CE67F8">
        <w:rPr>
          <w:i/>
        </w:rPr>
        <w:t>Petroleum, coal, chemical and rubber products</w:t>
      </w:r>
      <w:r w:rsidRPr="00DC23A3">
        <w:t>).</w:t>
      </w:r>
      <w:r>
        <w:t xml:space="preserve"> </w:t>
      </w:r>
    </w:p>
    <w:p w:rsidR="007544CA" w:rsidRDefault="007544CA" w:rsidP="0013350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gridCol w:w="16"/>
      </w:tblGrid>
      <w:tr w:rsidR="007544CA" w:rsidTr="00133508">
        <w:trPr>
          <w:gridAfter w:val="1"/>
          <w:wAfter w:w="16" w:type="dxa"/>
        </w:trPr>
        <w:tc>
          <w:tcPr>
            <w:tcW w:w="8771" w:type="dxa"/>
            <w:tcBorders>
              <w:top w:val="single" w:sz="6" w:space="0" w:color="78A22F"/>
              <w:left w:val="nil"/>
              <w:bottom w:val="nil"/>
              <w:right w:val="nil"/>
            </w:tcBorders>
            <w:shd w:val="clear" w:color="auto" w:fill="F2F2F2"/>
          </w:tcPr>
          <w:p w:rsidR="007544CA" w:rsidRDefault="007544CA" w:rsidP="00133508">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2.</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2</w:t>
            </w:r>
            <w:r>
              <w:rPr>
                <w:b w:val="0"/>
              </w:rPr>
              <w:fldChar w:fldCharType="end"/>
            </w:r>
            <w:r>
              <w:tab/>
              <w:t xml:space="preserve">Tariff assistance to the </w:t>
            </w:r>
            <w:r w:rsidRPr="00905C49">
              <w:rPr>
                <w:i/>
              </w:rPr>
              <w:t>Food, Beverage and Tobacco p</w:t>
            </w:r>
            <w:r w:rsidRPr="008C0B80">
              <w:rPr>
                <w:i/>
              </w:rPr>
              <w:t>roducts</w:t>
            </w:r>
            <w:r>
              <w:t xml:space="preserve"> industry in 2014</w:t>
            </w:r>
            <w:r>
              <w:noBreakHyphen/>
              <w:t>15</w:t>
            </w:r>
          </w:p>
        </w:tc>
      </w:tr>
      <w:tr w:rsidR="007544CA" w:rsidTr="00133508">
        <w:trPr>
          <w:cantSplit/>
        </w:trPr>
        <w:tc>
          <w:tcPr>
            <w:tcW w:w="8787" w:type="dxa"/>
            <w:gridSpan w:val="2"/>
            <w:tcBorders>
              <w:top w:val="nil"/>
              <w:left w:val="nil"/>
              <w:bottom w:val="nil"/>
              <w:right w:val="nil"/>
            </w:tcBorders>
            <w:shd w:val="clear" w:color="auto" w:fill="F2F2F2"/>
          </w:tcPr>
          <w:p w:rsidR="007544CA" w:rsidRDefault="007544CA" w:rsidP="00133508">
            <w:pPr>
              <w:pStyle w:val="Box"/>
            </w:pPr>
            <w:r>
              <w:t>As an example, the estimates of output tariff assistance, input tariff assistance (input tariff penalty) and net tariff assistance</w:t>
            </w:r>
            <w:r w:rsidDel="003056AB">
              <w:t xml:space="preserve"> </w:t>
            </w:r>
            <w:r>
              <w:t xml:space="preserve">are provided for the </w:t>
            </w:r>
            <w:r w:rsidRPr="00905C49">
              <w:rPr>
                <w:i/>
              </w:rPr>
              <w:t>Food, Beverage and Tobacco p</w:t>
            </w:r>
            <w:r w:rsidRPr="004962A4">
              <w:rPr>
                <w:i/>
              </w:rPr>
              <w:t>roducts</w:t>
            </w:r>
            <w:r>
              <w:t xml:space="preserve"> industry.</w:t>
            </w:r>
          </w:p>
          <w:p w:rsidR="007544CA" w:rsidRDefault="007544CA" w:rsidP="00133508">
            <w:pPr>
              <w:pStyle w:val="Box"/>
            </w:pPr>
            <w:r>
              <w:rPr>
                <w:noProof/>
              </w:rPr>
              <w:drawing>
                <wp:inline distT="0" distB="0" distL="0" distR="0" wp14:anchorId="1562C869" wp14:editId="09AF318D">
                  <wp:extent cx="5400675" cy="1752600"/>
                  <wp:effectExtent l="0" t="0" r="9525" b="0"/>
                  <wp:docPr id="6" name="Picture 6" descr="More details can be found within the text immediately before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675" cy="1752600"/>
                          </a:xfrm>
                          <a:prstGeom prst="rect">
                            <a:avLst/>
                          </a:prstGeom>
                          <a:noFill/>
                          <a:ln>
                            <a:noFill/>
                          </a:ln>
                        </pic:spPr>
                      </pic:pic>
                    </a:graphicData>
                  </a:graphic>
                </wp:inline>
              </w:drawing>
            </w:r>
          </w:p>
        </w:tc>
      </w:tr>
      <w:tr w:rsidR="007544CA" w:rsidTr="00133508">
        <w:trPr>
          <w:gridAfter w:val="1"/>
          <w:wAfter w:w="16" w:type="dxa"/>
          <w:cantSplit/>
        </w:trPr>
        <w:tc>
          <w:tcPr>
            <w:tcW w:w="8771" w:type="dxa"/>
            <w:tcBorders>
              <w:top w:val="nil"/>
              <w:left w:val="nil"/>
              <w:bottom w:val="nil"/>
              <w:right w:val="nil"/>
            </w:tcBorders>
            <w:shd w:val="clear" w:color="auto" w:fill="F2F2F2"/>
          </w:tcPr>
          <w:p w:rsidR="007544CA" w:rsidRDefault="007544CA" w:rsidP="00133508">
            <w:pPr>
              <w:pStyle w:val="BoxSource"/>
            </w:pPr>
            <w:r>
              <w:rPr>
                <w:i/>
              </w:rPr>
              <w:t>Source</w:t>
            </w:r>
            <w:r w:rsidRPr="00167F06">
              <w:t xml:space="preserve">: </w:t>
            </w:r>
            <w:r>
              <w:t>Commission estimates.</w:t>
            </w:r>
          </w:p>
        </w:tc>
      </w:tr>
      <w:tr w:rsidR="007544CA" w:rsidTr="00133508">
        <w:trPr>
          <w:gridAfter w:val="1"/>
          <w:wAfter w:w="16" w:type="dxa"/>
          <w:cantSplit/>
        </w:trPr>
        <w:tc>
          <w:tcPr>
            <w:tcW w:w="8771" w:type="dxa"/>
            <w:tcBorders>
              <w:top w:val="nil"/>
              <w:left w:val="nil"/>
              <w:bottom w:val="single" w:sz="6" w:space="0" w:color="78A22F"/>
              <w:right w:val="nil"/>
            </w:tcBorders>
            <w:shd w:val="clear" w:color="auto" w:fill="F2F2F2"/>
          </w:tcPr>
          <w:p w:rsidR="007544CA" w:rsidRDefault="007544CA" w:rsidP="00133508">
            <w:pPr>
              <w:pStyle w:val="Box"/>
              <w:spacing w:before="0" w:line="120" w:lineRule="exact"/>
            </w:pPr>
          </w:p>
        </w:tc>
      </w:tr>
      <w:tr w:rsidR="007544CA" w:rsidRPr="000863A5" w:rsidTr="00133508">
        <w:trPr>
          <w:gridAfter w:val="1"/>
          <w:wAfter w:w="16" w:type="dxa"/>
        </w:trPr>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Default="007544CA" w:rsidP="00133508">
            <w:pPr>
              <w:pStyle w:val="TableTitle"/>
            </w:pPr>
            <w:r>
              <w:rPr>
                <w:b w:val="0"/>
              </w:rPr>
              <w:t xml:space="preserve">Table </w:t>
            </w:r>
            <w:bookmarkStart w:id="3" w:name="OLE_LINK6"/>
            <w:r>
              <w:rPr>
                <w:b w:val="0"/>
              </w:rPr>
              <w:fldChar w:fldCharType="begin" w:fldLock="1"/>
            </w:r>
            <w:r>
              <w:rPr>
                <w:b w:val="0"/>
              </w:rPr>
              <w:instrText xml:space="preserve"> COMMENTS  \* MERGEFORMAT </w:instrText>
            </w:r>
            <w:r>
              <w:rPr>
                <w:b w:val="0"/>
              </w:rPr>
              <w:fldChar w:fldCharType="separate"/>
            </w:r>
            <w:r>
              <w:rPr>
                <w:b w:val="0"/>
              </w:rPr>
              <w:t>2.</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1</w:t>
            </w:r>
            <w:r>
              <w:rPr>
                <w:b w:val="0"/>
              </w:rPr>
              <w:fldChar w:fldCharType="end"/>
            </w:r>
            <w:bookmarkEnd w:id="3"/>
            <w:r>
              <w:tab/>
              <w:t>Tariff assistance, 2009</w:t>
            </w:r>
            <w:r>
              <w:noBreakHyphen/>
              <w:t>10 to 2014</w:t>
            </w:r>
            <w:r>
              <w:noBreakHyphen/>
              <w:t>15</w:t>
            </w:r>
            <w:r w:rsidRPr="00133508">
              <w:rPr>
                <w:rStyle w:val="NoteLabel"/>
                <w:rFonts w:ascii="Arial Bold" w:hAnsi="Arial Bold"/>
                <w:b/>
                <w:position w:val="10"/>
              </w:rPr>
              <w:t>a</w:t>
            </w:r>
          </w:p>
          <w:p w:rsidR="007544CA" w:rsidRPr="00784A05" w:rsidRDefault="007544CA" w:rsidP="00133508">
            <w:pPr>
              <w:pStyle w:val="Subtitle"/>
            </w:pPr>
            <w:r>
              <w:t>$ million (nominal)</w:t>
            </w:r>
          </w:p>
        </w:tc>
      </w:tr>
      <w:tr w:rsidR="007544CA" w:rsidTr="00133508">
        <w:trPr>
          <w:cantSplit/>
        </w:trPr>
        <w:tc>
          <w:tcPr>
            <w:tcW w:w="8771" w:type="dxa"/>
            <w:tcBorders>
              <w:top w:val="nil"/>
              <w:left w:val="nil"/>
              <w:bottom w:val="nil"/>
              <w:right w:val="nil"/>
            </w:tcBorders>
            <w:shd w:val="clear" w:color="auto" w:fill="auto"/>
          </w:tcPr>
          <w:tbl>
            <w:tblPr>
              <w:tblW w:w="4997" w:type="pct"/>
              <w:tblCellMar>
                <w:top w:w="28" w:type="dxa"/>
                <w:left w:w="0" w:type="dxa"/>
                <w:right w:w="0" w:type="dxa"/>
              </w:tblCellMar>
              <w:tblLook w:val="0000" w:firstRow="0" w:lastRow="0" w:firstColumn="0" w:lastColumn="0" w:noHBand="0" w:noVBand="0"/>
            </w:tblPr>
            <w:tblGrid>
              <w:gridCol w:w="2024"/>
              <w:gridCol w:w="1077"/>
              <w:gridCol w:w="1077"/>
              <w:gridCol w:w="1076"/>
              <w:gridCol w:w="1076"/>
              <w:gridCol w:w="1076"/>
              <w:gridCol w:w="1076"/>
            </w:tblGrid>
            <w:tr w:rsidR="007544CA" w:rsidTr="00133508">
              <w:tc>
                <w:tcPr>
                  <w:tcW w:w="1193" w:type="pct"/>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p>
              </w:tc>
              <w:tc>
                <w:tcPr>
                  <w:tcW w:w="635" w:type="pct"/>
                  <w:tcBorders>
                    <w:top w:val="single" w:sz="6" w:space="0" w:color="BFBFBF"/>
                    <w:bottom w:val="single" w:sz="6" w:space="0" w:color="BFBFBF"/>
                  </w:tcBorders>
                </w:tcPr>
                <w:p w:rsidR="007544CA" w:rsidRDefault="007544CA" w:rsidP="00133508">
                  <w:pPr>
                    <w:pStyle w:val="TableColumnHeading"/>
                  </w:pPr>
                  <w:r>
                    <w:t>2009</w:t>
                  </w:r>
                  <w:r>
                    <w:noBreakHyphen/>
                    <w:t>10</w:t>
                  </w:r>
                </w:p>
              </w:tc>
              <w:tc>
                <w:tcPr>
                  <w:tcW w:w="635" w:type="pct"/>
                  <w:tcBorders>
                    <w:top w:val="single" w:sz="6" w:space="0" w:color="BFBFBF"/>
                    <w:bottom w:val="single" w:sz="6" w:space="0" w:color="BFBFBF"/>
                  </w:tcBorders>
                </w:tcPr>
                <w:p w:rsidR="007544CA" w:rsidRDefault="007544CA" w:rsidP="00133508">
                  <w:pPr>
                    <w:pStyle w:val="TableColumnHeading"/>
                  </w:pPr>
                  <w:r>
                    <w:t>2010</w:t>
                  </w:r>
                  <w:r>
                    <w:noBreakHyphen/>
                    <w:t>11</w:t>
                  </w:r>
                </w:p>
              </w:tc>
              <w:tc>
                <w:tcPr>
                  <w:tcW w:w="634" w:type="pct"/>
                  <w:tcBorders>
                    <w:top w:val="single" w:sz="6" w:space="0" w:color="BFBFBF"/>
                    <w:bottom w:val="single" w:sz="6" w:space="0" w:color="BFBFBF"/>
                  </w:tcBorders>
                </w:tcPr>
                <w:p w:rsidR="007544CA" w:rsidRDefault="007544CA" w:rsidP="00133508">
                  <w:pPr>
                    <w:pStyle w:val="TableColumnHeading"/>
                  </w:pPr>
                  <w:r>
                    <w:t>2011</w:t>
                  </w:r>
                  <w:r>
                    <w:noBreakHyphen/>
                    <w:t>12</w:t>
                  </w:r>
                </w:p>
              </w:tc>
              <w:tc>
                <w:tcPr>
                  <w:tcW w:w="634" w:type="pct"/>
                  <w:tcBorders>
                    <w:top w:val="single" w:sz="6" w:space="0" w:color="BFBFBF"/>
                    <w:bottom w:val="single" w:sz="6" w:space="0" w:color="BFBFBF"/>
                  </w:tcBorders>
                </w:tcPr>
                <w:p w:rsidR="007544CA" w:rsidRDefault="007544CA" w:rsidP="00133508">
                  <w:pPr>
                    <w:pStyle w:val="TableColumnHeading"/>
                  </w:pPr>
                  <w:r>
                    <w:t>2012</w:t>
                  </w:r>
                  <w:r>
                    <w:noBreakHyphen/>
                    <w:t>13</w:t>
                  </w:r>
                </w:p>
              </w:tc>
              <w:tc>
                <w:tcPr>
                  <w:tcW w:w="634" w:type="pct"/>
                  <w:tcBorders>
                    <w:top w:val="single" w:sz="6" w:space="0" w:color="BFBFBF"/>
                    <w:bottom w:val="single" w:sz="6" w:space="0" w:color="BFBFBF"/>
                  </w:tcBorders>
                  <w:shd w:val="clear" w:color="auto" w:fill="auto"/>
                  <w:tcMar>
                    <w:top w:w="28" w:type="dxa"/>
                  </w:tcMar>
                </w:tcPr>
                <w:p w:rsidR="007544CA" w:rsidRDefault="007544CA" w:rsidP="00133508">
                  <w:pPr>
                    <w:pStyle w:val="TableColumnHeading"/>
                  </w:pPr>
                  <w:r>
                    <w:t>2013</w:t>
                  </w:r>
                  <w:r>
                    <w:noBreakHyphen/>
                    <w:t>14</w:t>
                  </w:r>
                </w:p>
              </w:tc>
              <w:tc>
                <w:tcPr>
                  <w:tcW w:w="634" w:type="pct"/>
                  <w:tcBorders>
                    <w:top w:val="single" w:sz="6" w:space="0" w:color="BFBFBF"/>
                    <w:bottom w:val="single" w:sz="6" w:space="0" w:color="BFBFBF"/>
                  </w:tcBorders>
                  <w:shd w:val="clear" w:color="auto" w:fill="auto"/>
                  <w:tcMar>
                    <w:top w:w="28" w:type="dxa"/>
                  </w:tcMar>
                </w:tcPr>
                <w:p w:rsidR="007544CA" w:rsidRDefault="007544CA" w:rsidP="00133508">
                  <w:pPr>
                    <w:pStyle w:val="TableColumnHeading"/>
                  </w:pPr>
                  <w:r>
                    <w:t>2014</w:t>
                  </w:r>
                  <w:r>
                    <w:noBreakHyphen/>
                    <w:t>15</w:t>
                  </w:r>
                </w:p>
              </w:tc>
            </w:tr>
            <w:tr w:rsidR="007544CA" w:rsidTr="00133508">
              <w:tc>
                <w:tcPr>
                  <w:tcW w:w="1193" w:type="pct"/>
                </w:tcPr>
                <w:p w:rsidR="007544CA" w:rsidRDefault="007544CA" w:rsidP="00133508">
                  <w:pPr>
                    <w:pStyle w:val="TableBodyText"/>
                    <w:spacing w:before="40"/>
                    <w:jc w:val="left"/>
                  </w:pPr>
                  <w:r>
                    <w:t>Output assistance</w:t>
                  </w:r>
                </w:p>
              </w:tc>
              <w:tc>
                <w:tcPr>
                  <w:tcW w:w="635" w:type="pct"/>
                </w:tcPr>
                <w:p w:rsidR="007544CA" w:rsidRPr="00497E79" w:rsidRDefault="007544CA" w:rsidP="00133508">
                  <w:pPr>
                    <w:pStyle w:val="TableBodyText"/>
                    <w:spacing w:before="40"/>
                    <w:rPr>
                      <w:b/>
                      <w:i/>
                    </w:rPr>
                  </w:pPr>
                  <w:r>
                    <w:t>8 382.0</w:t>
                  </w:r>
                </w:p>
              </w:tc>
              <w:tc>
                <w:tcPr>
                  <w:tcW w:w="635" w:type="pct"/>
                </w:tcPr>
                <w:p w:rsidR="007544CA" w:rsidRPr="00497E79" w:rsidRDefault="007544CA" w:rsidP="00133508">
                  <w:pPr>
                    <w:pStyle w:val="TableBodyText"/>
                    <w:spacing w:before="40"/>
                    <w:rPr>
                      <w:b/>
                      <w:i/>
                    </w:rPr>
                  </w:pPr>
                  <w:r>
                    <w:t>8 071.3</w:t>
                  </w:r>
                </w:p>
              </w:tc>
              <w:tc>
                <w:tcPr>
                  <w:tcW w:w="634" w:type="pct"/>
                </w:tcPr>
                <w:p w:rsidR="007544CA" w:rsidRPr="00497E79" w:rsidRDefault="007544CA" w:rsidP="00133508">
                  <w:pPr>
                    <w:pStyle w:val="TableBodyText"/>
                    <w:spacing w:before="40"/>
                    <w:rPr>
                      <w:b/>
                      <w:i/>
                    </w:rPr>
                  </w:pPr>
                  <w:r>
                    <w:t>8 181.1</w:t>
                  </w:r>
                </w:p>
              </w:tc>
              <w:tc>
                <w:tcPr>
                  <w:tcW w:w="634" w:type="pct"/>
                </w:tcPr>
                <w:p w:rsidR="007544CA" w:rsidRPr="00497E79" w:rsidRDefault="007544CA" w:rsidP="00133508">
                  <w:pPr>
                    <w:pStyle w:val="TableBodyText"/>
                    <w:spacing w:before="40"/>
                    <w:rPr>
                      <w:b/>
                      <w:i/>
                    </w:rPr>
                  </w:pPr>
                  <w:r>
                    <w:t>7 848.4</w:t>
                  </w:r>
                </w:p>
              </w:tc>
              <w:tc>
                <w:tcPr>
                  <w:tcW w:w="634" w:type="pct"/>
                </w:tcPr>
                <w:p w:rsidR="007544CA" w:rsidRPr="00497E79" w:rsidRDefault="007544CA" w:rsidP="00133508">
                  <w:pPr>
                    <w:pStyle w:val="TableBodyText"/>
                    <w:spacing w:before="40"/>
                    <w:rPr>
                      <w:b/>
                      <w:i/>
                    </w:rPr>
                  </w:pPr>
                  <w:r>
                    <w:t>7 852.7</w:t>
                  </w:r>
                </w:p>
              </w:tc>
              <w:tc>
                <w:tcPr>
                  <w:tcW w:w="634" w:type="pct"/>
                </w:tcPr>
                <w:p w:rsidR="007544CA" w:rsidRPr="00711251" w:rsidRDefault="007544CA" w:rsidP="00133508">
                  <w:pPr>
                    <w:pStyle w:val="TableBodyText"/>
                    <w:spacing w:before="40"/>
                  </w:pPr>
                  <w:r w:rsidRPr="00711251">
                    <w:t>7</w:t>
                  </w:r>
                  <w:r>
                    <w:t> </w:t>
                  </w:r>
                  <w:r w:rsidRPr="00711251">
                    <w:t>827.3</w:t>
                  </w:r>
                </w:p>
              </w:tc>
            </w:tr>
            <w:tr w:rsidR="007544CA" w:rsidTr="00133508">
              <w:tc>
                <w:tcPr>
                  <w:tcW w:w="1193" w:type="pct"/>
                </w:tcPr>
                <w:p w:rsidR="007544CA" w:rsidRDefault="007544CA" w:rsidP="00133508">
                  <w:pPr>
                    <w:pStyle w:val="TableBodyText"/>
                    <w:jc w:val="left"/>
                  </w:pPr>
                  <w:r>
                    <w:t>Input penalty</w:t>
                  </w:r>
                </w:p>
              </w:tc>
              <w:tc>
                <w:tcPr>
                  <w:tcW w:w="635" w:type="pct"/>
                </w:tcPr>
                <w:p w:rsidR="007544CA" w:rsidRPr="00497E79" w:rsidRDefault="007544CA" w:rsidP="00133508">
                  <w:pPr>
                    <w:pStyle w:val="TableBodyText"/>
                    <w:rPr>
                      <w:b/>
                      <w:i/>
                    </w:rPr>
                  </w:pPr>
                  <w:r>
                    <w:noBreakHyphen/>
                  </w:r>
                  <w:r w:rsidRPr="00497E79">
                    <w:t>6</w:t>
                  </w:r>
                  <w:r>
                    <w:t> </w:t>
                  </w:r>
                  <w:r w:rsidRPr="00497E79">
                    <w:t>665.</w:t>
                  </w:r>
                  <w:r>
                    <w:t>0</w:t>
                  </w:r>
                </w:p>
              </w:tc>
              <w:tc>
                <w:tcPr>
                  <w:tcW w:w="635" w:type="pct"/>
                </w:tcPr>
                <w:p w:rsidR="007544CA" w:rsidRPr="00497E79" w:rsidRDefault="007544CA" w:rsidP="00133508">
                  <w:pPr>
                    <w:pStyle w:val="TableBodyText"/>
                    <w:rPr>
                      <w:b/>
                      <w:i/>
                    </w:rPr>
                  </w:pPr>
                  <w:r>
                    <w:noBreakHyphen/>
                  </w:r>
                  <w:r w:rsidRPr="00497E79">
                    <w:t>6</w:t>
                  </w:r>
                  <w:r>
                    <w:t> </w:t>
                  </w:r>
                  <w:r w:rsidRPr="00497E79">
                    <w:t>6</w:t>
                  </w:r>
                  <w:r>
                    <w:t>63</w:t>
                  </w:r>
                  <w:r w:rsidRPr="00497E79">
                    <w:t>.</w:t>
                  </w:r>
                  <w:r>
                    <w:t>9</w:t>
                  </w:r>
                </w:p>
              </w:tc>
              <w:tc>
                <w:tcPr>
                  <w:tcW w:w="634" w:type="pct"/>
                </w:tcPr>
                <w:p w:rsidR="007544CA" w:rsidRPr="00497E79" w:rsidRDefault="007544CA" w:rsidP="00133508">
                  <w:pPr>
                    <w:pStyle w:val="TableBodyText"/>
                    <w:rPr>
                      <w:b/>
                      <w:i/>
                    </w:rPr>
                  </w:pPr>
                  <w:r>
                    <w:noBreakHyphen/>
                  </w:r>
                  <w:r w:rsidRPr="00497E79">
                    <w:t>7</w:t>
                  </w:r>
                  <w:r>
                    <w:t> </w:t>
                  </w:r>
                  <w:r w:rsidRPr="00497E79">
                    <w:t>07</w:t>
                  </w:r>
                  <w:r>
                    <w:t>8</w:t>
                  </w:r>
                  <w:r w:rsidRPr="00497E79">
                    <w:t>.</w:t>
                  </w:r>
                  <w:r>
                    <w:t>4</w:t>
                  </w:r>
                </w:p>
              </w:tc>
              <w:tc>
                <w:tcPr>
                  <w:tcW w:w="634" w:type="pct"/>
                </w:tcPr>
                <w:p w:rsidR="007544CA" w:rsidRPr="00497E79" w:rsidRDefault="007544CA" w:rsidP="00133508">
                  <w:pPr>
                    <w:pStyle w:val="TableBodyText"/>
                    <w:rPr>
                      <w:b/>
                      <w:i/>
                    </w:rPr>
                  </w:pPr>
                  <w:r>
                    <w:noBreakHyphen/>
                  </w:r>
                  <w:r w:rsidRPr="00497E79">
                    <w:t>7</w:t>
                  </w:r>
                  <w:r>
                    <w:t> </w:t>
                  </w:r>
                  <w:r w:rsidRPr="00497E79">
                    <w:t>16</w:t>
                  </w:r>
                  <w:r>
                    <w:t>6</w:t>
                  </w:r>
                  <w:r w:rsidRPr="00497E79">
                    <w:t>.</w:t>
                  </w:r>
                  <w:r>
                    <w:t>8</w:t>
                  </w:r>
                </w:p>
              </w:tc>
              <w:tc>
                <w:tcPr>
                  <w:tcW w:w="634" w:type="pct"/>
                </w:tcPr>
                <w:p w:rsidR="007544CA" w:rsidRPr="00497E79" w:rsidRDefault="007544CA" w:rsidP="00133508">
                  <w:pPr>
                    <w:pStyle w:val="TableBodyText"/>
                    <w:rPr>
                      <w:b/>
                      <w:i/>
                    </w:rPr>
                  </w:pPr>
                  <w:r>
                    <w:noBreakHyphen/>
                  </w:r>
                  <w:r w:rsidRPr="00497E79">
                    <w:t>7</w:t>
                  </w:r>
                  <w:r>
                    <w:t> </w:t>
                  </w:r>
                  <w:r w:rsidRPr="00497E79">
                    <w:t>32</w:t>
                  </w:r>
                  <w:r>
                    <w:t>9</w:t>
                  </w:r>
                  <w:r w:rsidRPr="00497E79">
                    <w:t>.5</w:t>
                  </w:r>
                </w:p>
              </w:tc>
              <w:tc>
                <w:tcPr>
                  <w:tcW w:w="634" w:type="pct"/>
                </w:tcPr>
                <w:p w:rsidR="007544CA" w:rsidRPr="00711251" w:rsidRDefault="007544CA" w:rsidP="00133508">
                  <w:pPr>
                    <w:pStyle w:val="TableBodyText"/>
                  </w:pPr>
                  <w:r>
                    <w:noBreakHyphen/>
                  </w:r>
                  <w:r w:rsidRPr="00711251">
                    <w:t>7</w:t>
                  </w:r>
                  <w:r>
                    <w:t> </w:t>
                  </w:r>
                  <w:r w:rsidRPr="00711251">
                    <w:t>524.6</w:t>
                  </w:r>
                </w:p>
              </w:tc>
            </w:tr>
            <w:tr w:rsidR="007544CA" w:rsidTr="00133508">
              <w:tc>
                <w:tcPr>
                  <w:tcW w:w="1193" w:type="pct"/>
                  <w:tcBorders>
                    <w:bottom w:val="single" w:sz="6" w:space="0" w:color="BFBFBF"/>
                  </w:tcBorders>
                  <w:shd w:val="clear" w:color="auto" w:fill="auto"/>
                </w:tcPr>
                <w:p w:rsidR="007544CA" w:rsidRDefault="007544CA" w:rsidP="00133508">
                  <w:pPr>
                    <w:pStyle w:val="TableBodyText"/>
                    <w:jc w:val="left"/>
                  </w:pPr>
                  <w:r>
                    <w:t>Net tariff assistance</w:t>
                  </w:r>
                </w:p>
              </w:tc>
              <w:tc>
                <w:tcPr>
                  <w:tcW w:w="635" w:type="pct"/>
                  <w:tcBorders>
                    <w:bottom w:val="single" w:sz="6" w:space="0" w:color="BFBFBF"/>
                  </w:tcBorders>
                </w:tcPr>
                <w:p w:rsidR="007544CA" w:rsidRPr="00497E79" w:rsidRDefault="007544CA" w:rsidP="00133508">
                  <w:pPr>
                    <w:pStyle w:val="TableBodyText"/>
                    <w:rPr>
                      <w:b/>
                      <w:i/>
                    </w:rPr>
                  </w:pPr>
                  <w:r w:rsidRPr="00497E79">
                    <w:t>1</w:t>
                  </w:r>
                  <w:r>
                    <w:t> </w:t>
                  </w:r>
                  <w:r w:rsidRPr="00497E79">
                    <w:t>7</w:t>
                  </w:r>
                  <w:r>
                    <w:t>17</w:t>
                  </w:r>
                  <w:r w:rsidRPr="00497E79">
                    <w:t>.</w:t>
                  </w:r>
                  <w:r>
                    <w:t>0</w:t>
                  </w:r>
                </w:p>
              </w:tc>
              <w:tc>
                <w:tcPr>
                  <w:tcW w:w="635" w:type="pct"/>
                  <w:tcBorders>
                    <w:bottom w:val="single" w:sz="6" w:space="0" w:color="BFBFBF"/>
                  </w:tcBorders>
                </w:tcPr>
                <w:p w:rsidR="007544CA" w:rsidRPr="00497E79" w:rsidRDefault="007544CA" w:rsidP="00133508">
                  <w:pPr>
                    <w:pStyle w:val="TableBodyText"/>
                    <w:rPr>
                      <w:b/>
                      <w:i/>
                    </w:rPr>
                  </w:pPr>
                  <w:r w:rsidRPr="00497E79">
                    <w:t>1</w:t>
                  </w:r>
                  <w:r>
                    <w:t> 407</w:t>
                  </w:r>
                  <w:r w:rsidRPr="00497E79">
                    <w:t>.</w:t>
                  </w:r>
                  <w:r>
                    <w:t>4</w:t>
                  </w:r>
                </w:p>
              </w:tc>
              <w:tc>
                <w:tcPr>
                  <w:tcW w:w="634" w:type="pct"/>
                  <w:tcBorders>
                    <w:bottom w:val="single" w:sz="6" w:space="0" w:color="BFBFBF"/>
                  </w:tcBorders>
                </w:tcPr>
                <w:p w:rsidR="007544CA" w:rsidRPr="00497E79" w:rsidRDefault="007544CA" w:rsidP="00133508">
                  <w:pPr>
                    <w:pStyle w:val="TableBodyText"/>
                    <w:rPr>
                      <w:b/>
                      <w:i/>
                    </w:rPr>
                  </w:pPr>
                  <w:r w:rsidRPr="00497E79">
                    <w:t>1</w:t>
                  </w:r>
                  <w:r>
                    <w:t> 102</w:t>
                  </w:r>
                  <w:r w:rsidRPr="00497E79">
                    <w:t>.</w:t>
                  </w:r>
                  <w:r>
                    <w:t>7</w:t>
                  </w:r>
                </w:p>
              </w:tc>
              <w:tc>
                <w:tcPr>
                  <w:tcW w:w="634" w:type="pct"/>
                  <w:tcBorders>
                    <w:bottom w:val="single" w:sz="6" w:space="0" w:color="BFBFBF"/>
                  </w:tcBorders>
                </w:tcPr>
                <w:p w:rsidR="007544CA" w:rsidRPr="00497E79" w:rsidRDefault="007544CA" w:rsidP="00133508">
                  <w:pPr>
                    <w:pStyle w:val="TableBodyText"/>
                    <w:rPr>
                      <w:b/>
                      <w:i/>
                    </w:rPr>
                  </w:pPr>
                  <w:r>
                    <w:t>681</w:t>
                  </w:r>
                  <w:r w:rsidRPr="00497E79">
                    <w:t>.</w:t>
                  </w:r>
                  <w:r>
                    <w:t>5</w:t>
                  </w:r>
                  <w:r w:rsidRPr="00497E79">
                    <w:t>1</w:t>
                  </w:r>
                </w:p>
              </w:tc>
              <w:tc>
                <w:tcPr>
                  <w:tcW w:w="634" w:type="pct"/>
                  <w:tcBorders>
                    <w:bottom w:val="single" w:sz="6" w:space="0" w:color="BFBFBF"/>
                  </w:tcBorders>
                  <w:shd w:val="clear" w:color="auto" w:fill="auto"/>
                </w:tcPr>
                <w:p w:rsidR="007544CA" w:rsidRDefault="007544CA" w:rsidP="00133508">
                  <w:pPr>
                    <w:pStyle w:val="TableBodyText"/>
                    <w:rPr>
                      <w:b/>
                      <w:i/>
                    </w:rPr>
                  </w:pPr>
                  <w:r w:rsidRPr="00497E79">
                    <w:t>5</w:t>
                  </w:r>
                  <w:r>
                    <w:t>23</w:t>
                  </w:r>
                  <w:r w:rsidRPr="00497E79">
                    <w:t>.</w:t>
                  </w:r>
                  <w:r>
                    <w:t>3</w:t>
                  </w:r>
                </w:p>
              </w:tc>
              <w:tc>
                <w:tcPr>
                  <w:tcW w:w="634" w:type="pct"/>
                  <w:tcBorders>
                    <w:bottom w:val="single" w:sz="6" w:space="0" w:color="BFBFBF"/>
                  </w:tcBorders>
                  <w:shd w:val="clear" w:color="auto" w:fill="auto"/>
                </w:tcPr>
                <w:p w:rsidR="007544CA" w:rsidRPr="00711251" w:rsidRDefault="007544CA" w:rsidP="00133508">
                  <w:pPr>
                    <w:pStyle w:val="TableBodyText"/>
                  </w:pPr>
                  <w:r w:rsidRPr="00711251">
                    <w:t>302.7</w:t>
                  </w:r>
                </w:p>
              </w:tc>
            </w:tr>
          </w:tbl>
          <w:p w:rsidR="007544CA" w:rsidRDefault="007544CA" w:rsidP="00133508">
            <w:pPr>
              <w:pStyle w:val="Box"/>
            </w:pP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Note"/>
              <w:rPr>
                <w:i/>
              </w:rPr>
            </w:pPr>
            <w:r w:rsidRPr="008E77FE">
              <w:rPr>
                <w:rStyle w:val="NoteLabel"/>
              </w:rPr>
              <w:t>a</w:t>
            </w:r>
            <w:r>
              <w:t> </w:t>
            </w:r>
            <w:r w:rsidRPr="000E0DE2">
              <w:t>Nominal tariff assistance estimates are derived by re</w:t>
            </w:r>
            <w:r>
              <w:noBreakHyphen/>
            </w:r>
            <w:r w:rsidRPr="000E0DE2">
              <w:t>indexing a reference series based on 2008</w:t>
            </w:r>
            <w:r>
              <w:noBreakHyphen/>
            </w:r>
            <w:r w:rsidRPr="000E0DE2">
              <w:t>09 ABS input</w:t>
            </w:r>
            <w:r>
              <w:noBreakHyphen/>
            </w:r>
            <w:r w:rsidRPr="000E0DE2">
              <w:t>output data, using ABS Industry Gross Value Added and supporting data</w:t>
            </w:r>
            <w:r>
              <w:t xml:space="preserve"> at current prices</w:t>
            </w:r>
            <w:r w:rsidRPr="000E0DE2">
              <w:t xml:space="preserve">, for all industries except </w:t>
            </w:r>
            <w:r w:rsidRPr="00832BF8">
              <w:rPr>
                <w:i/>
              </w:rPr>
              <w:t>Mining</w:t>
            </w:r>
            <w:r w:rsidRPr="000E0DE2">
              <w:t xml:space="preserve">. For </w:t>
            </w:r>
            <w:r w:rsidRPr="00832BF8">
              <w:rPr>
                <w:i/>
              </w:rPr>
              <w:t>Mining</w:t>
            </w:r>
            <w:r w:rsidRPr="000E0DE2">
              <w:t>, in order to abstract from the effects of terms of trade changes, the estimates are re</w:t>
            </w:r>
            <w:r>
              <w:noBreakHyphen/>
            </w:r>
            <w:r w:rsidRPr="000E0DE2">
              <w:t xml:space="preserve">indexed using the ABS Industry Gross Value Added, chain volume measures. This information is subject to periodic revision by the ABS. </w:t>
            </w: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Source"/>
            </w:pPr>
            <w:r>
              <w:rPr>
                <w:i/>
              </w:rPr>
              <w:t>Source</w:t>
            </w:r>
            <w:r w:rsidRPr="00167F06">
              <w:t xml:space="preserve">: </w:t>
            </w:r>
            <w:r>
              <w:t>Commission estimates.</w:t>
            </w:r>
          </w:p>
        </w:tc>
      </w:tr>
      <w:tr w:rsidR="007544CA" w:rsidTr="00133508">
        <w:trPr>
          <w:cantSplit/>
        </w:trPr>
        <w:tc>
          <w:tcPr>
            <w:tcW w:w="8771" w:type="dxa"/>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Heading3"/>
      </w:pPr>
      <w:r>
        <w:t>Input penalty</w:t>
      </w:r>
    </w:p>
    <w:p w:rsidR="007544CA" w:rsidRDefault="007544CA" w:rsidP="00133508">
      <w:pPr>
        <w:pStyle w:val="BodyText"/>
      </w:pPr>
      <w:r w:rsidRPr="00CE3BE4">
        <w:t>The estimated cost penalty on inputs to user industries (including primary, manufacturing and services industries) arising from tariffs was around $7.</w:t>
      </w:r>
      <w:r>
        <w:t>5 </w:t>
      </w:r>
      <w:r w:rsidRPr="00CE3BE4">
        <w:t>billion in 201</w:t>
      </w:r>
      <w:r>
        <w:t>4</w:t>
      </w:r>
      <w:r>
        <w:noBreakHyphen/>
        <w:t>15 (table 2.1)</w:t>
      </w:r>
      <w:r w:rsidRPr="00CE3BE4">
        <w:t>. This compares with a penalty of around $6.</w:t>
      </w:r>
      <w:r>
        <w:t>7 </w:t>
      </w:r>
      <w:r w:rsidRPr="00CE3BE4">
        <w:t>billion in 200</w:t>
      </w:r>
      <w:r>
        <w:t>9</w:t>
      </w:r>
      <w:r>
        <w:noBreakHyphen/>
        <w:t>10</w:t>
      </w:r>
      <w:r w:rsidRPr="00CE3BE4">
        <w:t xml:space="preserve">. The estimated penalty has increased in nominal terms with the general growth in the economy and rising price levels. </w:t>
      </w:r>
      <w:r w:rsidRPr="00CE3BE4">
        <w:lastRenderedPageBreak/>
        <w:t>This increase was moderated in 2010</w:t>
      </w:r>
      <w:r>
        <w:noBreakHyphen/>
      </w:r>
      <w:r w:rsidRPr="00CE3BE4">
        <w:t>11 by reductions in tariffs on passenger motor vehicles and parts, and textiles, clothing and footwear products in January 2010.</w:t>
      </w:r>
      <w:r>
        <w:t xml:space="preserve"> The moderating impact of lower tariffs on the input penalty, however, is less obvious for the </w:t>
      </w:r>
      <w:r w:rsidRPr="001A38F6">
        <w:t>January</w:t>
      </w:r>
      <w:r>
        <w:t xml:space="preserve"> 2015 tariff reductions on </w:t>
      </w:r>
      <w:r w:rsidRPr="00CE3BE4">
        <w:t>textiles, clothing and footwear products</w:t>
      </w:r>
      <w:r>
        <w:t>. This is because the majority of these products are final consumption items.</w:t>
      </w:r>
    </w:p>
    <w:p w:rsidR="007544CA" w:rsidRDefault="007544CA" w:rsidP="00133508">
      <w:pPr>
        <w:pStyle w:val="Heading3"/>
      </w:pPr>
      <w:r>
        <w:t>Net tariff assistance</w:t>
      </w:r>
    </w:p>
    <w:p w:rsidR="007544CA" w:rsidRDefault="007544CA" w:rsidP="00133508">
      <w:pPr>
        <w:pStyle w:val="BodyText"/>
      </w:pPr>
      <w:r>
        <w:t>After deducting the tariff input penalty from the output assistance, net tariff assistance (for the Australian economy) was estimated to be around $0.3 billion in 2014</w:t>
      </w:r>
      <w:r>
        <w:noBreakHyphen/>
        <w:t>15, down from around $1.7 billion in 2009</w:t>
      </w:r>
      <w:r>
        <w:noBreakHyphen/>
        <w:t>10 (table 2.1). This fall reflects both high relative growth in the services sector (which incurs significant tariff penalties on inputs), especially relative to the manufacturing sector (a significant beneficiary of tariff assistance), together with some reductions in tariffs applied to manufactured products.</w:t>
      </w:r>
    </w:p>
    <w:p w:rsidR="007544CA" w:rsidRDefault="007544CA" w:rsidP="00133508">
      <w:pPr>
        <w:pStyle w:val="Heading3"/>
      </w:pPr>
      <w:r>
        <w:t>Net tariff assistance by sector</w:t>
      </w:r>
    </w:p>
    <w:p w:rsidR="007544CA" w:rsidRDefault="007544CA" w:rsidP="00133508">
      <w:pPr>
        <w:pStyle w:val="BodyText"/>
      </w:pPr>
      <w:r w:rsidRPr="004B655B">
        <w:t xml:space="preserve">The estimated value of net tariff assistance for the manufacturing sector has </w:t>
      </w:r>
      <w:r>
        <w:t>fallen</w:t>
      </w:r>
      <w:r w:rsidRPr="004B655B">
        <w:t xml:space="preserve"> by around </w:t>
      </w:r>
      <w:r>
        <w:t>7 </w:t>
      </w:r>
      <w:r w:rsidRPr="004B655B">
        <w:t>per</w:t>
      </w:r>
      <w:r>
        <w:t> </w:t>
      </w:r>
      <w:r w:rsidRPr="004B655B">
        <w:t>cent since 200</w:t>
      </w:r>
      <w:r>
        <w:t>9</w:t>
      </w:r>
      <w:r>
        <w:noBreakHyphen/>
        <w:t>10</w:t>
      </w:r>
      <w:r w:rsidRPr="004B655B">
        <w:t xml:space="preserve">, largely reflecting reductions in tariff assistance to the </w:t>
      </w:r>
      <w:r w:rsidRPr="0052022E">
        <w:rPr>
          <w:i/>
        </w:rPr>
        <w:t>Textiles, clothing, footwear and leather</w:t>
      </w:r>
      <w:r w:rsidRPr="004B655B">
        <w:t xml:space="preserve">, and </w:t>
      </w:r>
      <w:r w:rsidRPr="0052022E">
        <w:rPr>
          <w:i/>
        </w:rPr>
        <w:t>Motor vehicles and parts</w:t>
      </w:r>
      <w:r w:rsidRPr="004B655B">
        <w:t xml:space="preserve"> industries in January</w:t>
      </w:r>
      <w:r>
        <w:t> </w:t>
      </w:r>
      <w:r w:rsidRPr="004B655B">
        <w:t>2010 (table</w:t>
      </w:r>
      <w:r>
        <w:t> 2.2</w:t>
      </w:r>
      <w:r w:rsidRPr="004B655B">
        <w:t>). The year</w:t>
      </w:r>
      <w:r>
        <w:noBreakHyphen/>
      </w:r>
      <w:r w:rsidRPr="004B655B">
        <w:t>to</w:t>
      </w:r>
      <w:r>
        <w:noBreakHyphen/>
      </w:r>
      <w:r w:rsidRPr="004B655B">
        <w:t>year changes are also affected by activity levels in tariff</w:t>
      </w:r>
      <w:r>
        <w:noBreakHyphen/>
      </w:r>
      <w:r w:rsidRPr="004B655B">
        <w:t xml:space="preserve">assisted activities. At the same time, the net tariff penalty on the services sector has increased by </w:t>
      </w:r>
      <w:r>
        <w:t>19 </w:t>
      </w:r>
      <w:r w:rsidRPr="004B655B">
        <w:t>per</w:t>
      </w:r>
      <w:r>
        <w:t> </w:t>
      </w:r>
      <w:r w:rsidRPr="004B655B">
        <w:t xml:space="preserve">cent (to </w:t>
      </w:r>
      <w:r>
        <w:t xml:space="preserve">nearly </w:t>
      </w:r>
      <w:r w:rsidRPr="004B655B">
        <w:t>$</w:t>
      </w:r>
      <w:r>
        <w:t>5 </w:t>
      </w:r>
      <w:r w:rsidRPr="004B655B">
        <w:t>billion), reflecting growth in the use of tariff</w:t>
      </w:r>
      <w:r>
        <w:noBreakHyphen/>
      </w:r>
      <w:r w:rsidRPr="004B655B">
        <w:t xml:space="preserve">assisted manufactures as the </w:t>
      </w:r>
      <w:r>
        <w:t xml:space="preserve">services </w:t>
      </w:r>
      <w:r w:rsidRPr="004B655B">
        <w:t>sector has expanded. Similarly, the net tariff penalty on the mining sector also increased over the period</w:t>
      </w:r>
      <w:r>
        <w:t xml:space="preserve">. </w:t>
      </w:r>
    </w:p>
    <w:p w:rsidR="007544CA" w:rsidRDefault="007544CA" w:rsidP="0013350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Default="007544CA" w:rsidP="00133508">
            <w:pPr>
              <w:pStyle w:val="TableTitle"/>
            </w:pPr>
            <w:r>
              <w:rPr>
                <w:b w:val="0"/>
              </w:rPr>
              <w:t xml:space="preserve">Table </w:t>
            </w:r>
            <w:bookmarkStart w:id="4" w:name="OLE_LINK9"/>
            <w:r>
              <w:rPr>
                <w:b w:val="0"/>
              </w:rPr>
              <w:fldChar w:fldCharType="begin" w:fldLock="1"/>
            </w:r>
            <w:r>
              <w:rPr>
                <w:b w:val="0"/>
              </w:rPr>
              <w:instrText xml:space="preserve"> COMMENTS  \* MERGEFORMAT </w:instrText>
            </w:r>
            <w:r>
              <w:rPr>
                <w:b w:val="0"/>
              </w:rPr>
              <w:fldChar w:fldCharType="separate"/>
            </w:r>
            <w:r>
              <w:rPr>
                <w:b w:val="0"/>
              </w:rPr>
              <w:t>2.</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2</w:t>
            </w:r>
            <w:r>
              <w:rPr>
                <w:b w:val="0"/>
              </w:rPr>
              <w:fldChar w:fldCharType="end"/>
            </w:r>
            <w:bookmarkEnd w:id="4"/>
            <w:r>
              <w:tab/>
              <w:t>Net tariff assistance by industry sector, 2009</w:t>
            </w:r>
            <w:r>
              <w:noBreakHyphen/>
              <w:t>10 to 2014</w:t>
            </w:r>
            <w:r>
              <w:noBreakHyphen/>
              <w:t>15</w:t>
            </w:r>
            <w:r w:rsidRPr="00FE3B50">
              <w:rPr>
                <w:rStyle w:val="NoteLabel"/>
              </w:rPr>
              <w:t>a</w:t>
            </w:r>
          </w:p>
          <w:p w:rsidR="007544CA" w:rsidRPr="00784A05" w:rsidRDefault="007544CA" w:rsidP="00133508">
            <w:pPr>
              <w:pStyle w:val="Subtitle"/>
            </w:pPr>
            <w:r>
              <w:t>$ million (nominal)</w:t>
            </w:r>
          </w:p>
        </w:tc>
      </w:tr>
      <w:tr w:rsidR="007544CA" w:rsidTr="0013350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029"/>
              <w:gridCol w:w="1077"/>
              <w:gridCol w:w="1077"/>
              <w:gridCol w:w="1076"/>
              <w:gridCol w:w="1076"/>
              <w:gridCol w:w="1076"/>
              <w:gridCol w:w="1076"/>
            </w:tblGrid>
            <w:tr w:rsidR="007544CA" w:rsidTr="00133508">
              <w:tc>
                <w:tcPr>
                  <w:tcW w:w="1195" w:type="pct"/>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p>
              </w:tc>
              <w:tc>
                <w:tcPr>
                  <w:tcW w:w="634" w:type="pct"/>
                  <w:tcBorders>
                    <w:top w:val="single" w:sz="6" w:space="0" w:color="BFBFBF"/>
                    <w:bottom w:val="single" w:sz="6" w:space="0" w:color="BFBFBF"/>
                  </w:tcBorders>
                </w:tcPr>
                <w:p w:rsidR="007544CA" w:rsidRDefault="007544CA" w:rsidP="00133508">
                  <w:pPr>
                    <w:pStyle w:val="TableColumnHeading"/>
                  </w:pPr>
                  <w:r>
                    <w:t>2009</w:t>
                  </w:r>
                  <w:r>
                    <w:noBreakHyphen/>
                    <w:t>10</w:t>
                  </w:r>
                </w:p>
              </w:tc>
              <w:tc>
                <w:tcPr>
                  <w:tcW w:w="634" w:type="pct"/>
                  <w:tcBorders>
                    <w:top w:val="single" w:sz="6" w:space="0" w:color="BFBFBF"/>
                    <w:bottom w:val="single" w:sz="6" w:space="0" w:color="BFBFBF"/>
                  </w:tcBorders>
                </w:tcPr>
                <w:p w:rsidR="007544CA" w:rsidRDefault="007544CA" w:rsidP="00133508">
                  <w:pPr>
                    <w:pStyle w:val="TableColumnHeading"/>
                  </w:pPr>
                  <w:r>
                    <w:t>2010</w:t>
                  </w:r>
                  <w:r>
                    <w:noBreakHyphen/>
                    <w:t>11</w:t>
                  </w:r>
                </w:p>
              </w:tc>
              <w:tc>
                <w:tcPr>
                  <w:tcW w:w="634" w:type="pct"/>
                  <w:tcBorders>
                    <w:top w:val="single" w:sz="6" w:space="0" w:color="BFBFBF"/>
                    <w:bottom w:val="single" w:sz="6" w:space="0" w:color="BFBFBF"/>
                  </w:tcBorders>
                </w:tcPr>
                <w:p w:rsidR="007544CA" w:rsidRDefault="007544CA" w:rsidP="00133508">
                  <w:pPr>
                    <w:pStyle w:val="TableColumnHeading"/>
                  </w:pPr>
                  <w:r>
                    <w:t>2011</w:t>
                  </w:r>
                  <w:r>
                    <w:noBreakHyphen/>
                    <w:t>12</w:t>
                  </w:r>
                </w:p>
              </w:tc>
              <w:tc>
                <w:tcPr>
                  <w:tcW w:w="634" w:type="pct"/>
                  <w:tcBorders>
                    <w:top w:val="single" w:sz="6" w:space="0" w:color="BFBFBF"/>
                    <w:bottom w:val="single" w:sz="6" w:space="0" w:color="BFBFBF"/>
                  </w:tcBorders>
                </w:tcPr>
                <w:p w:rsidR="007544CA" w:rsidRDefault="007544CA" w:rsidP="00133508">
                  <w:pPr>
                    <w:pStyle w:val="TableColumnHeading"/>
                  </w:pPr>
                  <w:r>
                    <w:t>2012</w:t>
                  </w:r>
                  <w:r>
                    <w:noBreakHyphen/>
                    <w:t>13</w:t>
                  </w:r>
                </w:p>
              </w:tc>
              <w:tc>
                <w:tcPr>
                  <w:tcW w:w="634" w:type="pct"/>
                  <w:tcBorders>
                    <w:top w:val="single" w:sz="6" w:space="0" w:color="BFBFBF"/>
                    <w:bottom w:val="single" w:sz="6" w:space="0" w:color="BFBFBF"/>
                  </w:tcBorders>
                  <w:shd w:val="clear" w:color="auto" w:fill="auto"/>
                  <w:tcMar>
                    <w:top w:w="28" w:type="dxa"/>
                  </w:tcMar>
                </w:tcPr>
                <w:p w:rsidR="007544CA" w:rsidRDefault="007544CA" w:rsidP="00133508">
                  <w:pPr>
                    <w:pStyle w:val="TableColumnHeading"/>
                  </w:pPr>
                  <w:r>
                    <w:t>2013</w:t>
                  </w:r>
                  <w:r>
                    <w:noBreakHyphen/>
                    <w:t>14</w:t>
                  </w:r>
                </w:p>
              </w:tc>
              <w:tc>
                <w:tcPr>
                  <w:tcW w:w="634" w:type="pct"/>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pPr>
                  <w:r>
                    <w:t>2014</w:t>
                  </w:r>
                  <w:r>
                    <w:noBreakHyphen/>
                    <w:t>15</w:t>
                  </w:r>
                </w:p>
              </w:tc>
            </w:tr>
            <w:tr w:rsidR="007544CA" w:rsidTr="00133508">
              <w:tc>
                <w:tcPr>
                  <w:tcW w:w="1195" w:type="pct"/>
                </w:tcPr>
                <w:p w:rsidR="007544CA" w:rsidRDefault="007544CA" w:rsidP="00133508">
                  <w:pPr>
                    <w:pStyle w:val="TableBodyText"/>
                    <w:spacing w:before="80"/>
                    <w:jc w:val="left"/>
                  </w:pPr>
                  <w:r>
                    <w:t>Primary production</w:t>
                  </w:r>
                </w:p>
              </w:tc>
              <w:tc>
                <w:tcPr>
                  <w:tcW w:w="634" w:type="pct"/>
                </w:tcPr>
                <w:p w:rsidR="007544CA" w:rsidRPr="0037176A" w:rsidRDefault="007544CA" w:rsidP="00133508">
                  <w:pPr>
                    <w:pStyle w:val="TableBodyText"/>
                    <w:spacing w:before="80"/>
                  </w:pPr>
                  <w:r w:rsidRPr="0037176A">
                    <w:t>142.</w:t>
                  </w:r>
                  <w:r>
                    <w:t>5</w:t>
                  </w:r>
                </w:p>
              </w:tc>
              <w:tc>
                <w:tcPr>
                  <w:tcW w:w="634" w:type="pct"/>
                </w:tcPr>
                <w:p w:rsidR="007544CA" w:rsidRPr="0037176A" w:rsidRDefault="007544CA" w:rsidP="00133508">
                  <w:pPr>
                    <w:pStyle w:val="TableBodyText"/>
                    <w:spacing w:before="80"/>
                  </w:pPr>
                  <w:r w:rsidRPr="0037176A">
                    <w:t>1</w:t>
                  </w:r>
                  <w:r>
                    <w:t>58</w:t>
                  </w:r>
                  <w:r w:rsidRPr="0037176A">
                    <w:t>.3</w:t>
                  </w:r>
                </w:p>
              </w:tc>
              <w:tc>
                <w:tcPr>
                  <w:tcW w:w="634" w:type="pct"/>
                </w:tcPr>
                <w:p w:rsidR="007544CA" w:rsidRPr="0037176A" w:rsidRDefault="007544CA" w:rsidP="00133508">
                  <w:pPr>
                    <w:pStyle w:val="TableBodyText"/>
                    <w:spacing w:before="80"/>
                  </w:pPr>
                  <w:r w:rsidRPr="0037176A">
                    <w:t>1</w:t>
                  </w:r>
                  <w:r>
                    <w:t>65</w:t>
                  </w:r>
                  <w:r w:rsidRPr="0037176A">
                    <w:t>.</w:t>
                  </w:r>
                  <w:r>
                    <w:t>1</w:t>
                  </w:r>
                </w:p>
              </w:tc>
              <w:tc>
                <w:tcPr>
                  <w:tcW w:w="634" w:type="pct"/>
                </w:tcPr>
                <w:p w:rsidR="007544CA" w:rsidRPr="0037176A" w:rsidRDefault="007544CA" w:rsidP="00133508">
                  <w:pPr>
                    <w:pStyle w:val="TableBodyText"/>
                    <w:spacing w:before="80"/>
                  </w:pPr>
                  <w:r w:rsidRPr="0037176A">
                    <w:t>17</w:t>
                  </w:r>
                  <w:r>
                    <w:t>7</w:t>
                  </w:r>
                  <w:r w:rsidRPr="0037176A">
                    <w:t>.</w:t>
                  </w:r>
                  <w:r>
                    <w:t>5</w:t>
                  </w:r>
                </w:p>
              </w:tc>
              <w:tc>
                <w:tcPr>
                  <w:tcW w:w="634" w:type="pct"/>
                </w:tcPr>
                <w:p w:rsidR="007544CA" w:rsidRPr="0037176A" w:rsidRDefault="007544CA" w:rsidP="00133508">
                  <w:pPr>
                    <w:pStyle w:val="TableBodyText"/>
                    <w:spacing w:before="80"/>
                    <w:ind w:right="28"/>
                  </w:pPr>
                  <w:r>
                    <w:t>145.9</w:t>
                  </w:r>
                </w:p>
              </w:tc>
              <w:tc>
                <w:tcPr>
                  <w:tcW w:w="634" w:type="pct"/>
                </w:tcPr>
                <w:p w:rsidR="007544CA" w:rsidRPr="0037176A" w:rsidRDefault="007544CA" w:rsidP="00133508">
                  <w:pPr>
                    <w:pStyle w:val="TableBodyText"/>
                    <w:spacing w:before="80"/>
                    <w:ind w:right="28"/>
                  </w:pPr>
                  <w:r>
                    <w:t>124.7</w:t>
                  </w:r>
                </w:p>
              </w:tc>
            </w:tr>
            <w:tr w:rsidR="007544CA" w:rsidTr="00133508">
              <w:tc>
                <w:tcPr>
                  <w:tcW w:w="1195" w:type="pct"/>
                </w:tcPr>
                <w:p w:rsidR="007544CA" w:rsidRDefault="007544CA" w:rsidP="00133508">
                  <w:pPr>
                    <w:pStyle w:val="TableBodyText"/>
                    <w:jc w:val="left"/>
                  </w:pPr>
                  <w:r>
                    <w:t>Mining</w:t>
                  </w:r>
                </w:p>
              </w:tc>
              <w:tc>
                <w:tcPr>
                  <w:tcW w:w="634" w:type="pct"/>
                </w:tcPr>
                <w:p w:rsidR="007544CA" w:rsidRPr="0037176A" w:rsidRDefault="007544CA" w:rsidP="00133508">
                  <w:pPr>
                    <w:pStyle w:val="TableBodyText"/>
                  </w:pPr>
                  <w:r>
                    <w:noBreakHyphen/>
                  </w:r>
                  <w:r w:rsidRPr="0037176A">
                    <w:t>18</w:t>
                  </w:r>
                  <w:r>
                    <w:t>7</w:t>
                  </w:r>
                  <w:r w:rsidRPr="0037176A">
                    <w:t>.</w:t>
                  </w:r>
                  <w:r>
                    <w:t>1</w:t>
                  </w:r>
                </w:p>
              </w:tc>
              <w:tc>
                <w:tcPr>
                  <w:tcW w:w="634" w:type="pct"/>
                </w:tcPr>
                <w:p w:rsidR="007544CA" w:rsidRPr="0037176A" w:rsidRDefault="007544CA" w:rsidP="00133508">
                  <w:pPr>
                    <w:pStyle w:val="TableBodyText"/>
                  </w:pPr>
                  <w:r>
                    <w:noBreakHyphen/>
                  </w:r>
                  <w:r w:rsidRPr="0037176A">
                    <w:t>18</w:t>
                  </w:r>
                  <w:r>
                    <w:t>4</w:t>
                  </w:r>
                  <w:r w:rsidRPr="0037176A">
                    <w:t>.</w:t>
                  </w:r>
                  <w:r>
                    <w:t>6</w:t>
                  </w:r>
                </w:p>
              </w:tc>
              <w:tc>
                <w:tcPr>
                  <w:tcW w:w="634" w:type="pct"/>
                </w:tcPr>
                <w:p w:rsidR="007544CA" w:rsidRPr="0037176A" w:rsidRDefault="007544CA" w:rsidP="00133508">
                  <w:pPr>
                    <w:pStyle w:val="TableBodyText"/>
                  </w:pPr>
                  <w:r>
                    <w:noBreakHyphen/>
                  </w:r>
                  <w:r w:rsidRPr="0037176A">
                    <w:t>19</w:t>
                  </w:r>
                  <w:r>
                    <w:t>8</w:t>
                  </w:r>
                  <w:r w:rsidRPr="0037176A">
                    <w:t>.5</w:t>
                  </w:r>
                </w:p>
              </w:tc>
              <w:tc>
                <w:tcPr>
                  <w:tcW w:w="634" w:type="pct"/>
                </w:tcPr>
                <w:p w:rsidR="007544CA" w:rsidRPr="0037176A" w:rsidRDefault="007544CA" w:rsidP="00133508">
                  <w:pPr>
                    <w:pStyle w:val="TableBodyText"/>
                  </w:pPr>
                  <w:r>
                    <w:noBreakHyphen/>
                  </w:r>
                  <w:r w:rsidRPr="0037176A">
                    <w:t>21</w:t>
                  </w:r>
                  <w:r>
                    <w:t>5</w:t>
                  </w:r>
                  <w:r w:rsidRPr="0037176A">
                    <w:t>.</w:t>
                  </w:r>
                  <w:r>
                    <w:t>9</w:t>
                  </w:r>
                </w:p>
              </w:tc>
              <w:tc>
                <w:tcPr>
                  <w:tcW w:w="634" w:type="pct"/>
                </w:tcPr>
                <w:p w:rsidR="007544CA" w:rsidRPr="0037176A" w:rsidRDefault="007544CA" w:rsidP="00133508">
                  <w:pPr>
                    <w:pStyle w:val="TableBodyText"/>
                    <w:ind w:right="28"/>
                  </w:pPr>
                  <w:r>
                    <w:noBreakHyphen/>
                  </w:r>
                  <w:r w:rsidRPr="0037176A">
                    <w:t>23</w:t>
                  </w:r>
                  <w:r>
                    <w:t>6</w:t>
                  </w:r>
                  <w:r w:rsidRPr="0037176A">
                    <w:t>.</w:t>
                  </w:r>
                  <w:r>
                    <w:t>5</w:t>
                  </w:r>
                </w:p>
              </w:tc>
              <w:tc>
                <w:tcPr>
                  <w:tcW w:w="634" w:type="pct"/>
                </w:tcPr>
                <w:p w:rsidR="007544CA" w:rsidRPr="0037176A" w:rsidRDefault="007544CA" w:rsidP="00133508">
                  <w:pPr>
                    <w:pStyle w:val="TableBodyText"/>
                    <w:ind w:right="28"/>
                  </w:pPr>
                  <w:r>
                    <w:noBreakHyphen/>
                    <w:t>252.9</w:t>
                  </w:r>
                </w:p>
              </w:tc>
            </w:tr>
            <w:tr w:rsidR="007544CA" w:rsidTr="00133508">
              <w:tc>
                <w:tcPr>
                  <w:tcW w:w="1195" w:type="pct"/>
                </w:tcPr>
                <w:p w:rsidR="007544CA" w:rsidRDefault="007544CA" w:rsidP="00133508">
                  <w:pPr>
                    <w:pStyle w:val="TableBodyText"/>
                    <w:jc w:val="left"/>
                  </w:pPr>
                  <w:r>
                    <w:t>Manufacturing</w:t>
                  </w:r>
                </w:p>
              </w:tc>
              <w:tc>
                <w:tcPr>
                  <w:tcW w:w="634" w:type="pct"/>
                </w:tcPr>
                <w:p w:rsidR="007544CA" w:rsidRPr="0037176A" w:rsidRDefault="007544CA" w:rsidP="00133508">
                  <w:pPr>
                    <w:pStyle w:val="TableBodyText"/>
                  </w:pPr>
                  <w:r w:rsidRPr="0037176A">
                    <w:t>5</w:t>
                  </w:r>
                  <w:r>
                    <w:t> </w:t>
                  </w:r>
                  <w:r w:rsidRPr="0037176A">
                    <w:t>9</w:t>
                  </w:r>
                  <w:r>
                    <w:t>56.8</w:t>
                  </w:r>
                </w:p>
              </w:tc>
              <w:tc>
                <w:tcPr>
                  <w:tcW w:w="634" w:type="pct"/>
                </w:tcPr>
                <w:p w:rsidR="007544CA" w:rsidRPr="0037176A" w:rsidRDefault="007544CA" w:rsidP="00133508">
                  <w:pPr>
                    <w:pStyle w:val="TableBodyText"/>
                  </w:pPr>
                  <w:r w:rsidRPr="0037176A">
                    <w:t>5</w:t>
                  </w:r>
                  <w:r>
                    <w:t> 711</w:t>
                  </w:r>
                  <w:r w:rsidRPr="0037176A">
                    <w:t>.</w:t>
                  </w:r>
                  <w:r>
                    <w:t>4</w:t>
                  </w:r>
                </w:p>
              </w:tc>
              <w:tc>
                <w:tcPr>
                  <w:tcW w:w="634" w:type="pct"/>
                </w:tcPr>
                <w:p w:rsidR="007544CA" w:rsidRPr="0037176A" w:rsidRDefault="007544CA" w:rsidP="00133508">
                  <w:pPr>
                    <w:pStyle w:val="TableBodyText"/>
                  </w:pPr>
                  <w:r w:rsidRPr="0037176A">
                    <w:t>5</w:t>
                  </w:r>
                  <w:r>
                    <w:t> </w:t>
                  </w:r>
                  <w:r w:rsidRPr="0037176A">
                    <w:t>7</w:t>
                  </w:r>
                  <w:r>
                    <w:t>68</w:t>
                  </w:r>
                  <w:r w:rsidRPr="0037176A">
                    <w:t>.</w:t>
                  </w:r>
                  <w:r>
                    <w:t>5</w:t>
                  </w:r>
                </w:p>
              </w:tc>
              <w:tc>
                <w:tcPr>
                  <w:tcW w:w="634" w:type="pct"/>
                </w:tcPr>
                <w:p w:rsidR="007544CA" w:rsidRPr="0037176A" w:rsidRDefault="007544CA" w:rsidP="00133508">
                  <w:pPr>
                    <w:pStyle w:val="TableBodyText"/>
                  </w:pPr>
                  <w:r w:rsidRPr="0037176A">
                    <w:t>5</w:t>
                  </w:r>
                  <w:r>
                    <w:t> </w:t>
                  </w:r>
                  <w:r w:rsidRPr="0037176A">
                    <w:t>5</w:t>
                  </w:r>
                  <w:r>
                    <w:t>18.4</w:t>
                  </w:r>
                </w:p>
              </w:tc>
              <w:tc>
                <w:tcPr>
                  <w:tcW w:w="634" w:type="pct"/>
                </w:tcPr>
                <w:p w:rsidR="007544CA" w:rsidRPr="0037176A" w:rsidRDefault="007544CA" w:rsidP="00133508">
                  <w:pPr>
                    <w:pStyle w:val="TableBodyText"/>
                    <w:ind w:right="28"/>
                  </w:pPr>
                  <w:r w:rsidRPr="0037176A">
                    <w:t>5</w:t>
                  </w:r>
                  <w:r>
                    <w:t> </w:t>
                  </w:r>
                  <w:r w:rsidRPr="0037176A">
                    <w:t>5</w:t>
                  </w:r>
                  <w:r>
                    <w:t>55</w:t>
                  </w:r>
                  <w:r w:rsidRPr="0037176A">
                    <w:t>.</w:t>
                  </w:r>
                  <w:r>
                    <w:t>3</w:t>
                  </w:r>
                </w:p>
              </w:tc>
              <w:tc>
                <w:tcPr>
                  <w:tcW w:w="634" w:type="pct"/>
                </w:tcPr>
                <w:p w:rsidR="007544CA" w:rsidRPr="0037176A" w:rsidRDefault="007544CA" w:rsidP="00133508">
                  <w:pPr>
                    <w:pStyle w:val="TableBodyText"/>
                    <w:ind w:right="28"/>
                  </w:pPr>
                  <w:r>
                    <w:t>5 555.9</w:t>
                  </w:r>
                </w:p>
              </w:tc>
            </w:tr>
            <w:tr w:rsidR="007544CA" w:rsidTr="00133508">
              <w:tc>
                <w:tcPr>
                  <w:tcW w:w="1195" w:type="pct"/>
                </w:tcPr>
                <w:p w:rsidR="007544CA" w:rsidRDefault="007544CA" w:rsidP="00133508">
                  <w:pPr>
                    <w:pStyle w:val="TableBodyText"/>
                    <w:jc w:val="left"/>
                  </w:pPr>
                  <w:r>
                    <w:t>Services</w:t>
                  </w:r>
                </w:p>
              </w:tc>
              <w:tc>
                <w:tcPr>
                  <w:tcW w:w="634" w:type="pct"/>
                </w:tcPr>
                <w:p w:rsidR="007544CA" w:rsidRPr="0037176A" w:rsidRDefault="007544CA" w:rsidP="00133508">
                  <w:pPr>
                    <w:pStyle w:val="TableBodyText"/>
                  </w:pPr>
                  <w:r>
                    <w:noBreakHyphen/>
                  </w:r>
                  <w:r w:rsidRPr="0037176A">
                    <w:t>4</w:t>
                  </w:r>
                  <w:r>
                    <w:t> </w:t>
                  </w:r>
                  <w:r w:rsidRPr="0037176A">
                    <w:t>19</w:t>
                  </w:r>
                  <w:r>
                    <w:t>5</w:t>
                  </w:r>
                  <w:r w:rsidRPr="0037176A">
                    <w:t>.</w:t>
                  </w:r>
                  <w:r>
                    <w:t>2</w:t>
                  </w:r>
                </w:p>
              </w:tc>
              <w:tc>
                <w:tcPr>
                  <w:tcW w:w="634" w:type="pct"/>
                </w:tcPr>
                <w:p w:rsidR="007544CA" w:rsidRPr="0037176A" w:rsidRDefault="007544CA" w:rsidP="00133508">
                  <w:pPr>
                    <w:pStyle w:val="TableBodyText"/>
                    <w:rPr>
                      <w:b/>
                      <w:i/>
                    </w:rPr>
                  </w:pPr>
                  <w:r>
                    <w:noBreakHyphen/>
                  </w:r>
                  <w:r w:rsidRPr="0037176A">
                    <w:t>4</w:t>
                  </w:r>
                  <w:r>
                    <w:t> </w:t>
                  </w:r>
                  <w:r w:rsidRPr="0037176A">
                    <w:t>27</w:t>
                  </w:r>
                  <w:r>
                    <w:t>7</w:t>
                  </w:r>
                  <w:r w:rsidRPr="0037176A">
                    <w:t>.</w:t>
                  </w:r>
                  <w:r>
                    <w:t>7</w:t>
                  </w:r>
                </w:p>
              </w:tc>
              <w:tc>
                <w:tcPr>
                  <w:tcW w:w="634" w:type="pct"/>
                </w:tcPr>
                <w:p w:rsidR="007544CA" w:rsidRPr="0037176A" w:rsidRDefault="007544CA" w:rsidP="00133508">
                  <w:pPr>
                    <w:pStyle w:val="TableBodyText"/>
                    <w:rPr>
                      <w:b/>
                      <w:i/>
                    </w:rPr>
                  </w:pPr>
                  <w:r>
                    <w:noBreakHyphen/>
                  </w:r>
                  <w:r w:rsidRPr="0037176A">
                    <w:t>4</w:t>
                  </w:r>
                  <w:r>
                    <w:t> </w:t>
                  </w:r>
                  <w:r w:rsidRPr="0037176A">
                    <w:t>6</w:t>
                  </w:r>
                  <w:r>
                    <w:t>32</w:t>
                  </w:r>
                  <w:r w:rsidRPr="0037176A">
                    <w:t>.</w:t>
                  </w:r>
                  <w:r>
                    <w:t>5</w:t>
                  </w:r>
                </w:p>
              </w:tc>
              <w:tc>
                <w:tcPr>
                  <w:tcW w:w="634" w:type="pct"/>
                </w:tcPr>
                <w:p w:rsidR="007544CA" w:rsidRPr="0037176A" w:rsidRDefault="007544CA" w:rsidP="00133508">
                  <w:pPr>
                    <w:pStyle w:val="TableBodyText"/>
                    <w:rPr>
                      <w:b/>
                      <w:i/>
                    </w:rPr>
                  </w:pPr>
                  <w:r>
                    <w:noBreakHyphen/>
                  </w:r>
                  <w:r w:rsidRPr="0037176A">
                    <w:t>4</w:t>
                  </w:r>
                  <w:r>
                    <w:t> </w:t>
                  </w:r>
                  <w:r w:rsidRPr="0037176A">
                    <w:t>7</w:t>
                  </w:r>
                  <w:r>
                    <w:t>98</w:t>
                  </w:r>
                  <w:r w:rsidRPr="0037176A">
                    <w:t>.</w:t>
                  </w:r>
                  <w:r>
                    <w:t>5</w:t>
                  </w:r>
                </w:p>
              </w:tc>
              <w:tc>
                <w:tcPr>
                  <w:tcW w:w="634" w:type="pct"/>
                </w:tcPr>
                <w:p w:rsidR="007544CA" w:rsidRPr="0037176A" w:rsidRDefault="007544CA" w:rsidP="00133508">
                  <w:pPr>
                    <w:pStyle w:val="TableBodyText"/>
                    <w:ind w:right="28"/>
                    <w:rPr>
                      <w:b/>
                      <w:i/>
                    </w:rPr>
                  </w:pPr>
                  <w:r>
                    <w:noBreakHyphen/>
                  </w:r>
                  <w:r w:rsidRPr="0037176A">
                    <w:t>4</w:t>
                  </w:r>
                  <w:r>
                    <w:t> </w:t>
                  </w:r>
                  <w:r w:rsidRPr="0037176A">
                    <w:t>9</w:t>
                  </w:r>
                  <w:r>
                    <w:t>41</w:t>
                  </w:r>
                  <w:r w:rsidRPr="0037176A">
                    <w:t>.</w:t>
                  </w:r>
                  <w:r>
                    <w:t>4</w:t>
                  </w:r>
                </w:p>
              </w:tc>
              <w:tc>
                <w:tcPr>
                  <w:tcW w:w="634" w:type="pct"/>
                </w:tcPr>
                <w:p w:rsidR="007544CA" w:rsidRPr="00590325" w:rsidRDefault="007544CA" w:rsidP="00133508">
                  <w:pPr>
                    <w:pStyle w:val="TableBodyText"/>
                    <w:pBdr>
                      <w:left w:val="single" w:sz="24" w:space="12" w:color="C0C0C0"/>
                    </w:pBdr>
                    <w:ind w:left="0" w:right="28"/>
                  </w:pPr>
                  <w:r>
                    <w:noBreakHyphen/>
                  </w:r>
                  <w:r w:rsidRPr="00590325">
                    <w:t>5</w:t>
                  </w:r>
                  <w:r>
                    <w:t> </w:t>
                  </w:r>
                  <w:r w:rsidRPr="00590325">
                    <w:t>125.0</w:t>
                  </w:r>
                </w:p>
              </w:tc>
            </w:tr>
            <w:tr w:rsidR="007544CA" w:rsidRPr="00105AA7" w:rsidTr="00133508">
              <w:tc>
                <w:tcPr>
                  <w:tcW w:w="1195" w:type="pct"/>
                  <w:tcBorders>
                    <w:bottom w:val="single" w:sz="6" w:space="0" w:color="BFBFBF"/>
                  </w:tcBorders>
                  <w:shd w:val="clear" w:color="auto" w:fill="auto"/>
                </w:tcPr>
                <w:p w:rsidR="007544CA" w:rsidRPr="00105AA7" w:rsidRDefault="007544CA" w:rsidP="00133508">
                  <w:pPr>
                    <w:pStyle w:val="TableBodyText"/>
                    <w:jc w:val="left"/>
                    <w:rPr>
                      <w:b/>
                    </w:rPr>
                  </w:pPr>
                  <w:r w:rsidRPr="00105AA7">
                    <w:rPr>
                      <w:b/>
                    </w:rPr>
                    <w:t>Total</w:t>
                  </w:r>
                </w:p>
              </w:tc>
              <w:tc>
                <w:tcPr>
                  <w:tcW w:w="634" w:type="pct"/>
                  <w:tcBorders>
                    <w:bottom w:val="single" w:sz="6" w:space="0" w:color="BFBFBF"/>
                  </w:tcBorders>
                </w:tcPr>
                <w:p w:rsidR="007544CA" w:rsidRPr="00105AA7" w:rsidRDefault="007544CA" w:rsidP="00133508">
                  <w:pPr>
                    <w:pStyle w:val="TableBodyText"/>
                    <w:rPr>
                      <w:b/>
                    </w:rPr>
                  </w:pPr>
                  <w:r w:rsidRPr="00105AA7">
                    <w:rPr>
                      <w:b/>
                    </w:rPr>
                    <w:t>1</w:t>
                  </w:r>
                  <w:r>
                    <w:rPr>
                      <w:b/>
                    </w:rPr>
                    <w:t> </w:t>
                  </w:r>
                  <w:r w:rsidRPr="00105AA7">
                    <w:rPr>
                      <w:b/>
                    </w:rPr>
                    <w:t>7</w:t>
                  </w:r>
                  <w:r>
                    <w:rPr>
                      <w:b/>
                    </w:rPr>
                    <w:t>17</w:t>
                  </w:r>
                  <w:r w:rsidRPr="00105AA7">
                    <w:rPr>
                      <w:b/>
                    </w:rPr>
                    <w:t>.</w:t>
                  </w:r>
                  <w:r>
                    <w:rPr>
                      <w:b/>
                    </w:rPr>
                    <w:t>0</w:t>
                  </w:r>
                </w:p>
              </w:tc>
              <w:tc>
                <w:tcPr>
                  <w:tcW w:w="634" w:type="pct"/>
                  <w:tcBorders>
                    <w:bottom w:val="single" w:sz="6" w:space="0" w:color="BFBFBF"/>
                  </w:tcBorders>
                </w:tcPr>
                <w:p w:rsidR="007544CA" w:rsidRPr="00105AA7" w:rsidRDefault="007544CA" w:rsidP="00133508">
                  <w:pPr>
                    <w:pStyle w:val="TableBodyText"/>
                    <w:rPr>
                      <w:b/>
                      <w:i/>
                    </w:rPr>
                  </w:pPr>
                  <w:r w:rsidRPr="00105AA7">
                    <w:rPr>
                      <w:b/>
                    </w:rPr>
                    <w:t>1</w:t>
                  </w:r>
                  <w:r>
                    <w:rPr>
                      <w:b/>
                    </w:rPr>
                    <w:t> 407</w:t>
                  </w:r>
                  <w:r w:rsidRPr="00105AA7">
                    <w:rPr>
                      <w:b/>
                    </w:rPr>
                    <w:t>.</w:t>
                  </w:r>
                  <w:r>
                    <w:rPr>
                      <w:b/>
                    </w:rPr>
                    <w:t>4</w:t>
                  </w:r>
                </w:p>
              </w:tc>
              <w:tc>
                <w:tcPr>
                  <w:tcW w:w="634" w:type="pct"/>
                  <w:tcBorders>
                    <w:bottom w:val="single" w:sz="6" w:space="0" w:color="BFBFBF"/>
                  </w:tcBorders>
                </w:tcPr>
                <w:p w:rsidR="007544CA" w:rsidRPr="00105AA7" w:rsidRDefault="007544CA" w:rsidP="00133508">
                  <w:pPr>
                    <w:pStyle w:val="TableBodyText"/>
                    <w:rPr>
                      <w:b/>
                      <w:i/>
                    </w:rPr>
                  </w:pPr>
                  <w:r w:rsidRPr="00105AA7">
                    <w:rPr>
                      <w:b/>
                    </w:rPr>
                    <w:t>1</w:t>
                  </w:r>
                  <w:r>
                    <w:rPr>
                      <w:b/>
                    </w:rPr>
                    <w:t> 102</w:t>
                  </w:r>
                  <w:r w:rsidRPr="00105AA7">
                    <w:rPr>
                      <w:b/>
                    </w:rPr>
                    <w:t>.</w:t>
                  </w:r>
                  <w:r>
                    <w:rPr>
                      <w:b/>
                    </w:rPr>
                    <w:t>7</w:t>
                  </w:r>
                </w:p>
              </w:tc>
              <w:tc>
                <w:tcPr>
                  <w:tcW w:w="634" w:type="pct"/>
                  <w:tcBorders>
                    <w:bottom w:val="single" w:sz="6" w:space="0" w:color="BFBFBF"/>
                  </w:tcBorders>
                </w:tcPr>
                <w:p w:rsidR="007544CA" w:rsidRPr="00105AA7" w:rsidRDefault="007544CA" w:rsidP="00133508">
                  <w:pPr>
                    <w:pStyle w:val="TableBodyText"/>
                    <w:rPr>
                      <w:b/>
                      <w:i/>
                    </w:rPr>
                  </w:pPr>
                  <w:r>
                    <w:rPr>
                      <w:b/>
                    </w:rPr>
                    <w:t>681</w:t>
                  </w:r>
                  <w:r w:rsidRPr="00105AA7">
                    <w:rPr>
                      <w:b/>
                    </w:rPr>
                    <w:t>.</w:t>
                  </w:r>
                  <w:r>
                    <w:rPr>
                      <w:b/>
                    </w:rPr>
                    <w:t>5</w:t>
                  </w:r>
                </w:p>
              </w:tc>
              <w:tc>
                <w:tcPr>
                  <w:tcW w:w="634" w:type="pct"/>
                  <w:tcBorders>
                    <w:bottom w:val="single" w:sz="6" w:space="0" w:color="BFBFBF"/>
                  </w:tcBorders>
                  <w:shd w:val="clear" w:color="auto" w:fill="auto"/>
                </w:tcPr>
                <w:p w:rsidR="007544CA" w:rsidRPr="00105AA7" w:rsidRDefault="007544CA" w:rsidP="00133508">
                  <w:pPr>
                    <w:pStyle w:val="TableBodyText"/>
                    <w:ind w:right="28"/>
                    <w:rPr>
                      <w:b/>
                      <w:i/>
                    </w:rPr>
                  </w:pPr>
                  <w:r w:rsidRPr="00105AA7">
                    <w:rPr>
                      <w:b/>
                    </w:rPr>
                    <w:t>5</w:t>
                  </w:r>
                  <w:r>
                    <w:rPr>
                      <w:b/>
                    </w:rPr>
                    <w:t>23</w:t>
                  </w:r>
                  <w:r w:rsidRPr="00105AA7">
                    <w:rPr>
                      <w:b/>
                    </w:rPr>
                    <w:t>.</w:t>
                  </w:r>
                  <w:r>
                    <w:rPr>
                      <w:b/>
                    </w:rPr>
                    <w:t>3</w:t>
                  </w:r>
                </w:p>
              </w:tc>
              <w:tc>
                <w:tcPr>
                  <w:tcW w:w="634" w:type="pct"/>
                  <w:tcBorders>
                    <w:bottom w:val="single" w:sz="6" w:space="0" w:color="BFBFBF"/>
                  </w:tcBorders>
                  <w:shd w:val="clear" w:color="auto" w:fill="auto"/>
                </w:tcPr>
                <w:p w:rsidR="007544CA" w:rsidRPr="00590325" w:rsidRDefault="007544CA" w:rsidP="00133508">
                  <w:pPr>
                    <w:pStyle w:val="TableBodyText"/>
                    <w:pBdr>
                      <w:left w:val="single" w:sz="24" w:space="12" w:color="C0C0C0"/>
                    </w:pBdr>
                    <w:ind w:left="0" w:right="28"/>
                    <w:rPr>
                      <w:b/>
                    </w:rPr>
                  </w:pPr>
                  <w:r w:rsidRPr="00590325">
                    <w:rPr>
                      <w:b/>
                    </w:rPr>
                    <w:t>302.7</w:t>
                  </w:r>
                </w:p>
              </w:tc>
            </w:tr>
          </w:tbl>
          <w:p w:rsidR="007544CA" w:rsidRDefault="007544CA" w:rsidP="00133508">
            <w:pPr>
              <w:pStyle w:val="Box"/>
            </w:pP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Note"/>
              <w:rPr>
                <w:i/>
              </w:rPr>
            </w:pPr>
            <w:r w:rsidRPr="008E77FE">
              <w:rPr>
                <w:rStyle w:val="NoteLabel"/>
              </w:rPr>
              <w:t>a</w:t>
            </w:r>
            <w:r>
              <w:t> </w:t>
            </w:r>
            <w:r w:rsidRPr="00D1627A">
              <w:t>Nominal tariff assistance estimates are derived by re</w:t>
            </w:r>
            <w:r>
              <w:noBreakHyphen/>
            </w:r>
            <w:r w:rsidRPr="00D1627A">
              <w:t>indexing a reference series based on 2008</w:t>
            </w:r>
            <w:r>
              <w:noBreakHyphen/>
            </w:r>
            <w:r w:rsidRPr="00D1627A">
              <w:t>09 ABS input</w:t>
            </w:r>
            <w:r>
              <w:noBreakHyphen/>
            </w:r>
            <w:r w:rsidRPr="00D1627A">
              <w:t>output data, using ABS Industry Gross Value Added and supporting data at current prices for all industries except Mining. For Mining, in order to abstract from the effects of terms of trade changes, the estimates are re</w:t>
            </w:r>
            <w:r>
              <w:noBreakHyphen/>
            </w:r>
            <w:r w:rsidRPr="00D1627A">
              <w:t>indexed using the ABS Industry Gross Value Added, chain volume measures. This information is subject to periodic revision by the ABS.</w:t>
            </w:r>
            <w:r>
              <w:t xml:space="preserve"> </w:t>
            </w: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Source"/>
            </w:pPr>
            <w:r>
              <w:rPr>
                <w:i/>
              </w:rPr>
              <w:t>Source</w:t>
            </w:r>
            <w:r w:rsidRPr="00167F06">
              <w:t xml:space="preserve">: </w:t>
            </w:r>
            <w:r>
              <w:t>Commission estimates.</w:t>
            </w:r>
          </w:p>
        </w:tc>
      </w:tr>
      <w:tr w:rsidR="007544CA" w:rsidTr="00133508">
        <w:trPr>
          <w:cantSplit/>
        </w:trPr>
        <w:tc>
          <w:tcPr>
            <w:tcW w:w="8771" w:type="dxa"/>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Default="007544CA" w:rsidP="00133508">
            <w:pPr>
              <w:pStyle w:val="FigureTitle"/>
            </w:pPr>
            <w:r w:rsidRPr="00784A05">
              <w:rPr>
                <w:b w:val="0"/>
              </w:rPr>
              <w:t xml:space="preserve">Figure </w:t>
            </w:r>
            <w:r w:rsidRPr="00784A05">
              <w:rPr>
                <w:b w:val="0"/>
              </w:rPr>
              <w:fldChar w:fldCharType="begin" w:fldLock="1"/>
            </w:r>
            <w:r w:rsidRPr="00784A05">
              <w:rPr>
                <w:b w:val="0"/>
              </w:rPr>
              <w:instrText xml:space="preserve"> COMMENTS  \* MERGEFORMAT </w:instrText>
            </w:r>
            <w:r w:rsidRPr="00784A05">
              <w:rPr>
                <w:b w:val="0"/>
              </w:rPr>
              <w:fldChar w:fldCharType="separate"/>
            </w:r>
            <w:r>
              <w:rPr>
                <w:b w:val="0"/>
              </w:rPr>
              <w:t>2.</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1</w:t>
            </w:r>
            <w:r w:rsidRPr="00784A05">
              <w:rPr>
                <w:b w:val="0"/>
              </w:rPr>
              <w:fldChar w:fldCharType="end"/>
            </w:r>
            <w:r>
              <w:tab/>
              <w:t>Net tariff assistance by industry sector, 2014</w:t>
            </w:r>
            <w:r>
              <w:noBreakHyphen/>
              <w:t>15</w:t>
            </w:r>
          </w:p>
          <w:p w:rsidR="007544CA" w:rsidRPr="00176D3F" w:rsidRDefault="007544CA" w:rsidP="00133508">
            <w:pPr>
              <w:pStyle w:val="Subtitle"/>
            </w:pPr>
            <w:r>
              <w:t>$ billion (nominal)</w:t>
            </w:r>
          </w:p>
        </w:tc>
      </w:tr>
      <w:tr w:rsidR="007544CA" w:rsidTr="0013350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7544CA" w:rsidTr="00133508">
              <w:trPr>
                <w:jc w:val="center"/>
              </w:trPr>
              <w:tc>
                <w:tcPr>
                  <w:tcW w:w="8504" w:type="dxa"/>
                  <w:tcBorders>
                    <w:top w:val="nil"/>
                    <w:bottom w:val="nil"/>
                  </w:tcBorders>
                </w:tcPr>
                <w:p w:rsidR="007544CA" w:rsidRDefault="007544CA" w:rsidP="00133508">
                  <w:pPr>
                    <w:pStyle w:val="Figure"/>
                    <w:spacing w:before="60" w:after="60"/>
                    <w:rPr>
                      <w:noProof/>
                    </w:rPr>
                  </w:pPr>
                  <w:r>
                    <w:rPr>
                      <w:noProof/>
                    </w:rPr>
                    <w:drawing>
                      <wp:inline distT="0" distB="0" distL="0" distR="0" wp14:anchorId="210C93B0" wp14:editId="7A8A99E1">
                        <wp:extent cx="5400675" cy="2924175"/>
                        <wp:effectExtent l="0" t="0" r="9525" b="9525"/>
                        <wp:docPr id="7" name="Picture 7" descr="More details can be found within the text immediately before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00675" cy="2924175"/>
                                </a:xfrm>
                                <a:prstGeom prst="rect">
                                  <a:avLst/>
                                </a:prstGeom>
                                <a:noFill/>
                                <a:ln>
                                  <a:noFill/>
                                </a:ln>
                              </pic:spPr>
                            </pic:pic>
                          </a:graphicData>
                        </a:graphic>
                      </wp:inline>
                    </w:drawing>
                  </w:r>
                </w:p>
              </w:tc>
            </w:tr>
          </w:tbl>
          <w:p w:rsidR="007544CA" w:rsidRDefault="007544CA" w:rsidP="00133508">
            <w:pPr>
              <w:pStyle w:val="Figure"/>
            </w:pPr>
          </w:p>
        </w:tc>
      </w:tr>
      <w:tr w:rsidR="007544CA" w:rsidRPr="00176D3F" w:rsidTr="00133508">
        <w:tc>
          <w:tcPr>
            <w:tcW w:w="8771" w:type="dxa"/>
            <w:tcBorders>
              <w:top w:val="nil"/>
              <w:left w:val="nil"/>
              <w:bottom w:val="nil"/>
              <w:right w:val="nil"/>
            </w:tcBorders>
            <w:shd w:val="clear" w:color="auto" w:fill="auto"/>
          </w:tcPr>
          <w:p w:rsidR="007544CA" w:rsidRPr="00176D3F" w:rsidRDefault="007544CA" w:rsidP="00133508">
            <w:pPr>
              <w:pStyle w:val="Source"/>
            </w:pPr>
            <w:r>
              <w:rPr>
                <w:i/>
              </w:rPr>
              <w:t>S</w:t>
            </w:r>
            <w:r w:rsidRPr="00784A05">
              <w:rPr>
                <w:i/>
              </w:rPr>
              <w:t>ource</w:t>
            </w:r>
            <w:r w:rsidRPr="00176D3F">
              <w:t xml:space="preserve">: </w:t>
            </w:r>
            <w:r>
              <w:t xml:space="preserve">Commission estimates. </w:t>
            </w:r>
          </w:p>
        </w:tc>
      </w:tr>
      <w:tr w:rsidR="007544CA" w:rsidTr="00133508">
        <w:tc>
          <w:tcPr>
            <w:tcW w:w="8771" w:type="dxa"/>
            <w:tcBorders>
              <w:top w:val="nil"/>
              <w:left w:val="nil"/>
              <w:bottom w:val="single" w:sz="6" w:space="0" w:color="78A22F"/>
              <w:right w:val="nil"/>
            </w:tcBorders>
            <w:shd w:val="clear" w:color="auto" w:fill="auto"/>
          </w:tcPr>
          <w:p w:rsidR="007544CA" w:rsidRDefault="007544CA" w:rsidP="00133508">
            <w:pPr>
              <w:pStyle w:val="Figurespace"/>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BodyText"/>
      </w:pPr>
      <w:r>
        <w:t>T</w:t>
      </w:r>
      <w:r w:rsidRPr="004B655B">
        <w:t xml:space="preserve">he value of </w:t>
      </w:r>
      <w:r>
        <w:t xml:space="preserve">net </w:t>
      </w:r>
      <w:r w:rsidRPr="004B655B">
        <w:t>tariff assistance to primary production trended higher over the period</w:t>
      </w:r>
      <w:r>
        <w:t xml:space="preserve"> to 2012</w:t>
      </w:r>
      <w:r>
        <w:noBreakHyphen/>
        <w:t>13 but has since fallen to levels below that recorded in 2009</w:t>
      </w:r>
      <w:r>
        <w:noBreakHyphen/>
        <w:t xml:space="preserve">10. While there has been </w:t>
      </w:r>
      <w:r w:rsidRPr="004B655B">
        <w:t>year</w:t>
      </w:r>
      <w:r>
        <w:noBreakHyphen/>
      </w:r>
      <w:r w:rsidRPr="004B655B">
        <w:t>to</w:t>
      </w:r>
      <w:r>
        <w:noBreakHyphen/>
      </w:r>
      <w:r w:rsidRPr="004B655B">
        <w:t xml:space="preserve">year changes in the value of activity in the sector, the </w:t>
      </w:r>
      <w:r>
        <w:t xml:space="preserve">early upward trend has occurred as the </w:t>
      </w:r>
      <w:r w:rsidRPr="0050337F">
        <w:rPr>
          <w:i/>
        </w:rPr>
        <w:t>Horticulture and fruit growing</w:t>
      </w:r>
      <w:r w:rsidRPr="004B655B">
        <w:t xml:space="preserve"> and </w:t>
      </w:r>
      <w:r w:rsidRPr="0050337F">
        <w:rPr>
          <w:i/>
        </w:rPr>
        <w:t>Forestry and logging</w:t>
      </w:r>
      <w:r w:rsidRPr="004B655B">
        <w:t xml:space="preserve"> industries </w:t>
      </w:r>
      <w:r>
        <w:t>(</w:t>
      </w:r>
      <w:r w:rsidRPr="004B655B">
        <w:t>industries that receive positive net tariff assistance</w:t>
      </w:r>
      <w:r>
        <w:t>)</w:t>
      </w:r>
      <w:r w:rsidRPr="004B655B">
        <w:t xml:space="preserve"> have grown more in absolute terms than other primary production industries </w:t>
      </w:r>
      <w:r>
        <w:t>(</w:t>
      </w:r>
      <w:r w:rsidRPr="004B655B">
        <w:t>industries that, as a group, incur negative net tariff assistance</w:t>
      </w:r>
      <w:r>
        <w:t>). This trend reversed in 2013</w:t>
      </w:r>
      <w:r>
        <w:noBreakHyphen/>
        <w:t>14 and 2014</w:t>
      </w:r>
      <w:r>
        <w:noBreakHyphen/>
        <w:t xml:space="preserve">15, especially for </w:t>
      </w:r>
      <w:r w:rsidRPr="0050337F">
        <w:rPr>
          <w:i/>
        </w:rPr>
        <w:t>Horticulture and fruit growing</w:t>
      </w:r>
      <w:r>
        <w:rPr>
          <w:i/>
        </w:rPr>
        <w:t>.</w:t>
      </w:r>
    </w:p>
    <w:p w:rsidR="007544CA" w:rsidRDefault="007544CA" w:rsidP="00133508">
      <w:pPr>
        <w:pStyle w:val="Heading3"/>
      </w:pPr>
      <w:r>
        <w:t>Tariff assistance by industry grouping</w:t>
      </w:r>
    </w:p>
    <w:p w:rsidR="007544CA" w:rsidRDefault="007544CA" w:rsidP="00133508">
      <w:pPr>
        <w:pStyle w:val="BodyText"/>
      </w:pPr>
      <w:r>
        <w:t>By value,</w:t>
      </w:r>
      <w:r w:rsidRPr="0011736C">
        <w:t xml:space="preserve"> </w:t>
      </w:r>
      <w:r>
        <w:t>m</w:t>
      </w:r>
      <w:r w:rsidRPr="0011736C">
        <w:t>ost tariff assistance</w:t>
      </w:r>
      <w:r>
        <w:t xml:space="preserve"> </w:t>
      </w:r>
      <w:r w:rsidRPr="0011736C">
        <w:t xml:space="preserve">on outputs is directed towards the manufacturing sector, and in particular the </w:t>
      </w:r>
      <w:r w:rsidRPr="0011736C">
        <w:rPr>
          <w:i/>
        </w:rPr>
        <w:t>Food, beverages and tobacco</w:t>
      </w:r>
      <w:r w:rsidRPr="0011736C">
        <w:t xml:space="preserve"> ($1.</w:t>
      </w:r>
      <w:r>
        <w:t>9 </w:t>
      </w:r>
      <w:r w:rsidRPr="0011736C">
        <w:t xml:space="preserve">billion), </w:t>
      </w:r>
      <w:r w:rsidRPr="0011736C">
        <w:rPr>
          <w:i/>
        </w:rPr>
        <w:t>Metal and fabricated metal products</w:t>
      </w:r>
      <w:r w:rsidRPr="0011736C">
        <w:t xml:space="preserve"> ($1.7</w:t>
      </w:r>
      <w:r>
        <w:t> </w:t>
      </w:r>
      <w:r w:rsidRPr="0011736C">
        <w:t xml:space="preserve">billion), </w:t>
      </w:r>
      <w:r w:rsidRPr="0011736C">
        <w:rPr>
          <w:i/>
        </w:rPr>
        <w:t>Petroleum, coal, chemical and rubber products</w:t>
      </w:r>
      <w:r w:rsidRPr="0011736C">
        <w:t xml:space="preserve"> ($</w:t>
      </w:r>
      <w:r>
        <w:t>1 </w:t>
      </w:r>
      <w:r w:rsidRPr="0011736C">
        <w:t xml:space="preserve">billion), and </w:t>
      </w:r>
      <w:r w:rsidRPr="0011736C">
        <w:rPr>
          <w:i/>
        </w:rPr>
        <w:t>Motor vehicles and parts</w:t>
      </w:r>
      <w:r w:rsidRPr="0011736C">
        <w:t xml:space="preserve"> ($0.</w:t>
      </w:r>
      <w:r>
        <w:t>7 </w:t>
      </w:r>
      <w:r w:rsidRPr="0011736C">
        <w:t>billion) industry groups (table</w:t>
      </w:r>
      <w:r>
        <w:t> 2.3,</w:t>
      </w:r>
      <w:r w:rsidRPr="0011736C">
        <w:t xml:space="preserve"> left hand column).</w:t>
      </w:r>
      <w:r>
        <w:t xml:space="preserve"> </w:t>
      </w:r>
    </w:p>
    <w:p w:rsidR="007544CA" w:rsidRDefault="007544CA">
      <w:pPr>
        <w:pStyle w:val="BodyText"/>
      </w:pPr>
      <w:r>
        <w:t>Mining and primary production industries receive little tariff assistance on outputs, and tariffs are not levied on services. On the other hand, tariffs impose input cost penalties on all industries (because of their cost</w:t>
      </w:r>
      <w:r>
        <w:noBreakHyphen/>
        <w:t xml:space="preserve">raising effects on inputs) (table 2.3, middle column). Around two thirds of the input penalty on tariffs is incurred by services industries. </w:t>
      </w:r>
    </w:p>
    <w:p w:rsidR="007544CA" w:rsidRDefault="007544C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Default="007544CA">
            <w:pPr>
              <w:pStyle w:val="TableTitle"/>
            </w:pPr>
            <w:r>
              <w:rPr>
                <w:b w:val="0"/>
              </w:rPr>
              <w:t xml:space="preserve">Table </w:t>
            </w:r>
            <w:bookmarkStart w:id="5" w:name="OLE_LINK8"/>
            <w:r>
              <w:rPr>
                <w:b w:val="0"/>
              </w:rPr>
              <w:fldChar w:fldCharType="begin" w:fldLock="1"/>
            </w:r>
            <w:r>
              <w:rPr>
                <w:b w:val="0"/>
              </w:rPr>
              <w:instrText xml:space="preserve"> COMMENTS  \* MERGEFORMAT </w:instrText>
            </w:r>
            <w:r>
              <w:rPr>
                <w:b w:val="0"/>
              </w:rPr>
              <w:fldChar w:fldCharType="separate"/>
            </w:r>
            <w:r>
              <w:rPr>
                <w:b w:val="0"/>
              </w:rPr>
              <w:t>2.</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3</w:t>
            </w:r>
            <w:r>
              <w:rPr>
                <w:b w:val="0"/>
              </w:rPr>
              <w:fldChar w:fldCharType="end"/>
            </w:r>
            <w:bookmarkEnd w:id="5"/>
            <w:r>
              <w:tab/>
              <w:t>Tariff assistance by industry grouping, 2014</w:t>
            </w:r>
            <w:r>
              <w:noBreakHyphen/>
            </w:r>
            <w:r w:rsidRPr="00B146AC">
              <w:t>15</w:t>
            </w:r>
            <w:proofErr w:type="spellStart"/>
            <w:r w:rsidRPr="0096472F">
              <w:rPr>
                <w:rStyle w:val="NoteLabel"/>
                <w:b/>
              </w:rPr>
              <w:t>a,b</w:t>
            </w:r>
            <w:proofErr w:type="spellEnd"/>
          </w:p>
          <w:p w:rsidR="007544CA" w:rsidRPr="00784A05" w:rsidRDefault="007544CA">
            <w:pPr>
              <w:pStyle w:val="Subtitle"/>
            </w:pPr>
            <w:r>
              <w:t>$ million (nominal)</w:t>
            </w:r>
          </w:p>
        </w:tc>
      </w:tr>
      <w:tr w:rsidR="007544CA" w:rsidTr="00133508">
        <w:trPr>
          <w:cantSplit/>
        </w:trPr>
        <w:tc>
          <w:tcPr>
            <w:tcW w:w="8771" w:type="dxa"/>
            <w:tcBorders>
              <w:top w:val="nil"/>
              <w:left w:val="nil"/>
              <w:bottom w:val="nil"/>
              <w:right w:val="nil"/>
            </w:tcBorders>
            <w:shd w:val="clear" w:color="auto" w:fill="auto"/>
          </w:tcPr>
          <w:tbl>
            <w:tblPr>
              <w:tblW w:w="0" w:type="auto"/>
              <w:tblCellMar>
                <w:top w:w="28" w:type="dxa"/>
                <w:left w:w="0" w:type="dxa"/>
                <w:right w:w="0" w:type="dxa"/>
              </w:tblCellMar>
              <w:tblLook w:val="0000" w:firstRow="0" w:lastRow="0" w:firstColumn="0" w:lastColumn="0" w:noHBand="0" w:noVBand="0"/>
            </w:tblPr>
            <w:tblGrid>
              <w:gridCol w:w="3811"/>
              <w:gridCol w:w="1552"/>
              <w:gridCol w:w="1519"/>
              <w:gridCol w:w="1605"/>
            </w:tblGrid>
            <w:tr w:rsidR="007544CA" w:rsidTr="00133508">
              <w:tc>
                <w:tcPr>
                  <w:tcW w:w="0" w:type="auto"/>
                  <w:tcBorders>
                    <w:top w:val="single" w:sz="6" w:space="0" w:color="BFBFBF"/>
                    <w:bottom w:val="single" w:sz="6" w:space="0" w:color="BFBFBF"/>
                  </w:tcBorders>
                  <w:shd w:val="clear" w:color="auto" w:fill="auto"/>
                  <w:tcMar>
                    <w:top w:w="28" w:type="dxa"/>
                  </w:tcMar>
                  <w:vAlign w:val="bottom"/>
                </w:tcPr>
                <w:p w:rsidR="007544CA" w:rsidRDefault="007544CA" w:rsidP="00133508">
                  <w:pPr>
                    <w:pStyle w:val="TableColumnHeading"/>
                    <w:spacing w:before="40" w:after="40"/>
                    <w:jc w:val="left"/>
                  </w:pPr>
                  <w:r>
                    <w:t>Industry grouping</w:t>
                  </w:r>
                </w:p>
              </w:tc>
              <w:tc>
                <w:tcPr>
                  <w:tcW w:w="0" w:type="auto"/>
                  <w:tcBorders>
                    <w:top w:val="single" w:sz="6" w:space="0" w:color="BFBFBF"/>
                    <w:bottom w:val="single" w:sz="6" w:space="0" w:color="BFBFBF"/>
                  </w:tcBorders>
                  <w:vAlign w:val="bottom"/>
                </w:tcPr>
                <w:p w:rsidR="007544CA" w:rsidRDefault="007544CA" w:rsidP="00133508">
                  <w:pPr>
                    <w:pStyle w:val="TableColumnHeading"/>
                    <w:spacing w:before="40" w:after="40"/>
                  </w:pPr>
                  <w:r>
                    <w:t>Output assistance</w:t>
                  </w:r>
                </w:p>
              </w:tc>
              <w:tc>
                <w:tcPr>
                  <w:tcW w:w="0" w:type="auto"/>
                  <w:tcBorders>
                    <w:top w:val="single" w:sz="6" w:space="0" w:color="BFBFBF"/>
                    <w:bottom w:val="single" w:sz="6" w:space="0" w:color="BFBFBF"/>
                  </w:tcBorders>
                  <w:shd w:val="clear" w:color="auto" w:fill="auto"/>
                  <w:tcMar>
                    <w:top w:w="28" w:type="dxa"/>
                  </w:tcMar>
                  <w:vAlign w:val="bottom"/>
                </w:tcPr>
                <w:p w:rsidR="007544CA" w:rsidRDefault="007544CA" w:rsidP="00133508">
                  <w:pPr>
                    <w:pStyle w:val="TableColumnHeading"/>
                    <w:spacing w:before="40" w:after="40"/>
                  </w:pPr>
                  <w:r>
                    <w:t>Input cost penalty</w:t>
                  </w:r>
                </w:p>
              </w:tc>
              <w:tc>
                <w:tcPr>
                  <w:tcW w:w="0" w:type="auto"/>
                  <w:tcBorders>
                    <w:top w:val="single" w:sz="6" w:space="0" w:color="BFBFBF"/>
                    <w:bottom w:val="single" w:sz="6" w:space="0" w:color="BFBFBF"/>
                  </w:tcBorders>
                  <w:shd w:val="clear" w:color="auto" w:fill="auto"/>
                  <w:tcMar>
                    <w:top w:w="28" w:type="dxa"/>
                  </w:tcMar>
                  <w:vAlign w:val="bottom"/>
                </w:tcPr>
                <w:p w:rsidR="007544CA" w:rsidRDefault="007544CA" w:rsidP="00133508">
                  <w:pPr>
                    <w:pStyle w:val="TableColumnHeading"/>
                    <w:spacing w:before="40" w:after="40"/>
                    <w:ind w:right="28"/>
                  </w:pPr>
                  <w:r>
                    <w:t>Net tariff assistance</w:t>
                  </w:r>
                </w:p>
              </w:tc>
            </w:tr>
            <w:tr w:rsidR="007544CA" w:rsidRPr="006F5146" w:rsidTr="00133508">
              <w:tc>
                <w:tcPr>
                  <w:tcW w:w="0" w:type="auto"/>
                </w:tcPr>
                <w:p w:rsidR="007544CA" w:rsidRPr="00FE3B50" w:rsidRDefault="007544CA" w:rsidP="0096472F">
                  <w:pPr>
                    <w:pStyle w:val="TableBodyText"/>
                    <w:spacing w:before="80"/>
                    <w:jc w:val="left"/>
                    <w:rPr>
                      <w:b/>
                    </w:rPr>
                  </w:pPr>
                  <w:r w:rsidRPr="00FE3B50">
                    <w:rPr>
                      <w:b/>
                    </w:rPr>
                    <w:t>Primary production</w:t>
                  </w:r>
                </w:p>
              </w:tc>
              <w:tc>
                <w:tcPr>
                  <w:tcW w:w="0" w:type="auto"/>
                  <w:vAlign w:val="bottom"/>
                </w:tcPr>
                <w:p w:rsidR="007544CA" w:rsidRPr="00FE3B50" w:rsidRDefault="007544CA" w:rsidP="0096472F">
                  <w:pPr>
                    <w:pStyle w:val="TableBodyText"/>
                    <w:spacing w:before="80"/>
                    <w:rPr>
                      <w:b/>
                    </w:rPr>
                  </w:pPr>
                  <w:r w:rsidRPr="00FE3B50">
                    <w:rPr>
                      <w:b/>
                    </w:rPr>
                    <w:t>208.9</w:t>
                  </w:r>
                </w:p>
              </w:tc>
              <w:tc>
                <w:tcPr>
                  <w:tcW w:w="0" w:type="auto"/>
                  <w:vAlign w:val="bottom"/>
                </w:tcPr>
                <w:p w:rsidR="007544CA" w:rsidRPr="00FE3B50" w:rsidRDefault="007544CA" w:rsidP="0096472F">
                  <w:pPr>
                    <w:pStyle w:val="TableBodyText"/>
                    <w:spacing w:before="80"/>
                    <w:rPr>
                      <w:b/>
                    </w:rPr>
                  </w:pPr>
                  <w:r>
                    <w:rPr>
                      <w:b/>
                    </w:rPr>
                    <w:noBreakHyphen/>
                  </w:r>
                  <w:r w:rsidRPr="00FE3B50">
                    <w:rPr>
                      <w:b/>
                    </w:rPr>
                    <w:t>84.2</w:t>
                  </w:r>
                </w:p>
              </w:tc>
              <w:tc>
                <w:tcPr>
                  <w:tcW w:w="0" w:type="auto"/>
                  <w:vAlign w:val="bottom"/>
                </w:tcPr>
                <w:p w:rsidR="007544CA" w:rsidRPr="00FE3B50" w:rsidRDefault="007544CA" w:rsidP="0096472F">
                  <w:pPr>
                    <w:pStyle w:val="TableBodyText"/>
                    <w:spacing w:before="80"/>
                    <w:rPr>
                      <w:b/>
                    </w:rPr>
                  </w:pPr>
                  <w:r w:rsidRPr="00FE3B50">
                    <w:rPr>
                      <w:b/>
                    </w:rPr>
                    <w:t>124.7</w:t>
                  </w:r>
                </w:p>
              </w:tc>
            </w:tr>
            <w:tr w:rsidR="007544CA" w:rsidTr="00133508">
              <w:tc>
                <w:tcPr>
                  <w:tcW w:w="0" w:type="auto"/>
                </w:tcPr>
                <w:p w:rsidR="007544CA" w:rsidRPr="00DA0DC5" w:rsidRDefault="007544CA" w:rsidP="00133508">
                  <w:pPr>
                    <w:pStyle w:val="TableBodyText"/>
                    <w:spacing w:after="20"/>
                    <w:jc w:val="left"/>
                  </w:pPr>
                  <w:r w:rsidRPr="00DA0DC5">
                    <w:t>Horticulture and fruit growing</w:t>
                  </w:r>
                </w:p>
              </w:tc>
              <w:tc>
                <w:tcPr>
                  <w:tcW w:w="0" w:type="auto"/>
                  <w:vAlign w:val="bottom"/>
                </w:tcPr>
                <w:p w:rsidR="007544CA" w:rsidRDefault="007544CA" w:rsidP="00133508">
                  <w:pPr>
                    <w:pStyle w:val="TableBodyText"/>
                    <w:spacing w:after="20"/>
                    <w:rPr>
                      <w:szCs w:val="18"/>
                    </w:rPr>
                  </w:pPr>
                  <w:r>
                    <w:rPr>
                      <w:szCs w:val="18"/>
                    </w:rPr>
                    <w:t>138.2</w:t>
                  </w:r>
                </w:p>
              </w:tc>
              <w:tc>
                <w:tcPr>
                  <w:tcW w:w="0" w:type="auto"/>
                  <w:vAlign w:val="bottom"/>
                </w:tcPr>
                <w:p w:rsidR="007544CA" w:rsidRDefault="007544CA" w:rsidP="00133508">
                  <w:pPr>
                    <w:pStyle w:val="TableBodyText"/>
                    <w:spacing w:after="20"/>
                    <w:rPr>
                      <w:szCs w:val="18"/>
                    </w:rPr>
                  </w:pPr>
                  <w:r>
                    <w:rPr>
                      <w:szCs w:val="18"/>
                    </w:rPr>
                    <w:noBreakHyphen/>
                    <w:t>7.9</w:t>
                  </w:r>
                </w:p>
              </w:tc>
              <w:tc>
                <w:tcPr>
                  <w:tcW w:w="0" w:type="auto"/>
                  <w:vAlign w:val="bottom"/>
                </w:tcPr>
                <w:p w:rsidR="007544CA" w:rsidRDefault="007544CA" w:rsidP="00133508">
                  <w:pPr>
                    <w:pStyle w:val="TableBodyText"/>
                    <w:spacing w:after="20"/>
                    <w:rPr>
                      <w:szCs w:val="18"/>
                    </w:rPr>
                  </w:pPr>
                  <w:r>
                    <w:rPr>
                      <w:szCs w:val="18"/>
                    </w:rPr>
                    <w:t>130.2</w:t>
                  </w:r>
                </w:p>
              </w:tc>
            </w:tr>
            <w:tr w:rsidR="007544CA" w:rsidTr="00133508">
              <w:tc>
                <w:tcPr>
                  <w:tcW w:w="0" w:type="auto"/>
                </w:tcPr>
                <w:p w:rsidR="007544CA" w:rsidRPr="00DA0DC5" w:rsidRDefault="007544CA" w:rsidP="00133508">
                  <w:pPr>
                    <w:pStyle w:val="TableBodyText"/>
                    <w:spacing w:after="20"/>
                    <w:jc w:val="left"/>
                  </w:pPr>
                  <w:r w:rsidRPr="00DA0DC5">
                    <w:t>Sheep, beef cattle and grain farming</w:t>
                  </w:r>
                </w:p>
              </w:tc>
              <w:tc>
                <w:tcPr>
                  <w:tcW w:w="0" w:type="auto"/>
                  <w:vAlign w:val="bottom"/>
                </w:tcPr>
                <w:p w:rsidR="007544CA" w:rsidRDefault="007544CA" w:rsidP="00133508">
                  <w:pPr>
                    <w:pStyle w:val="TableBodyText"/>
                    <w:spacing w:after="20"/>
                    <w:rPr>
                      <w:szCs w:val="18"/>
                    </w:rPr>
                  </w:pPr>
                  <w:r>
                    <w:rPr>
                      <w:szCs w:val="18"/>
                    </w:rPr>
                    <w:t>0.2</w:t>
                  </w:r>
                </w:p>
              </w:tc>
              <w:tc>
                <w:tcPr>
                  <w:tcW w:w="0" w:type="auto"/>
                  <w:vAlign w:val="bottom"/>
                </w:tcPr>
                <w:p w:rsidR="007544CA" w:rsidRDefault="007544CA" w:rsidP="00133508">
                  <w:pPr>
                    <w:pStyle w:val="TableBodyText"/>
                    <w:spacing w:after="20"/>
                    <w:rPr>
                      <w:szCs w:val="18"/>
                    </w:rPr>
                  </w:pPr>
                  <w:r>
                    <w:rPr>
                      <w:szCs w:val="18"/>
                    </w:rPr>
                    <w:noBreakHyphen/>
                    <w:t>20.3</w:t>
                  </w:r>
                </w:p>
              </w:tc>
              <w:tc>
                <w:tcPr>
                  <w:tcW w:w="0" w:type="auto"/>
                  <w:vAlign w:val="bottom"/>
                </w:tcPr>
                <w:p w:rsidR="007544CA" w:rsidRDefault="007544CA" w:rsidP="00133508">
                  <w:pPr>
                    <w:pStyle w:val="TableBodyText"/>
                    <w:spacing w:after="20"/>
                    <w:rPr>
                      <w:szCs w:val="18"/>
                    </w:rPr>
                  </w:pPr>
                  <w:r>
                    <w:rPr>
                      <w:szCs w:val="18"/>
                    </w:rPr>
                    <w:noBreakHyphen/>
                    <w:t>20.1</w:t>
                  </w:r>
                </w:p>
              </w:tc>
            </w:tr>
            <w:tr w:rsidR="007544CA" w:rsidTr="00133508">
              <w:tc>
                <w:tcPr>
                  <w:tcW w:w="0" w:type="auto"/>
                </w:tcPr>
                <w:p w:rsidR="007544CA" w:rsidRPr="00DA0DC5" w:rsidRDefault="007544CA" w:rsidP="00133508">
                  <w:pPr>
                    <w:pStyle w:val="TableBodyText"/>
                    <w:spacing w:after="20"/>
                    <w:jc w:val="left"/>
                  </w:pPr>
                  <w:r w:rsidRPr="00DA0DC5">
                    <w:t>Other crop growing</w:t>
                  </w:r>
                </w:p>
              </w:tc>
              <w:tc>
                <w:tcPr>
                  <w:tcW w:w="0" w:type="auto"/>
                  <w:vAlign w:val="bottom"/>
                </w:tcPr>
                <w:p w:rsidR="007544CA" w:rsidRDefault="007544CA" w:rsidP="00133508">
                  <w:pPr>
                    <w:pStyle w:val="TableBodyText"/>
                    <w:spacing w:after="20"/>
                    <w:rPr>
                      <w:szCs w:val="18"/>
                    </w:rPr>
                  </w:pPr>
                  <w:r>
                    <w:rPr>
                      <w:szCs w:val="18"/>
                    </w:rPr>
                    <w:t>2.7</w:t>
                  </w:r>
                </w:p>
              </w:tc>
              <w:tc>
                <w:tcPr>
                  <w:tcW w:w="0" w:type="auto"/>
                  <w:vAlign w:val="bottom"/>
                </w:tcPr>
                <w:p w:rsidR="007544CA" w:rsidRDefault="007544CA" w:rsidP="00133508">
                  <w:pPr>
                    <w:pStyle w:val="TableBodyText"/>
                    <w:spacing w:after="20"/>
                    <w:rPr>
                      <w:szCs w:val="18"/>
                    </w:rPr>
                  </w:pPr>
                  <w:r>
                    <w:rPr>
                      <w:szCs w:val="18"/>
                    </w:rPr>
                    <w:noBreakHyphen/>
                    <w:t>5.2</w:t>
                  </w:r>
                </w:p>
              </w:tc>
              <w:tc>
                <w:tcPr>
                  <w:tcW w:w="0" w:type="auto"/>
                  <w:vAlign w:val="bottom"/>
                </w:tcPr>
                <w:p w:rsidR="007544CA" w:rsidRDefault="007544CA" w:rsidP="00133508">
                  <w:pPr>
                    <w:pStyle w:val="TableBodyText"/>
                    <w:spacing w:after="20"/>
                    <w:rPr>
                      <w:szCs w:val="18"/>
                    </w:rPr>
                  </w:pPr>
                  <w:r>
                    <w:rPr>
                      <w:szCs w:val="18"/>
                    </w:rPr>
                    <w:noBreakHyphen/>
                    <w:t>2.5</w:t>
                  </w:r>
                </w:p>
              </w:tc>
            </w:tr>
            <w:tr w:rsidR="007544CA" w:rsidTr="00133508">
              <w:tc>
                <w:tcPr>
                  <w:tcW w:w="0" w:type="auto"/>
                </w:tcPr>
                <w:p w:rsidR="007544CA" w:rsidRPr="00DA0DC5" w:rsidRDefault="007544CA" w:rsidP="00133508">
                  <w:pPr>
                    <w:pStyle w:val="TableBodyText"/>
                    <w:spacing w:after="20"/>
                    <w:jc w:val="left"/>
                  </w:pPr>
                  <w:r w:rsidRPr="00DA0DC5">
                    <w:t>Dairy cattle farming</w:t>
                  </w:r>
                </w:p>
              </w:tc>
              <w:tc>
                <w:tcPr>
                  <w:tcW w:w="0" w:type="auto"/>
                  <w:vAlign w:val="bottom"/>
                </w:tcPr>
                <w:p w:rsidR="007544CA" w:rsidRDefault="007544CA" w:rsidP="00133508">
                  <w:pPr>
                    <w:pStyle w:val="TableBodyText"/>
                    <w:spacing w:after="20"/>
                    <w:rPr>
                      <w:szCs w:val="18"/>
                    </w:rPr>
                  </w:pPr>
                  <w:r>
                    <w:t>–</w:t>
                  </w:r>
                </w:p>
              </w:tc>
              <w:tc>
                <w:tcPr>
                  <w:tcW w:w="0" w:type="auto"/>
                  <w:vAlign w:val="bottom"/>
                </w:tcPr>
                <w:p w:rsidR="007544CA" w:rsidRDefault="007544CA" w:rsidP="00133508">
                  <w:pPr>
                    <w:pStyle w:val="TableBodyText"/>
                    <w:spacing w:after="20"/>
                    <w:rPr>
                      <w:szCs w:val="18"/>
                    </w:rPr>
                  </w:pPr>
                  <w:r>
                    <w:rPr>
                      <w:szCs w:val="18"/>
                    </w:rPr>
                    <w:noBreakHyphen/>
                    <w:t>3.8</w:t>
                  </w:r>
                </w:p>
              </w:tc>
              <w:tc>
                <w:tcPr>
                  <w:tcW w:w="0" w:type="auto"/>
                  <w:vAlign w:val="bottom"/>
                </w:tcPr>
                <w:p w:rsidR="007544CA" w:rsidRDefault="007544CA" w:rsidP="00133508">
                  <w:pPr>
                    <w:pStyle w:val="TableBodyText"/>
                    <w:spacing w:after="20"/>
                    <w:rPr>
                      <w:szCs w:val="18"/>
                    </w:rPr>
                  </w:pPr>
                  <w:r>
                    <w:rPr>
                      <w:szCs w:val="18"/>
                    </w:rPr>
                    <w:noBreakHyphen/>
                    <w:t>3.8</w:t>
                  </w:r>
                </w:p>
              </w:tc>
            </w:tr>
            <w:tr w:rsidR="007544CA" w:rsidTr="00133508">
              <w:tc>
                <w:tcPr>
                  <w:tcW w:w="0" w:type="auto"/>
                </w:tcPr>
                <w:p w:rsidR="007544CA" w:rsidRPr="00DA0DC5" w:rsidRDefault="007544CA" w:rsidP="00133508">
                  <w:pPr>
                    <w:pStyle w:val="TableBodyText"/>
                    <w:spacing w:after="20"/>
                    <w:jc w:val="left"/>
                  </w:pPr>
                  <w:r w:rsidRPr="00DA0DC5">
                    <w:t>Other livestock farming</w:t>
                  </w:r>
                </w:p>
              </w:tc>
              <w:tc>
                <w:tcPr>
                  <w:tcW w:w="0" w:type="auto"/>
                  <w:vAlign w:val="bottom"/>
                </w:tcPr>
                <w:p w:rsidR="007544CA" w:rsidRDefault="007544CA" w:rsidP="00133508">
                  <w:pPr>
                    <w:pStyle w:val="TableBodyText"/>
                    <w:spacing w:after="20"/>
                    <w:rPr>
                      <w:szCs w:val="18"/>
                    </w:rPr>
                  </w:pPr>
                  <w:r>
                    <w:t>–</w:t>
                  </w:r>
                </w:p>
              </w:tc>
              <w:tc>
                <w:tcPr>
                  <w:tcW w:w="0" w:type="auto"/>
                  <w:vAlign w:val="bottom"/>
                </w:tcPr>
                <w:p w:rsidR="007544CA" w:rsidRDefault="007544CA" w:rsidP="00133508">
                  <w:pPr>
                    <w:pStyle w:val="TableBodyText"/>
                    <w:spacing w:after="20"/>
                    <w:rPr>
                      <w:szCs w:val="18"/>
                    </w:rPr>
                  </w:pPr>
                  <w:r>
                    <w:rPr>
                      <w:szCs w:val="18"/>
                    </w:rPr>
                    <w:noBreakHyphen/>
                    <w:t>4.3</w:t>
                  </w:r>
                </w:p>
              </w:tc>
              <w:tc>
                <w:tcPr>
                  <w:tcW w:w="0" w:type="auto"/>
                  <w:vAlign w:val="bottom"/>
                </w:tcPr>
                <w:p w:rsidR="007544CA" w:rsidRDefault="007544CA" w:rsidP="00133508">
                  <w:pPr>
                    <w:pStyle w:val="TableBodyText"/>
                    <w:spacing w:after="20"/>
                    <w:rPr>
                      <w:szCs w:val="18"/>
                    </w:rPr>
                  </w:pPr>
                  <w:r>
                    <w:rPr>
                      <w:szCs w:val="18"/>
                    </w:rPr>
                    <w:noBreakHyphen/>
                    <w:t>4.3</w:t>
                  </w:r>
                </w:p>
              </w:tc>
            </w:tr>
            <w:tr w:rsidR="007544CA" w:rsidTr="00133508">
              <w:tc>
                <w:tcPr>
                  <w:tcW w:w="0" w:type="auto"/>
                </w:tcPr>
                <w:p w:rsidR="007544CA" w:rsidRPr="00DA0DC5" w:rsidRDefault="007544CA" w:rsidP="00133508">
                  <w:pPr>
                    <w:pStyle w:val="TableBodyText"/>
                    <w:spacing w:after="20"/>
                    <w:jc w:val="left"/>
                  </w:pPr>
                  <w:r w:rsidRPr="00DA0DC5">
                    <w:t>Aquaculture and fishing</w:t>
                  </w:r>
                </w:p>
              </w:tc>
              <w:tc>
                <w:tcPr>
                  <w:tcW w:w="0" w:type="auto"/>
                  <w:vAlign w:val="bottom"/>
                </w:tcPr>
                <w:p w:rsidR="007544CA" w:rsidRDefault="007544CA" w:rsidP="00133508">
                  <w:pPr>
                    <w:pStyle w:val="TableBodyText"/>
                    <w:spacing w:after="20"/>
                    <w:rPr>
                      <w:szCs w:val="18"/>
                    </w:rPr>
                  </w:pPr>
                  <w:r>
                    <w:rPr>
                      <w:szCs w:val="18"/>
                    </w:rPr>
                    <w:t>1.4</w:t>
                  </w:r>
                </w:p>
              </w:tc>
              <w:tc>
                <w:tcPr>
                  <w:tcW w:w="0" w:type="auto"/>
                  <w:vAlign w:val="bottom"/>
                </w:tcPr>
                <w:p w:rsidR="007544CA" w:rsidRDefault="007544CA" w:rsidP="00133508">
                  <w:pPr>
                    <w:pStyle w:val="TableBodyText"/>
                    <w:spacing w:after="20"/>
                    <w:rPr>
                      <w:szCs w:val="18"/>
                    </w:rPr>
                  </w:pPr>
                  <w:r>
                    <w:rPr>
                      <w:szCs w:val="18"/>
                    </w:rPr>
                    <w:noBreakHyphen/>
                    <w:t>19.8</w:t>
                  </w:r>
                </w:p>
              </w:tc>
              <w:tc>
                <w:tcPr>
                  <w:tcW w:w="0" w:type="auto"/>
                  <w:vAlign w:val="bottom"/>
                </w:tcPr>
                <w:p w:rsidR="007544CA" w:rsidRDefault="007544CA" w:rsidP="00133508">
                  <w:pPr>
                    <w:pStyle w:val="TableBodyText"/>
                    <w:spacing w:after="20"/>
                    <w:rPr>
                      <w:szCs w:val="18"/>
                    </w:rPr>
                  </w:pPr>
                  <w:r>
                    <w:rPr>
                      <w:szCs w:val="18"/>
                    </w:rPr>
                    <w:noBreakHyphen/>
                    <w:t>18.4</w:t>
                  </w:r>
                </w:p>
              </w:tc>
            </w:tr>
            <w:tr w:rsidR="007544CA" w:rsidTr="00133508">
              <w:tc>
                <w:tcPr>
                  <w:tcW w:w="0" w:type="auto"/>
                </w:tcPr>
                <w:p w:rsidR="007544CA" w:rsidRPr="00DA0DC5" w:rsidRDefault="007544CA" w:rsidP="00133508">
                  <w:pPr>
                    <w:pStyle w:val="TableBodyText"/>
                    <w:spacing w:after="20"/>
                    <w:jc w:val="left"/>
                  </w:pPr>
                  <w:r w:rsidRPr="00DA0DC5">
                    <w:t>Forestry and logging</w:t>
                  </w:r>
                </w:p>
              </w:tc>
              <w:tc>
                <w:tcPr>
                  <w:tcW w:w="0" w:type="auto"/>
                  <w:vAlign w:val="bottom"/>
                </w:tcPr>
                <w:p w:rsidR="007544CA" w:rsidRDefault="007544CA" w:rsidP="00133508">
                  <w:pPr>
                    <w:pStyle w:val="TableBodyText"/>
                    <w:spacing w:after="20"/>
                    <w:rPr>
                      <w:szCs w:val="18"/>
                    </w:rPr>
                  </w:pPr>
                  <w:r>
                    <w:rPr>
                      <w:szCs w:val="18"/>
                    </w:rPr>
                    <w:t>66.4</w:t>
                  </w:r>
                </w:p>
              </w:tc>
              <w:tc>
                <w:tcPr>
                  <w:tcW w:w="0" w:type="auto"/>
                  <w:vAlign w:val="bottom"/>
                </w:tcPr>
                <w:p w:rsidR="007544CA" w:rsidRDefault="007544CA" w:rsidP="00133508">
                  <w:pPr>
                    <w:pStyle w:val="TableBodyText"/>
                    <w:spacing w:after="20"/>
                    <w:rPr>
                      <w:szCs w:val="18"/>
                    </w:rPr>
                  </w:pPr>
                  <w:r>
                    <w:rPr>
                      <w:szCs w:val="18"/>
                    </w:rPr>
                    <w:noBreakHyphen/>
                    <w:t>13.0</w:t>
                  </w:r>
                </w:p>
              </w:tc>
              <w:tc>
                <w:tcPr>
                  <w:tcW w:w="0" w:type="auto"/>
                  <w:vAlign w:val="bottom"/>
                </w:tcPr>
                <w:p w:rsidR="007544CA" w:rsidRDefault="007544CA" w:rsidP="00133508">
                  <w:pPr>
                    <w:pStyle w:val="TableBodyText"/>
                    <w:spacing w:after="20"/>
                    <w:rPr>
                      <w:szCs w:val="18"/>
                    </w:rPr>
                  </w:pPr>
                  <w:r>
                    <w:rPr>
                      <w:szCs w:val="18"/>
                    </w:rPr>
                    <w:t>53.4</w:t>
                  </w:r>
                </w:p>
              </w:tc>
            </w:tr>
            <w:tr w:rsidR="007544CA" w:rsidTr="00133508">
              <w:tc>
                <w:tcPr>
                  <w:tcW w:w="0" w:type="auto"/>
                </w:tcPr>
                <w:p w:rsidR="007544CA" w:rsidRPr="00DA0DC5" w:rsidRDefault="007544CA" w:rsidP="00133508">
                  <w:pPr>
                    <w:pStyle w:val="TableBodyText"/>
                    <w:spacing w:after="20"/>
                    <w:jc w:val="left"/>
                  </w:pPr>
                  <w:r w:rsidRPr="00DA0DC5">
                    <w:t>Primary production support services</w:t>
                  </w:r>
                </w:p>
              </w:tc>
              <w:tc>
                <w:tcPr>
                  <w:tcW w:w="0" w:type="auto"/>
                  <w:vAlign w:val="bottom"/>
                </w:tcPr>
                <w:p w:rsidR="007544CA" w:rsidRDefault="007544CA" w:rsidP="00133508">
                  <w:pPr>
                    <w:pStyle w:val="TableBodyText"/>
                    <w:spacing w:after="20"/>
                    <w:rPr>
                      <w:szCs w:val="18"/>
                    </w:rPr>
                  </w:pPr>
                  <w:r>
                    <w:t>–</w:t>
                  </w:r>
                </w:p>
              </w:tc>
              <w:tc>
                <w:tcPr>
                  <w:tcW w:w="0" w:type="auto"/>
                  <w:vAlign w:val="bottom"/>
                </w:tcPr>
                <w:p w:rsidR="007544CA" w:rsidRDefault="007544CA" w:rsidP="00133508">
                  <w:pPr>
                    <w:pStyle w:val="TableBodyText"/>
                    <w:spacing w:after="20"/>
                    <w:rPr>
                      <w:szCs w:val="18"/>
                    </w:rPr>
                  </w:pPr>
                  <w:r>
                    <w:rPr>
                      <w:szCs w:val="18"/>
                    </w:rPr>
                    <w:noBreakHyphen/>
                    <w:t>9.8</w:t>
                  </w:r>
                </w:p>
              </w:tc>
              <w:tc>
                <w:tcPr>
                  <w:tcW w:w="0" w:type="auto"/>
                  <w:vAlign w:val="bottom"/>
                </w:tcPr>
                <w:p w:rsidR="007544CA" w:rsidRDefault="007544CA" w:rsidP="00133508">
                  <w:pPr>
                    <w:pStyle w:val="TableBodyText"/>
                    <w:spacing w:after="20"/>
                    <w:rPr>
                      <w:szCs w:val="18"/>
                    </w:rPr>
                  </w:pPr>
                  <w:r>
                    <w:rPr>
                      <w:szCs w:val="18"/>
                    </w:rPr>
                    <w:noBreakHyphen/>
                    <w:t>9.8</w:t>
                  </w:r>
                </w:p>
              </w:tc>
            </w:tr>
            <w:tr w:rsidR="007544CA" w:rsidRPr="00477DE6" w:rsidTr="00133508">
              <w:tc>
                <w:tcPr>
                  <w:tcW w:w="0" w:type="auto"/>
                </w:tcPr>
                <w:p w:rsidR="007544CA" w:rsidRPr="00477DE6" w:rsidRDefault="007544CA" w:rsidP="00133508">
                  <w:pPr>
                    <w:pStyle w:val="TableBodyText"/>
                    <w:spacing w:after="20"/>
                    <w:jc w:val="left"/>
                  </w:pPr>
                  <w:r w:rsidRPr="00477DE6">
                    <w:t>Unallocated primary production</w:t>
                  </w:r>
                </w:p>
              </w:tc>
              <w:tc>
                <w:tcPr>
                  <w:tcW w:w="0" w:type="auto"/>
                  <w:vAlign w:val="bottom"/>
                </w:tcPr>
                <w:p w:rsidR="007544CA" w:rsidRDefault="007544CA" w:rsidP="00133508">
                  <w:pPr>
                    <w:pStyle w:val="TableBodyText"/>
                    <w:spacing w:after="20"/>
                    <w:rPr>
                      <w:szCs w:val="18"/>
                    </w:rPr>
                  </w:pPr>
                  <w:r>
                    <w:t>–</w:t>
                  </w:r>
                </w:p>
              </w:tc>
              <w:tc>
                <w:tcPr>
                  <w:tcW w:w="0" w:type="auto"/>
                  <w:vAlign w:val="bottom"/>
                </w:tcPr>
                <w:p w:rsidR="007544CA" w:rsidRDefault="007544CA" w:rsidP="00133508">
                  <w:pPr>
                    <w:pStyle w:val="TableBodyText"/>
                    <w:spacing w:after="20"/>
                    <w:rPr>
                      <w:szCs w:val="18"/>
                    </w:rPr>
                  </w:pPr>
                  <w:r>
                    <w:t>–</w:t>
                  </w:r>
                </w:p>
              </w:tc>
              <w:tc>
                <w:tcPr>
                  <w:tcW w:w="0" w:type="auto"/>
                  <w:vAlign w:val="bottom"/>
                </w:tcPr>
                <w:p w:rsidR="007544CA" w:rsidRDefault="007544CA" w:rsidP="00133508">
                  <w:pPr>
                    <w:pStyle w:val="TableBodyText"/>
                    <w:spacing w:after="20"/>
                    <w:rPr>
                      <w:szCs w:val="18"/>
                    </w:rPr>
                  </w:pPr>
                  <w:r>
                    <w:t>–</w:t>
                  </w:r>
                </w:p>
              </w:tc>
            </w:tr>
            <w:tr w:rsidR="007544CA" w:rsidRPr="006F5146" w:rsidTr="00133508">
              <w:tc>
                <w:tcPr>
                  <w:tcW w:w="0" w:type="auto"/>
                </w:tcPr>
                <w:p w:rsidR="007544CA" w:rsidRPr="00FE3B50" w:rsidRDefault="007544CA" w:rsidP="00133508">
                  <w:pPr>
                    <w:pStyle w:val="TableBodyText"/>
                    <w:jc w:val="left"/>
                    <w:rPr>
                      <w:b/>
                    </w:rPr>
                  </w:pPr>
                  <w:r w:rsidRPr="00FE3B50">
                    <w:rPr>
                      <w:b/>
                    </w:rPr>
                    <w:t>Mining</w:t>
                  </w:r>
                </w:p>
              </w:tc>
              <w:tc>
                <w:tcPr>
                  <w:tcW w:w="0" w:type="auto"/>
                </w:tcPr>
                <w:p w:rsidR="007544CA" w:rsidRPr="00FE3B50" w:rsidRDefault="007544CA" w:rsidP="00133508">
                  <w:pPr>
                    <w:pStyle w:val="TableBodyText"/>
                    <w:rPr>
                      <w:b/>
                    </w:rPr>
                  </w:pPr>
                  <w:r w:rsidRPr="00FE3B50">
                    <w:rPr>
                      <w:b/>
                    </w:rPr>
                    <w:t>1.2</w:t>
                  </w:r>
                </w:p>
              </w:tc>
              <w:tc>
                <w:tcPr>
                  <w:tcW w:w="0" w:type="auto"/>
                </w:tcPr>
                <w:p w:rsidR="007544CA" w:rsidRPr="00FE3B50" w:rsidRDefault="007544CA" w:rsidP="00133508">
                  <w:pPr>
                    <w:pStyle w:val="TableBodyText"/>
                    <w:rPr>
                      <w:b/>
                    </w:rPr>
                  </w:pPr>
                  <w:r>
                    <w:rPr>
                      <w:b/>
                    </w:rPr>
                    <w:noBreakHyphen/>
                  </w:r>
                  <w:r w:rsidRPr="00FE3B50">
                    <w:rPr>
                      <w:b/>
                    </w:rPr>
                    <w:t>254.0</w:t>
                  </w:r>
                </w:p>
              </w:tc>
              <w:tc>
                <w:tcPr>
                  <w:tcW w:w="0" w:type="auto"/>
                </w:tcPr>
                <w:p w:rsidR="007544CA" w:rsidRPr="00FE3B50" w:rsidRDefault="007544CA" w:rsidP="00133508">
                  <w:pPr>
                    <w:pStyle w:val="TableBodyText"/>
                    <w:rPr>
                      <w:b/>
                    </w:rPr>
                  </w:pPr>
                  <w:r>
                    <w:rPr>
                      <w:b/>
                    </w:rPr>
                    <w:noBreakHyphen/>
                  </w:r>
                  <w:r w:rsidRPr="00FE3B50">
                    <w:rPr>
                      <w:b/>
                    </w:rPr>
                    <w:t>252.9</w:t>
                  </w:r>
                </w:p>
              </w:tc>
            </w:tr>
            <w:tr w:rsidR="007544CA" w:rsidRPr="006F5146" w:rsidTr="00133508">
              <w:tc>
                <w:tcPr>
                  <w:tcW w:w="0" w:type="auto"/>
                </w:tcPr>
                <w:p w:rsidR="007544CA" w:rsidRPr="00FE3B50" w:rsidRDefault="007544CA" w:rsidP="00133508">
                  <w:pPr>
                    <w:pStyle w:val="TableBodyText"/>
                    <w:jc w:val="left"/>
                    <w:rPr>
                      <w:b/>
                    </w:rPr>
                  </w:pPr>
                  <w:r w:rsidRPr="00FE3B50">
                    <w:rPr>
                      <w:b/>
                    </w:rPr>
                    <w:t>Manufacturing</w:t>
                  </w:r>
                </w:p>
              </w:tc>
              <w:tc>
                <w:tcPr>
                  <w:tcW w:w="0" w:type="auto"/>
                </w:tcPr>
                <w:p w:rsidR="007544CA" w:rsidRPr="00FE3B50" w:rsidRDefault="007544CA" w:rsidP="00133508">
                  <w:pPr>
                    <w:pStyle w:val="TableBodyText"/>
                    <w:rPr>
                      <w:b/>
                    </w:rPr>
                  </w:pPr>
                  <w:r w:rsidRPr="00FE3B50">
                    <w:rPr>
                      <w:b/>
                    </w:rPr>
                    <w:t>7</w:t>
                  </w:r>
                  <w:r>
                    <w:rPr>
                      <w:b/>
                    </w:rPr>
                    <w:t> </w:t>
                  </w:r>
                  <w:r w:rsidRPr="00FE3B50">
                    <w:rPr>
                      <w:b/>
                    </w:rPr>
                    <w:t>617.3</w:t>
                  </w:r>
                </w:p>
              </w:tc>
              <w:tc>
                <w:tcPr>
                  <w:tcW w:w="0" w:type="auto"/>
                </w:tcPr>
                <w:p w:rsidR="007544CA" w:rsidRPr="00FE3B50" w:rsidRDefault="007544CA" w:rsidP="00133508">
                  <w:pPr>
                    <w:pStyle w:val="TableBodyText"/>
                    <w:rPr>
                      <w:b/>
                    </w:rPr>
                  </w:pPr>
                  <w:r>
                    <w:rPr>
                      <w:b/>
                    </w:rPr>
                    <w:noBreakHyphen/>
                  </w:r>
                  <w:r w:rsidRPr="00FE3B50">
                    <w:rPr>
                      <w:b/>
                    </w:rPr>
                    <w:t>2</w:t>
                  </w:r>
                  <w:r>
                    <w:rPr>
                      <w:b/>
                    </w:rPr>
                    <w:t> </w:t>
                  </w:r>
                  <w:r w:rsidRPr="00FE3B50">
                    <w:rPr>
                      <w:b/>
                    </w:rPr>
                    <w:t>061.4</w:t>
                  </w:r>
                </w:p>
              </w:tc>
              <w:tc>
                <w:tcPr>
                  <w:tcW w:w="0" w:type="auto"/>
                </w:tcPr>
                <w:p w:rsidR="007544CA" w:rsidRPr="00FE3B50" w:rsidRDefault="007544CA" w:rsidP="00133508">
                  <w:pPr>
                    <w:pStyle w:val="TableBodyText"/>
                    <w:rPr>
                      <w:b/>
                    </w:rPr>
                  </w:pPr>
                  <w:r w:rsidRPr="00FE3B50">
                    <w:rPr>
                      <w:b/>
                    </w:rPr>
                    <w:t>5</w:t>
                  </w:r>
                  <w:r>
                    <w:rPr>
                      <w:b/>
                    </w:rPr>
                    <w:t> </w:t>
                  </w:r>
                  <w:r w:rsidRPr="00FE3B50">
                    <w:rPr>
                      <w:b/>
                    </w:rPr>
                    <w:t>555.9</w:t>
                  </w:r>
                </w:p>
              </w:tc>
            </w:tr>
            <w:tr w:rsidR="007544CA" w:rsidTr="00133508">
              <w:tc>
                <w:tcPr>
                  <w:tcW w:w="0" w:type="auto"/>
                </w:tcPr>
                <w:p w:rsidR="007544CA" w:rsidRPr="00022DDE" w:rsidRDefault="007544CA" w:rsidP="00133508">
                  <w:pPr>
                    <w:pStyle w:val="TableBodyText"/>
                    <w:spacing w:after="20"/>
                    <w:jc w:val="left"/>
                  </w:pPr>
                  <w:r w:rsidRPr="00022DDE">
                    <w:t>Food, beverages and tobacco</w:t>
                  </w:r>
                </w:p>
              </w:tc>
              <w:tc>
                <w:tcPr>
                  <w:tcW w:w="0" w:type="auto"/>
                </w:tcPr>
                <w:p w:rsidR="007544CA" w:rsidRPr="00385AE4" w:rsidRDefault="007544CA" w:rsidP="00133508">
                  <w:pPr>
                    <w:pStyle w:val="TableBodyText"/>
                    <w:spacing w:after="20"/>
                  </w:pPr>
                  <w:r w:rsidRPr="00385AE4">
                    <w:t>1</w:t>
                  </w:r>
                  <w:r>
                    <w:t> </w:t>
                  </w:r>
                  <w:r w:rsidRPr="00385AE4">
                    <w:t>871.7</w:t>
                  </w:r>
                </w:p>
              </w:tc>
              <w:tc>
                <w:tcPr>
                  <w:tcW w:w="0" w:type="auto"/>
                </w:tcPr>
                <w:p w:rsidR="007544CA" w:rsidRPr="00385AE4" w:rsidRDefault="007544CA" w:rsidP="00133508">
                  <w:pPr>
                    <w:pStyle w:val="TableBodyText"/>
                    <w:spacing w:after="20"/>
                  </w:pPr>
                  <w:r>
                    <w:noBreakHyphen/>
                  </w:r>
                  <w:r w:rsidRPr="00385AE4">
                    <w:t>531.6</w:t>
                  </w:r>
                </w:p>
              </w:tc>
              <w:tc>
                <w:tcPr>
                  <w:tcW w:w="0" w:type="auto"/>
                </w:tcPr>
                <w:p w:rsidR="007544CA" w:rsidRPr="00385AE4" w:rsidRDefault="007544CA" w:rsidP="00133508">
                  <w:pPr>
                    <w:pStyle w:val="TableBodyText"/>
                    <w:spacing w:after="20"/>
                  </w:pPr>
                  <w:r w:rsidRPr="00385AE4">
                    <w:t>1</w:t>
                  </w:r>
                  <w:r>
                    <w:t> </w:t>
                  </w:r>
                  <w:r w:rsidRPr="00385AE4">
                    <w:t>340.0</w:t>
                  </w:r>
                </w:p>
              </w:tc>
            </w:tr>
            <w:tr w:rsidR="007544CA" w:rsidTr="00133508">
              <w:tc>
                <w:tcPr>
                  <w:tcW w:w="0" w:type="auto"/>
                </w:tcPr>
                <w:p w:rsidR="007544CA" w:rsidRPr="00022DDE" w:rsidRDefault="007544CA" w:rsidP="00133508">
                  <w:pPr>
                    <w:pStyle w:val="TableBodyText"/>
                    <w:spacing w:after="20"/>
                    <w:jc w:val="left"/>
                  </w:pPr>
                  <w:r w:rsidRPr="00022DDE">
                    <w:t>Textile</w:t>
                  </w:r>
                  <w:r>
                    <w:t>s</w:t>
                  </w:r>
                  <w:r w:rsidRPr="00022DDE">
                    <w:t>, leather, clothing and footwear</w:t>
                  </w:r>
                </w:p>
              </w:tc>
              <w:tc>
                <w:tcPr>
                  <w:tcW w:w="0" w:type="auto"/>
                </w:tcPr>
                <w:p w:rsidR="007544CA" w:rsidRPr="00385AE4" w:rsidRDefault="007544CA" w:rsidP="00133508">
                  <w:pPr>
                    <w:pStyle w:val="TableBodyText"/>
                    <w:spacing w:after="20"/>
                  </w:pPr>
                  <w:r w:rsidRPr="00385AE4">
                    <w:t>277.8</w:t>
                  </w:r>
                </w:p>
              </w:tc>
              <w:tc>
                <w:tcPr>
                  <w:tcW w:w="0" w:type="auto"/>
                </w:tcPr>
                <w:p w:rsidR="007544CA" w:rsidRPr="00385AE4" w:rsidRDefault="007544CA" w:rsidP="00133508">
                  <w:pPr>
                    <w:pStyle w:val="TableBodyText"/>
                    <w:spacing w:after="20"/>
                  </w:pPr>
                  <w:r>
                    <w:noBreakHyphen/>
                  </w:r>
                  <w:r w:rsidRPr="00385AE4">
                    <w:t>58.1</w:t>
                  </w:r>
                </w:p>
              </w:tc>
              <w:tc>
                <w:tcPr>
                  <w:tcW w:w="0" w:type="auto"/>
                </w:tcPr>
                <w:p w:rsidR="007544CA" w:rsidRPr="00385AE4" w:rsidRDefault="007544CA" w:rsidP="00133508">
                  <w:pPr>
                    <w:pStyle w:val="TableBodyText"/>
                    <w:spacing w:after="20"/>
                  </w:pPr>
                  <w:r w:rsidRPr="00385AE4">
                    <w:t>219.7</w:t>
                  </w:r>
                </w:p>
              </w:tc>
            </w:tr>
            <w:tr w:rsidR="007544CA" w:rsidTr="00133508">
              <w:tc>
                <w:tcPr>
                  <w:tcW w:w="0" w:type="auto"/>
                </w:tcPr>
                <w:p w:rsidR="007544CA" w:rsidRPr="00022DDE" w:rsidRDefault="007544CA" w:rsidP="00133508">
                  <w:pPr>
                    <w:pStyle w:val="TableBodyText"/>
                    <w:spacing w:after="20"/>
                    <w:jc w:val="left"/>
                  </w:pPr>
                  <w:r w:rsidRPr="00022DDE">
                    <w:t>Wood and paper products</w:t>
                  </w:r>
                </w:p>
              </w:tc>
              <w:tc>
                <w:tcPr>
                  <w:tcW w:w="0" w:type="auto"/>
                </w:tcPr>
                <w:p w:rsidR="007544CA" w:rsidRPr="00385AE4" w:rsidRDefault="007544CA" w:rsidP="00133508">
                  <w:pPr>
                    <w:pStyle w:val="TableBodyText"/>
                    <w:spacing w:after="20"/>
                  </w:pPr>
                  <w:r w:rsidRPr="00385AE4">
                    <w:t>703.0</w:t>
                  </w:r>
                </w:p>
              </w:tc>
              <w:tc>
                <w:tcPr>
                  <w:tcW w:w="0" w:type="auto"/>
                </w:tcPr>
                <w:p w:rsidR="007544CA" w:rsidRPr="00385AE4" w:rsidRDefault="007544CA" w:rsidP="00133508">
                  <w:pPr>
                    <w:pStyle w:val="TableBodyText"/>
                    <w:spacing w:after="20"/>
                  </w:pPr>
                  <w:r>
                    <w:noBreakHyphen/>
                  </w:r>
                  <w:r w:rsidRPr="00385AE4">
                    <w:t>142.3</w:t>
                  </w:r>
                </w:p>
              </w:tc>
              <w:tc>
                <w:tcPr>
                  <w:tcW w:w="0" w:type="auto"/>
                </w:tcPr>
                <w:p w:rsidR="007544CA" w:rsidRPr="00385AE4" w:rsidRDefault="007544CA" w:rsidP="00133508">
                  <w:pPr>
                    <w:pStyle w:val="TableBodyText"/>
                    <w:spacing w:after="20"/>
                  </w:pPr>
                  <w:r w:rsidRPr="00385AE4">
                    <w:t>560.7</w:t>
                  </w:r>
                </w:p>
              </w:tc>
            </w:tr>
            <w:tr w:rsidR="007544CA" w:rsidTr="00133508">
              <w:tc>
                <w:tcPr>
                  <w:tcW w:w="0" w:type="auto"/>
                </w:tcPr>
                <w:p w:rsidR="007544CA" w:rsidRPr="00022DDE" w:rsidRDefault="007544CA" w:rsidP="00133508">
                  <w:pPr>
                    <w:pStyle w:val="TableBodyText"/>
                    <w:spacing w:after="20"/>
                    <w:jc w:val="left"/>
                  </w:pPr>
                  <w:r w:rsidRPr="00022DDE">
                    <w:t>Printing and recorded media</w:t>
                  </w:r>
                </w:p>
              </w:tc>
              <w:tc>
                <w:tcPr>
                  <w:tcW w:w="0" w:type="auto"/>
                </w:tcPr>
                <w:p w:rsidR="007544CA" w:rsidRPr="00385AE4" w:rsidRDefault="007544CA" w:rsidP="00133508">
                  <w:pPr>
                    <w:pStyle w:val="TableBodyText"/>
                    <w:spacing w:after="20"/>
                  </w:pPr>
                  <w:r w:rsidRPr="00385AE4">
                    <w:t>187.5</w:t>
                  </w:r>
                </w:p>
              </w:tc>
              <w:tc>
                <w:tcPr>
                  <w:tcW w:w="0" w:type="auto"/>
                </w:tcPr>
                <w:p w:rsidR="007544CA" w:rsidRPr="00385AE4" w:rsidRDefault="007544CA" w:rsidP="00133508">
                  <w:pPr>
                    <w:pStyle w:val="TableBodyText"/>
                    <w:spacing w:after="20"/>
                  </w:pPr>
                  <w:r>
                    <w:noBreakHyphen/>
                  </w:r>
                  <w:r w:rsidRPr="00385AE4">
                    <w:t>30.2</w:t>
                  </w:r>
                </w:p>
              </w:tc>
              <w:tc>
                <w:tcPr>
                  <w:tcW w:w="0" w:type="auto"/>
                </w:tcPr>
                <w:p w:rsidR="007544CA" w:rsidRPr="00385AE4" w:rsidRDefault="007544CA" w:rsidP="00133508">
                  <w:pPr>
                    <w:pStyle w:val="TableBodyText"/>
                    <w:spacing w:after="20"/>
                  </w:pPr>
                  <w:r w:rsidRPr="00385AE4">
                    <w:t>157.3</w:t>
                  </w:r>
                </w:p>
              </w:tc>
            </w:tr>
            <w:tr w:rsidR="007544CA" w:rsidTr="00133508">
              <w:tc>
                <w:tcPr>
                  <w:tcW w:w="0" w:type="auto"/>
                </w:tcPr>
                <w:p w:rsidR="007544CA" w:rsidRPr="00022DDE" w:rsidRDefault="007544CA" w:rsidP="00133508">
                  <w:pPr>
                    <w:pStyle w:val="TableBodyText"/>
                    <w:spacing w:after="20"/>
                    <w:jc w:val="left"/>
                  </w:pPr>
                  <w:r w:rsidRPr="00022DDE">
                    <w:t>Petroleum, coal, chemical and rubber products</w:t>
                  </w:r>
                </w:p>
              </w:tc>
              <w:tc>
                <w:tcPr>
                  <w:tcW w:w="0" w:type="auto"/>
                </w:tcPr>
                <w:p w:rsidR="007544CA" w:rsidRPr="00385AE4" w:rsidRDefault="007544CA" w:rsidP="00133508">
                  <w:pPr>
                    <w:pStyle w:val="TableBodyText"/>
                    <w:spacing w:after="20"/>
                  </w:pPr>
                  <w:r w:rsidRPr="00385AE4">
                    <w:t>984.0</w:t>
                  </w:r>
                </w:p>
              </w:tc>
              <w:tc>
                <w:tcPr>
                  <w:tcW w:w="0" w:type="auto"/>
                </w:tcPr>
                <w:p w:rsidR="007544CA" w:rsidRPr="00385AE4" w:rsidRDefault="007544CA" w:rsidP="00133508">
                  <w:pPr>
                    <w:pStyle w:val="TableBodyText"/>
                    <w:spacing w:after="20"/>
                  </w:pPr>
                  <w:r>
                    <w:noBreakHyphen/>
                  </w:r>
                  <w:r w:rsidRPr="00385AE4">
                    <w:t>286.8</w:t>
                  </w:r>
                </w:p>
              </w:tc>
              <w:tc>
                <w:tcPr>
                  <w:tcW w:w="0" w:type="auto"/>
                </w:tcPr>
                <w:p w:rsidR="007544CA" w:rsidRPr="00385AE4" w:rsidRDefault="007544CA" w:rsidP="00133508">
                  <w:pPr>
                    <w:pStyle w:val="TableBodyText"/>
                    <w:spacing w:after="20"/>
                  </w:pPr>
                  <w:r w:rsidRPr="00385AE4">
                    <w:t>697.2</w:t>
                  </w:r>
                </w:p>
              </w:tc>
            </w:tr>
            <w:tr w:rsidR="007544CA" w:rsidTr="00133508">
              <w:tc>
                <w:tcPr>
                  <w:tcW w:w="0" w:type="auto"/>
                </w:tcPr>
                <w:p w:rsidR="007544CA" w:rsidRPr="00022DDE" w:rsidRDefault="007544CA" w:rsidP="00133508">
                  <w:pPr>
                    <w:pStyle w:val="TableBodyText"/>
                    <w:spacing w:after="20"/>
                    <w:jc w:val="left"/>
                  </w:pPr>
                  <w:r w:rsidRPr="00022DDE">
                    <w:t>Non</w:t>
                  </w:r>
                  <w:r>
                    <w:noBreakHyphen/>
                  </w:r>
                  <w:r w:rsidRPr="00022DDE">
                    <w:t>metallic mineral products</w:t>
                  </w:r>
                </w:p>
              </w:tc>
              <w:tc>
                <w:tcPr>
                  <w:tcW w:w="0" w:type="auto"/>
                </w:tcPr>
                <w:p w:rsidR="007544CA" w:rsidRPr="00385AE4" w:rsidRDefault="007544CA" w:rsidP="00133508">
                  <w:pPr>
                    <w:pStyle w:val="TableBodyText"/>
                    <w:spacing w:after="20"/>
                  </w:pPr>
                  <w:r w:rsidRPr="00385AE4">
                    <w:t>277.2</w:t>
                  </w:r>
                </w:p>
              </w:tc>
              <w:tc>
                <w:tcPr>
                  <w:tcW w:w="0" w:type="auto"/>
                </w:tcPr>
                <w:p w:rsidR="007544CA" w:rsidRPr="00385AE4" w:rsidRDefault="007544CA" w:rsidP="00133508">
                  <w:pPr>
                    <w:pStyle w:val="TableBodyText"/>
                    <w:spacing w:after="20"/>
                  </w:pPr>
                  <w:r>
                    <w:noBreakHyphen/>
                  </w:r>
                  <w:r w:rsidRPr="00385AE4">
                    <w:t>47.5</w:t>
                  </w:r>
                </w:p>
              </w:tc>
              <w:tc>
                <w:tcPr>
                  <w:tcW w:w="0" w:type="auto"/>
                </w:tcPr>
                <w:p w:rsidR="007544CA" w:rsidRPr="00385AE4" w:rsidRDefault="007544CA" w:rsidP="00133508">
                  <w:pPr>
                    <w:pStyle w:val="TableBodyText"/>
                    <w:spacing w:after="20"/>
                  </w:pPr>
                  <w:r w:rsidRPr="00385AE4">
                    <w:t>229.7</w:t>
                  </w:r>
                </w:p>
              </w:tc>
            </w:tr>
            <w:tr w:rsidR="007544CA" w:rsidTr="00133508">
              <w:tc>
                <w:tcPr>
                  <w:tcW w:w="0" w:type="auto"/>
                </w:tcPr>
                <w:p w:rsidR="007544CA" w:rsidRPr="00022DDE" w:rsidRDefault="007544CA" w:rsidP="00133508">
                  <w:pPr>
                    <w:pStyle w:val="TableBodyText"/>
                    <w:spacing w:after="20"/>
                    <w:jc w:val="left"/>
                  </w:pPr>
                  <w:r w:rsidRPr="00022DDE">
                    <w:t>Metal and fabricated metal products</w:t>
                  </w:r>
                </w:p>
              </w:tc>
              <w:tc>
                <w:tcPr>
                  <w:tcW w:w="0" w:type="auto"/>
                </w:tcPr>
                <w:p w:rsidR="007544CA" w:rsidRPr="00385AE4" w:rsidRDefault="007544CA" w:rsidP="00133508">
                  <w:pPr>
                    <w:pStyle w:val="TableBodyText"/>
                    <w:spacing w:after="20"/>
                  </w:pPr>
                  <w:r w:rsidRPr="00385AE4">
                    <w:t>1</w:t>
                  </w:r>
                  <w:r>
                    <w:t> </w:t>
                  </w:r>
                  <w:r w:rsidRPr="00385AE4">
                    <w:t>747.1</w:t>
                  </w:r>
                </w:p>
              </w:tc>
              <w:tc>
                <w:tcPr>
                  <w:tcW w:w="0" w:type="auto"/>
                </w:tcPr>
                <w:p w:rsidR="007544CA" w:rsidRPr="00385AE4" w:rsidRDefault="007544CA" w:rsidP="00133508">
                  <w:pPr>
                    <w:pStyle w:val="TableBodyText"/>
                    <w:spacing w:after="20"/>
                  </w:pPr>
                  <w:r>
                    <w:noBreakHyphen/>
                  </w:r>
                  <w:r w:rsidRPr="00385AE4">
                    <w:t>413.3</w:t>
                  </w:r>
                </w:p>
              </w:tc>
              <w:tc>
                <w:tcPr>
                  <w:tcW w:w="0" w:type="auto"/>
                </w:tcPr>
                <w:p w:rsidR="007544CA" w:rsidRPr="00385AE4" w:rsidRDefault="007544CA" w:rsidP="00133508">
                  <w:pPr>
                    <w:pStyle w:val="TableBodyText"/>
                    <w:spacing w:after="20"/>
                  </w:pPr>
                  <w:r w:rsidRPr="00385AE4">
                    <w:t>1</w:t>
                  </w:r>
                  <w:r>
                    <w:t> </w:t>
                  </w:r>
                  <w:r w:rsidRPr="00385AE4">
                    <w:t>333.8</w:t>
                  </w:r>
                </w:p>
              </w:tc>
            </w:tr>
            <w:tr w:rsidR="007544CA" w:rsidTr="00133508">
              <w:tc>
                <w:tcPr>
                  <w:tcW w:w="0" w:type="auto"/>
                </w:tcPr>
                <w:p w:rsidR="007544CA" w:rsidRPr="00022DDE" w:rsidRDefault="007544CA" w:rsidP="00133508">
                  <w:pPr>
                    <w:pStyle w:val="TableBodyText"/>
                    <w:spacing w:after="20"/>
                    <w:jc w:val="left"/>
                  </w:pPr>
                  <w:r w:rsidRPr="00022DDE">
                    <w:t>Motor vehicle</w:t>
                  </w:r>
                  <w:r>
                    <w:t>s</w:t>
                  </w:r>
                  <w:r w:rsidRPr="00022DDE">
                    <w:t xml:space="preserve"> and parts</w:t>
                  </w:r>
                </w:p>
              </w:tc>
              <w:tc>
                <w:tcPr>
                  <w:tcW w:w="0" w:type="auto"/>
                </w:tcPr>
                <w:p w:rsidR="007544CA" w:rsidRPr="00385AE4" w:rsidRDefault="007544CA" w:rsidP="00133508">
                  <w:pPr>
                    <w:pStyle w:val="TableBodyText"/>
                    <w:spacing w:after="20"/>
                  </w:pPr>
                  <w:r w:rsidRPr="00385AE4">
                    <w:t>749.2</w:t>
                  </w:r>
                </w:p>
              </w:tc>
              <w:tc>
                <w:tcPr>
                  <w:tcW w:w="0" w:type="auto"/>
                </w:tcPr>
                <w:p w:rsidR="007544CA" w:rsidRPr="00385AE4" w:rsidRDefault="007544CA" w:rsidP="00133508">
                  <w:pPr>
                    <w:pStyle w:val="TableBodyText"/>
                    <w:spacing w:after="20"/>
                  </w:pPr>
                  <w:r>
                    <w:noBreakHyphen/>
                  </w:r>
                  <w:r w:rsidRPr="00385AE4">
                    <w:t>275.5</w:t>
                  </w:r>
                </w:p>
              </w:tc>
              <w:tc>
                <w:tcPr>
                  <w:tcW w:w="0" w:type="auto"/>
                </w:tcPr>
                <w:p w:rsidR="007544CA" w:rsidRPr="00385AE4" w:rsidRDefault="007544CA" w:rsidP="00133508">
                  <w:pPr>
                    <w:pStyle w:val="TableBodyText"/>
                    <w:spacing w:after="20"/>
                  </w:pPr>
                  <w:r w:rsidRPr="00385AE4">
                    <w:t>473.7</w:t>
                  </w:r>
                </w:p>
              </w:tc>
            </w:tr>
            <w:tr w:rsidR="007544CA" w:rsidTr="00133508">
              <w:tc>
                <w:tcPr>
                  <w:tcW w:w="0" w:type="auto"/>
                </w:tcPr>
                <w:p w:rsidR="007544CA" w:rsidRPr="00022DDE" w:rsidRDefault="007544CA" w:rsidP="00133508">
                  <w:pPr>
                    <w:pStyle w:val="TableBodyText"/>
                    <w:spacing w:after="20"/>
                    <w:jc w:val="left"/>
                  </w:pPr>
                  <w:r w:rsidRPr="00022DDE">
                    <w:t>Other transport equipment</w:t>
                  </w:r>
                </w:p>
              </w:tc>
              <w:tc>
                <w:tcPr>
                  <w:tcW w:w="0" w:type="auto"/>
                </w:tcPr>
                <w:p w:rsidR="007544CA" w:rsidRPr="00385AE4" w:rsidRDefault="007544CA" w:rsidP="00133508">
                  <w:pPr>
                    <w:pStyle w:val="TableBodyText"/>
                    <w:spacing w:after="20"/>
                  </w:pPr>
                  <w:r w:rsidRPr="00385AE4">
                    <w:t>69.3</w:t>
                  </w:r>
                </w:p>
              </w:tc>
              <w:tc>
                <w:tcPr>
                  <w:tcW w:w="0" w:type="auto"/>
                </w:tcPr>
                <w:p w:rsidR="007544CA" w:rsidRPr="00385AE4" w:rsidRDefault="007544CA" w:rsidP="00133508">
                  <w:pPr>
                    <w:pStyle w:val="TableBodyText"/>
                    <w:spacing w:after="20"/>
                  </w:pPr>
                  <w:r>
                    <w:noBreakHyphen/>
                  </w:r>
                  <w:r w:rsidRPr="00385AE4">
                    <w:t>61.6</w:t>
                  </w:r>
                </w:p>
              </w:tc>
              <w:tc>
                <w:tcPr>
                  <w:tcW w:w="0" w:type="auto"/>
                </w:tcPr>
                <w:p w:rsidR="007544CA" w:rsidRPr="00385AE4" w:rsidRDefault="007544CA" w:rsidP="00133508">
                  <w:pPr>
                    <w:pStyle w:val="TableBodyText"/>
                    <w:spacing w:after="20"/>
                  </w:pPr>
                  <w:r w:rsidRPr="00385AE4">
                    <w:t>7.7</w:t>
                  </w:r>
                </w:p>
              </w:tc>
            </w:tr>
            <w:tr w:rsidR="007544CA" w:rsidTr="00133508">
              <w:tc>
                <w:tcPr>
                  <w:tcW w:w="0" w:type="auto"/>
                </w:tcPr>
                <w:p w:rsidR="007544CA" w:rsidRPr="00022DDE" w:rsidRDefault="007544CA" w:rsidP="00133508">
                  <w:pPr>
                    <w:pStyle w:val="TableBodyText"/>
                    <w:spacing w:after="20"/>
                    <w:jc w:val="left"/>
                  </w:pPr>
                  <w:r w:rsidRPr="00022DDE">
                    <w:t>Machinery and equipment manufacturing</w:t>
                  </w:r>
                </w:p>
              </w:tc>
              <w:tc>
                <w:tcPr>
                  <w:tcW w:w="0" w:type="auto"/>
                </w:tcPr>
                <w:p w:rsidR="007544CA" w:rsidRPr="00385AE4" w:rsidRDefault="007544CA" w:rsidP="00133508">
                  <w:pPr>
                    <w:pStyle w:val="TableBodyText"/>
                    <w:spacing w:after="20"/>
                  </w:pPr>
                  <w:r w:rsidRPr="00385AE4">
                    <w:t>563.0</w:t>
                  </w:r>
                </w:p>
              </w:tc>
              <w:tc>
                <w:tcPr>
                  <w:tcW w:w="0" w:type="auto"/>
                </w:tcPr>
                <w:p w:rsidR="007544CA" w:rsidRPr="00385AE4" w:rsidRDefault="007544CA" w:rsidP="00133508">
                  <w:pPr>
                    <w:pStyle w:val="TableBodyText"/>
                    <w:spacing w:after="20"/>
                  </w:pPr>
                  <w:r>
                    <w:noBreakHyphen/>
                  </w:r>
                  <w:r w:rsidRPr="00385AE4">
                    <w:t>169.2</w:t>
                  </w:r>
                </w:p>
              </w:tc>
              <w:tc>
                <w:tcPr>
                  <w:tcW w:w="0" w:type="auto"/>
                </w:tcPr>
                <w:p w:rsidR="007544CA" w:rsidRPr="00385AE4" w:rsidRDefault="007544CA" w:rsidP="00133508">
                  <w:pPr>
                    <w:pStyle w:val="TableBodyText"/>
                    <w:spacing w:after="20"/>
                  </w:pPr>
                  <w:r w:rsidRPr="00385AE4">
                    <w:t>393.8</w:t>
                  </w:r>
                </w:p>
              </w:tc>
            </w:tr>
            <w:tr w:rsidR="007544CA" w:rsidTr="00133508">
              <w:tc>
                <w:tcPr>
                  <w:tcW w:w="0" w:type="auto"/>
                </w:tcPr>
                <w:p w:rsidR="007544CA" w:rsidRDefault="007544CA" w:rsidP="00133508">
                  <w:pPr>
                    <w:pStyle w:val="TableBodyText"/>
                    <w:spacing w:after="20"/>
                    <w:jc w:val="left"/>
                  </w:pPr>
                  <w:r w:rsidRPr="00022DDE">
                    <w:t>Furniture and other manufacturing</w:t>
                  </w:r>
                </w:p>
              </w:tc>
              <w:tc>
                <w:tcPr>
                  <w:tcW w:w="0" w:type="auto"/>
                </w:tcPr>
                <w:p w:rsidR="007544CA" w:rsidRPr="00385AE4" w:rsidRDefault="007544CA" w:rsidP="00133508">
                  <w:pPr>
                    <w:pStyle w:val="TableBodyText"/>
                    <w:spacing w:after="20"/>
                  </w:pPr>
                  <w:r w:rsidRPr="00385AE4">
                    <w:t>187.4</w:t>
                  </w:r>
                </w:p>
              </w:tc>
              <w:tc>
                <w:tcPr>
                  <w:tcW w:w="0" w:type="auto"/>
                </w:tcPr>
                <w:p w:rsidR="007544CA" w:rsidRPr="00385AE4" w:rsidRDefault="007544CA" w:rsidP="00133508">
                  <w:pPr>
                    <w:pStyle w:val="TableBodyText"/>
                    <w:spacing w:after="20"/>
                  </w:pPr>
                  <w:r>
                    <w:noBreakHyphen/>
                  </w:r>
                  <w:r w:rsidRPr="00385AE4">
                    <w:t>45.2</w:t>
                  </w:r>
                </w:p>
              </w:tc>
              <w:tc>
                <w:tcPr>
                  <w:tcW w:w="0" w:type="auto"/>
                </w:tcPr>
                <w:p w:rsidR="007544CA" w:rsidRDefault="007544CA" w:rsidP="00133508">
                  <w:pPr>
                    <w:pStyle w:val="TableBodyText"/>
                    <w:spacing w:after="20"/>
                  </w:pPr>
                  <w:r w:rsidRPr="00385AE4">
                    <w:t>142.3</w:t>
                  </w:r>
                </w:p>
              </w:tc>
            </w:tr>
            <w:tr w:rsidR="007544CA" w:rsidRPr="00477DE6" w:rsidTr="00133508">
              <w:tc>
                <w:tcPr>
                  <w:tcW w:w="0" w:type="auto"/>
                </w:tcPr>
                <w:p w:rsidR="007544CA" w:rsidRPr="00477DE6" w:rsidRDefault="007544CA" w:rsidP="00133508">
                  <w:pPr>
                    <w:pStyle w:val="TableBodyText"/>
                    <w:spacing w:after="20"/>
                    <w:jc w:val="left"/>
                  </w:pPr>
                  <w:r w:rsidRPr="00477DE6">
                    <w:t>Unallocated manufacturing</w:t>
                  </w:r>
                </w:p>
              </w:tc>
              <w:tc>
                <w:tcPr>
                  <w:tcW w:w="0" w:type="auto"/>
                </w:tcPr>
                <w:p w:rsidR="007544CA" w:rsidRPr="00477DE6" w:rsidRDefault="007544CA" w:rsidP="00133508">
                  <w:pPr>
                    <w:pStyle w:val="TableBodyText"/>
                    <w:spacing w:after="20"/>
                  </w:pPr>
                  <w:r>
                    <w:t>–</w:t>
                  </w:r>
                </w:p>
              </w:tc>
              <w:tc>
                <w:tcPr>
                  <w:tcW w:w="0" w:type="auto"/>
                </w:tcPr>
                <w:p w:rsidR="007544CA" w:rsidRPr="00477DE6" w:rsidRDefault="007544CA" w:rsidP="00133508">
                  <w:pPr>
                    <w:pStyle w:val="TableBodyText"/>
                    <w:spacing w:after="20"/>
                    <w:rPr>
                      <w:i/>
                    </w:rPr>
                  </w:pPr>
                  <w:r>
                    <w:t>–</w:t>
                  </w:r>
                </w:p>
              </w:tc>
              <w:tc>
                <w:tcPr>
                  <w:tcW w:w="0" w:type="auto"/>
                </w:tcPr>
                <w:p w:rsidR="007544CA" w:rsidRPr="00477DE6" w:rsidRDefault="007544CA" w:rsidP="00133508">
                  <w:pPr>
                    <w:pStyle w:val="TableBodyText"/>
                    <w:spacing w:after="20"/>
                    <w:rPr>
                      <w:i/>
                    </w:rPr>
                  </w:pPr>
                  <w:r>
                    <w:t>–</w:t>
                  </w:r>
                </w:p>
              </w:tc>
            </w:tr>
            <w:tr w:rsidR="007544CA" w:rsidRPr="006F5146" w:rsidTr="00133508">
              <w:tc>
                <w:tcPr>
                  <w:tcW w:w="0" w:type="auto"/>
                </w:tcPr>
                <w:p w:rsidR="007544CA" w:rsidRPr="00FE3B50" w:rsidRDefault="007544CA" w:rsidP="00133508">
                  <w:pPr>
                    <w:pStyle w:val="TableBodyText"/>
                    <w:jc w:val="left"/>
                    <w:rPr>
                      <w:b/>
                    </w:rPr>
                  </w:pPr>
                  <w:r w:rsidRPr="00FE3B50">
                    <w:rPr>
                      <w:b/>
                    </w:rPr>
                    <w:t>Services</w:t>
                  </w:r>
                </w:p>
              </w:tc>
              <w:tc>
                <w:tcPr>
                  <w:tcW w:w="0" w:type="auto"/>
                </w:tcPr>
                <w:p w:rsidR="007544CA" w:rsidRPr="00FE3B50" w:rsidRDefault="007544CA" w:rsidP="00133508">
                  <w:pPr>
                    <w:pStyle w:val="TableBodyText"/>
                    <w:rPr>
                      <w:b/>
                    </w:rPr>
                  </w:pPr>
                  <w:r w:rsidRPr="00FE3B50">
                    <w:rPr>
                      <w:b/>
                    </w:rPr>
                    <w:t>–</w:t>
                  </w:r>
                </w:p>
              </w:tc>
              <w:tc>
                <w:tcPr>
                  <w:tcW w:w="0" w:type="auto"/>
                </w:tcPr>
                <w:p w:rsidR="007544CA" w:rsidRPr="00FE3B50" w:rsidRDefault="007544CA" w:rsidP="00133508">
                  <w:pPr>
                    <w:pStyle w:val="TableBodyText"/>
                    <w:rPr>
                      <w:b/>
                    </w:rPr>
                  </w:pPr>
                  <w:r>
                    <w:rPr>
                      <w:b/>
                    </w:rPr>
                    <w:noBreakHyphen/>
                  </w:r>
                  <w:r w:rsidRPr="00FE3B50">
                    <w:rPr>
                      <w:b/>
                    </w:rPr>
                    <w:t>5</w:t>
                  </w:r>
                  <w:r>
                    <w:rPr>
                      <w:b/>
                    </w:rPr>
                    <w:t> </w:t>
                  </w:r>
                  <w:r w:rsidRPr="00FE3B50">
                    <w:rPr>
                      <w:b/>
                    </w:rPr>
                    <w:t>125.0</w:t>
                  </w:r>
                </w:p>
              </w:tc>
              <w:tc>
                <w:tcPr>
                  <w:tcW w:w="0" w:type="auto"/>
                </w:tcPr>
                <w:p w:rsidR="007544CA" w:rsidRPr="00FE3B50" w:rsidRDefault="007544CA" w:rsidP="00133508">
                  <w:pPr>
                    <w:pStyle w:val="TableBodyText"/>
                    <w:rPr>
                      <w:b/>
                    </w:rPr>
                  </w:pPr>
                  <w:r>
                    <w:rPr>
                      <w:b/>
                    </w:rPr>
                    <w:noBreakHyphen/>
                  </w:r>
                  <w:r w:rsidRPr="00FE3B50">
                    <w:rPr>
                      <w:b/>
                    </w:rPr>
                    <w:t>5</w:t>
                  </w:r>
                  <w:r>
                    <w:rPr>
                      <w:b/>
                    </w:rPr>
                    <w:t> </w:t>
                  </w:r>
                  <w:r w:rsidRPr="00FE3B50">
                    <w:rPr>
                      <w:b/>
                    </w:rPr>
                    <w:t>125.0</w:t>
                  </w:r>
                </w:p>
              </w:tc>
            </w:tr>
            <w:tr w:rsidR="007544CA" w:rsidTr="00133508">
              <w:tc>
                <w:tcPr>
                  <w:tcW w:w="0" w:type="auto"/>
                </w:tcPr>
                <w:p w:rsidR="007544CA" w:rsidRPr="004A449C" w:rsidRDefault="007544CA" w:rsidP="00133508">
                  <w:pPr>
                    <w:pStyle w:val="TableBodyText"/>
                    <w:spacing w:after="20"/>
                    <w:jc w:val="left"/>
                  </w:pPr>
                  <w:r w:rsidRPr="004A449C">
                    <w:t>Electricity, gas, water and waste services</w:t>
                  </w:r>
                </w:p>
              </w:tc>
              <w:tc>
                <w:tcPr>
                  <w:tcW w:w="0" w:type="auto"/>
                </w:tcPr>
                <w:p w:rsidR="007544CA" w:rsidRPr="003A17E4" w:rsidRDefault="007544CA" w:rsidP="00133508">
                  <w:pPr>
                    <w:pStyle w:val="TableBodyText"/>
                    <w:spacing w:after="20"/>
                  </w:pPr>
                  <w:r>
                    <w:t>–</w:t>
                  </w:r>
                </w:p>
              </w:tc>
              <w:tc>
                <w:tcPr>
                  <w:tcW w:w="0" w:type="auto"/>
                </w:tcPr>
                <w:p w:rsidR="007544CA" w:rsidRPr="005B6D18" w:rsidRDefault="007544CA" w:rsidP="00133508">
                  <w:pPr>
                    <w:pStyle w:val="TableBodyText"/>
                    <w:spacing w:after="20"/>
                  </w:pPr>
                  <w:r>
                    <w:noBreakHyphen/>
                  </w:r>
                  <w:r w:rsidRPr="005B6D18">
                    <w:t>85.1</w:t>
                  </w:r>
                </w:p>
              </w:tc>
              <w:tc>
                <w:tcPr>
                  <w:tcW w:w="0" w:type="auto"/>
                </w:tcPr>
                <w:p w:rsidR="007544CA" w:rsidRPr="005B6D18" w:rsidRDefault="007544CA" w:rsidP="00133508">
                  <w:pPr>
                    <w:pStyle w:val="TableBodyText"/>
                    <w:spacing w:after="20"/>
                  </w:pPr>
                  <w:r>
                    <w:noBreakHyphen/>
                  </w:r>
                  <w:r w:rsidRPr="005B6D18">
                    <w:t>85.1</w:t>
                  </w:r>
                </w:p>
              </w:tc>
            </w:tr>
            <w:tr w:rsidR="007544CA" w:rsidTr="00133508">
              <w:tc>
                <w:tcPr>
                  <w:tcW w:w="0" w:type="auto"/>
                </w:tcPr>
                <w:p w:rsidR="007544CA" w:rsidRPr="004A449C" w:rsidRDefault="007544CA" w:rsidP="00133508">
                  <w:pPr>
                    <w:pStyle w:val="TableBodyText"/>
                    <w:spacing w:after="20"/>
                    <w:jc w:val="left"/>
                  </w:pPr>
                  <w:r w:rsidRPr="004A449C">
                    <w:t>Construction</w:t>
                  </w:r>
                </w:p>
              </w:tc>
              <w:tc>
                <w:tcPr>
                  <w:tcW w:w="0" w:type="auto"/>
                </w:tcPr>
                <w:p w:rsidR="007544CA" w:rsidRPr="003A17E4" w:rsidRDefault="007544CA" w:rsidP="00133508">
                  <w:pPr>
                    <w:pStyle w:val="TableBodyText"/>
                    <w:spacing w:after="20"/>
                  </w:pPr>
                  <w:r>
                    <w:t>–</w:t>
                  </w:r>
                </w:p>
              </w:tc>
              <w:tc>
                <w:tcPr>
                  <w:tcW w:w="0" w:type="auto"/>
                </w:tcPr>
                <w:p w:rsidR="007544CA" w:rsidRPr="005B6D18" w:rsidRDefault="007544CA" w:rsidP="00133508">
                  <w:pPr>
                    <w:pStyle w:val="TableBodyText"/>
                    <w:spacing w:after="20"/>
                  </w:pPr>
                  <w:r>
                    <w:noBreakHyphen/>
                  </w:r>
                  <w:r w:rsidRPr="005B6D18">
                    <w:t>1</w:t>
                  </w:r>
                  <w:r>
                    <w:t> </w:t>
                  </w:r>
                  <w:r w:rsidRPr="005B6D18">
                    <w:t>912.9</w:t>
                  </w:r>
                </w:p>
              </w:tc>
              <w:tc>
                <w:tcPr>
                  <w:tcW w:w="0" w:type="auto"/>
                </w:tcPr>
                <w:p w:rsidR="007544CA" w:rsidRPr="005B6D18" w:rsidRDefault="007544CA" w:rsidP="00133508">
                  <w:pPr>
                    <w:pStyle w:val="TableBodyText"/>
                    <w:spacing w:after="20"/>
                  </w:pPr>
                  <w:r>
                    <w:noBreakHyphen/>
                  </w:r>
                  <w:r w:rsidRPr="005B6D18">
                    <w:t>1</w:t>
                  </w:r>
                  <w:r>
                    <w:t> </w:t>
                  </w:r>
                  <w:r w:rsidRPr="005B6D18">
                    <w:t>912.9</w:t>
                  </w:r>
                </w:p>
              </w:tc>
            </w:tr>
            <w:tr w:rsidR="007544CA" w:rsidTr="00133508">
              <w:tc>
                <w:tcPr>
                  <w:tcW w:w="0" w:type="auto"/>
                </w:tcPr>
                <w:p w:rsidR="007544CA" w:rsidRPr="004A449C" w:rsidRDefault="007544CA" w:rsidP="00133508">
                  <w:pPr>
                    <w:pStyle w:val="TableBodyText"/>
                    <w:spacing w:after="20"/>
                    <w:jc w:val="left"/>
                  </w:pPr>
                  <w:r w:rsidRPr="004A449C">
                    <w:t>Wholesale trade</w:t>
                  </w:r>
                </w:p>
              </w:tc>
              <w:tc>
                <w:tcPr>
                  <w:tcW w:w="0" w:type="auto"/>
                </w:tcPr>
                <w:p w:rsidR="007544CA" w:rsidRPr="003A17E4" w:rsidRDefault="007544CA" w:rsidP="00133508">
                  <w:pPr>
                    <w:pStyle w:val="TableBodyText"/>
                    <w:spacing w:after="20"/>
                  </w:pPr>
                  <w:r>
                    <w:t>–</w:t>
                  </w:r>
                </w:p>
              </w:tc>
              <w:tc>
                <w:tcPr>
                  <w:tcW w:w="0" w:type="auto"/>
                </w:tcPr>
                <w:p w:rsidR="007544CA" w:rsidRPr="005B6D18" w:rsidRDefault="007544CA" w:rsidP="00133508">
                  <w:pPr>
                    <w:pStyle w:val="TableBodyText"/>
                    <w:spacing w:after="20"/>
                  </w:pPr>
                  <w:r>
                    <w:noBreakHyphen/>
                  </w:r>
                  <w:r w:rsidRPr="005B6D18">
                    <w:t>270.7</w:t>
                  </w:r>
                </w:p>
              </w:tc>
              <w:tc>
                <w:tcPr>
                  <w:tcW w:w="0" w:type="auto"/>
                </w:tcPr>
                <w:p w:rsidR="007544CA" w:rsidRPr="005B6D18" w:rsidRDefault="007544CA" w:rsidP="00133508">
                  <w:pPr>
                    <w:pStyle w:val="TableBodyText"/>
                    <w:spacing w:after="20"/>
                  </w:pPr>
                  <w:r>
                    <w:noBreakHyphen/>
                  </w:r>
                  <w:r w:rsidRPr="005B6D18">
                    <w:t>270.7</w:t>
                  </w:r>
                </w:p>
              </w:tc>
            </w:tr>
            <w:tr w:rsidR="007544CA" w:rsidTr="00133508">
              <w:tc>
                <w:tcPr>
                  <w:tcW w:w="0" w:type="auto"/>
                </w:tcPr>
                <w:p w:rsidR="007544CA" w:rsidRPr="004A449C" w:rsidRDefault="007544CA" w:rsidP="00133508">
                  <w:pPr>
                    <w:pStyle w:val="TableBodyText"/>
                    <w:spacing w:after="20"/>
                    <w:jc w:val="left"/>
                  </w:pPr>
                  <w:r w:rsidRPr="004A449C">
                    <w:t>Retail trade</w:t>
                  </w:r>
                </w:p>
              </w:tc>
              <w:tc>
                <w:tcPr>
                  <w:tcW w:w="0" w:type="auto"/>
                </w:tcPr>
                <w:p w:rsidR="007544CA" w:rsidRPr="003A17E4" w:rsidRDefault="007544CA" w:rsidP="00133508">
                  <w:pPr>
                    <w:pStyle w:val="TableBodyText"/>
                    <w:spacing w:after="20"/>
                  </w:pPr>
                  <w:r>
                    <w:t>–</w:t>
                  </w:r>
                </w:p>
              </w:tc>
              <w:tc>
                <w:tcPr>
                  <w:tcW w:w="0" w:type="auto"/>
                </w:tcPr>
                <w:p w:rsidR="007544CA" w:rsidRPr="005B6D18" w:rsidRDefault="007544CA" w:rsidP="00133508">
                  <w:pPr>
                    <w:pStyle w:val="TableBodyText"/>
                    <w:spacing w:after="20"/>
                  </w:pPr>
                  <w:r>
                    <w:noBreakHyphen/>
                  </w:r>
                  <w:r w:rsidRPr="005B6D18">
                    <w:t>193.7</w:t>
                  </w:r>
                </w:p>
              </w:tc>
              <w:tc>
                <w:tcPr>
                  <w:tcW w:w="0" w:type="auto"/>
                </w:tcPr>
                <w:p w:rsidR="007544CA" w:rsidRPr="005B6D18" w:rsidRDefault="007544CA" w:rsidP="00133508">
                  <w:pPr>
                    <w:pStyle w:val="TableBodyText"/>
                    <w:spacing w:after="20"/>
                  </w:pPr>
                  <w:r>
                    <w:noBreakHyphen/>
                  </w:r>
                  <w:r w:rsidRPr="005B6D18">
                    <w:t>193.7</w:t>
                  </w:r>
                </w:p>
              </w:tc>
            </w:tr>
            <w:tr w:rsidR="007544CA" w:rsidTr="00133508">
              <w:tc>
                <w:tcPr>
                  <w:tcW w:w="0" w:type="auto"/>
                </w:tcPr>
                <w:p w:rsidR="007544CA" w:rsidRPr="004A449C" w:rsidRDefault="007544CA" w:rsidP="00133508">
                  <w:pPr>
                    <w:pStyle w:val="TableBodyText"/>
                    <w:spacing w:after="20"/>
                    <w:jc w:val="left"/>
                  </w:pPr>
                  <w:r w:rsidRPr="004A449C">
                    <w:t>Accommodation and food services</w:t>
                  </w:r>
                </w:p>
              </w:tc>
              <w:tc>
                <w:tcPr>
                  <w:tcW w:w="0" w:type="auto"/>
                </w:tcPr>
                <w:p w:rsidR="007544CA" w:rsidRPr="003A17E4" w:rsidRDefault="007544CA" w:rsidP="00133508">
                  <w:pPr>
                    <w:pStyle w:val="TableBodyText"/>
                    <w:spacing w:after="20"/>
                  </w:pPr>
                  <w:r>
                    <w:t>–</w:t>
                  </w:r>
                </w:p>
              </w:tc>
              <w:tc>
                <w:tcPr>
                  <w:tcW w:w="0" w:type="auto"/>
                </w:tcPr>
                <w:p w:rsidR="007544CA" w:rsidRPr="005B6D18" w:rsidRDefault="007544CA" w:rsidP="00133508">
                  <w:pPr>
                    <w:pStyle w:val="TableBodyText"/>
                    <w:spacing w:after="20"/>
                  </w:pPr>
                  <w:r>
                    <w:noBreakHyphen/>
                  </w:r>
                  <w:r w:rsidRPr="005B6D18">
                    <w:t>598.1</w:t>
                  </w:r>
                </w:p>
              </w:tc>
              <w:tc>
                <w:tcPr>
                  <w:tcW w:w="0" w:type="auto"/>
                </w:tcPr>
                <w:p w:rsidR="007544CA" w:rsidRPr="005B6D18" w:rsidRDefault="007544CA" w:rsidP="00133508">
                  <w:pPr>
                    <w:pStyle w:val="TableBodyText"/>
                    <w:spacing w:after="20"/>
                  </w:pPr>
                  <w:r>
                    <w:noBreakHyphen/>
                  </w:r>
                  <w:r w:rsidRPr="005B6D18">
                    <w:t>598.1</w:t>
                  </w:r>
                </w:p>
              </w:tc>
            </w:tr>
            <w:tr w:rsidR="007544CA" w:rsidTr="00133508">
              <w:tc>
                <w:tcPr>
                  <w:tcW w:w="0" w:type="auto"/>
                </w:tcPr>
                <w:p w:rsidR="007544CA" w:rsidRPr="004A449C" w:rsidRDefault="007544CA" w:rsidP="00133508">
                  <w:pPr>
                    <w:pStyle w:val="TableBodyText"/>
                    <w:spacing w:after="20"/>
                    <w:jc w:val="left"/>
                  </w:pPr>
                  <w:r w:rsidRPr="004A449C">
                    <w:t>Transport, postal and warehousing</w:t>
                  </w:r>
                </w:p>
              </w:tc>
              <w:tc>
                <w:tcPr>
                  <w:tcW w:w="0" w:type="auto"/>
                </w:tcPr>
                <w:p w:rsidR="007544CA" w:rsidRPr="003A17E4" w:rsidRDefault="007544CA" w:rsidP="00133508">
                  <w:pPr>
                    <w:pStyle w:val="TableBodyText"/>
                    <w:spacing w:after="20"/>
                  </w:pPr>
                  <w:r>
                    <w:t>–</w:t>
                  </w:r>
                </w:p>
              </w:tc>
              <w:tc>
                <w:tcPr>
                  <w:tcW w:w="0" w:type="auto"/>
                </w:tcPr>
                <w:p w:rsidR="007544CA" w:rsidRPr="005B6D18" w:rsidRDefault="007544CA" w:rsidP="00133508">
                  <w:pPr>
                    <w:pStyle w:val="TableBodyText"/>
                    <w:spacing w:after="20"/>
                  </w:pPr>
                  <w:r>
                    <w:noBreakHyphen/>
                  </w:r>
                  <w:r w:rsidRPr="005B6D18">
                    <w:t>217.2</w:t>
                  </w:r>
                </w:p>
              </w:tc>
              <w:tc>
                <w:tcPr>
                  <w:tcW w:w="0" w:type="auto"/>
                </w:tcPr>
                <w:p w:rsidR="007544CA" w:rsidRPr="005B6D18" w:rsidRDefault="007544CA" w:rsidP="00133508">
                  <w:pPr>
                    <w:pStyle w:val="TableBodyText"/>
                    <w:spacing w:after="20"/>
                  </w:pPr>
                  <w:r>
                    <w:noBreakHyphen/>
                  </w:r>
                  <w:r w:rsidRPr="005B6D18">
                    <w:t>217.2</w:t>
                  </w:r>
                </w:p>
              </w:tc>
            </w:tr>
            <w:tr w:rsidR="007544CA" w:rsidTr="00133508">
              <w:tc>
                <w:tcPr>
                  <w:tcW w:w="0" w:type="auto"/>
                </w:tcPr>
                <w:p w:rsidR="007544CA" w:rsidRPr="004A449C" w:rsidRDefault="007544CA" w:rsidP="00133508">
                  <w:pPr>
                    <w:pStyle w:val="TableBodyText"/>
                    <w:spacing w:after="20"/>
                    <w:jc w:val="left"/>
                  </w:pPr>
                  <w:r w:rsidRPr="004A449C">
                    <w:t>Information, media and telecommunications</w:t>
                  </w:r>
                </w:p>
              </w:tc>
              <w:tc>
                <w:tcPr>
                  <w:tcW w:w="0" w:type="auto"/>
                </w:tcPr>
                <w:p w:rsidR="007544CA" w:rsidRPr="003A17E4" w:rsidRDefault="007544CA" w:rsidP="00133508">
                  <w:pPr>
                    <w:pStyle w:val="TableBodyText"/>
                    <w:spacing w:after="20"/>
                  </w:pPr>
                  <w:r>
                    <w:t>–</w:t>
                  </w:r>
                </w:p>
              </w:tc>
              <w:tc>
                <w:tcPr>
                  <w:tcW w:w="0" w:type="auto"/>
                </w:tcPr>
                <w:p w:rsidR="007544CA" w:rsidRPr="005B6D18" w:rsidRDefault="007544CA" w:rsidP="00133508">
                  <w:pPr>
                    <w:pStyle w:val="TableBodyText"/>
                    <w:spacing w:after="20"/>
                  </w:pPr>
                  <w:r>
                    <w:noBreakHyphen/>
                  </w:r>
                  <w:r w:rsidRPr="005B6D18">
                    <w:t>145.6</w:t>
                  </w:r>
                </w:p>
              </w:tc>
              <w:tc>
                <w:tcPr>
                  <w:tcW w:w="0" w:type="auto"/>
                </w:tcPr>
                <w:p w:rsidR="007544CA" w:rsidRPr="005B6D18" w:rsidRDefault="007544CA" w:rsidP="00133508">
                  <w:pPr>
                    <w:pStyle w:val="TableBodyText"/>
                    <w:spacing w:after="20"/>
                  </w:pPr>
                  <w:r>
                    <w:noBreakHyphen/>
                  </w:r>
                  <w:r w:rsidRPr="005B6D18">
                    <w:t>145.6</w:t>
                  </w:r>
                </w:p>
              </w:tc>
            </w:tr>
            <w:tr w:rsidR="007544CA" w:rsidTr="00133508">
              <w:tc>
                <w:tcPr>
                  <w:tcW w:w="0" w:type="auto"/>
                </w:tcPr>
                <w:p w:rsidR="007544CA" w:rsidRPr="004A449C" w:rsidRDefault="007544CA" w:rsidP="00133508">
                  <w:pPr>
                    <w:pStyle w:val="TableBodyText"/>
                    <w:spacing w:after="20"/>
                    <w:jc w:val="left"/>
                  </w:pPr>
                  <w:r w:rsidRPr="004A449C">
                    <w:t>Financial and insurance services</w:t>
                  </w:r>
                </w:p>
              </w:tc>
              <w:tc>
                <w:tcPr>
                  <w:tcW w:w="0" w:type="auto"/>
                </w:tcPr>
                <w:p w:rsidR="007544CA" w:rsidRPr="003A17E4" w:rsidRDefault="007544CA" w:rsidP="00133508">
                  <w:pPr>
                    <w:pStyle w:val="TableBodyText"/>
                    <w:spacing w:after="20"/>
                  </w:pPr>
                  <w:r>
                    <w:t>–</w:t>
                  </w:r>
                </w:p>
              </w:tc>
              <w:tc>
                <w:tcPr>
                  <w:tcW w:w="0" w:type="auto"/>
                </w:tcPr>
                <w:p w:rsidR="007544CA" w:rsidRPr="005B6D18" w:rsidRDefault="007544CA" w:rsidP="00133508">
                  <w:pPr>
                    <w:pStyle w:val="TableBodyText"/>
                    <w:spacing w:after="20"/>
                  </w:pPr>
                  <w:r>
                    <w:noBreakHyphen/>
                  </w:r>
                  <w:r w:rsidRPr="005B6D18">
                    <w:t>10.9</w:t>
                  </w:r>
                </w:p>
              </w:tc>
              <w:tc>
                <w:tcPr>
                  <w:tcW w:w="0" w:type="auto"/>
                </w:tcPr>
                <w:p w:rsidR="007544CA" w:rsidRPr="005B6D18" w:rsidRDefault="007544CA" w:rsidP="00133508">
                  <w:pPr>
                    <w:pStyle w:val="TableBodyText"/>
                    <w:spacing w:after="20"/>
                  </w:pPr>
                  <w:r>
                    <w:noBreakHyphen/>
                  </w:r>
                  <w:r w:rsidRPr="005B6D18">
                    <w:t>10.9</w:t>
                  </w:r>
                </w:p>
              </w:tc>
            </w:tr>
            <w:tr w:rsidR="007544CA" w:rsidTr="00133508">
              <w:tc>
                <w:tcPr>
                  <w:tcW w:w="0" w:type="auto"/>
                </w:tcPr>
                <w:p w:rsidR="007544CA" w:rsidRPr="004A449C" w:rsidRDefault="007544CA" w:rsidP="00133508">
                  <w:pPr>
                    <w:pStyle w:val="TableBodyText"/>
                    <w:spacing w:after="20"/>
                    <w:jc w:val="left"/>
                  </w:pPr>
                  <w:r w:rsidRPr="004A449C">
                    <w:t>Property, professional and admin. services</w:t>
                  </w:r>
                </w:p>
              </w:tc>
              <w:tc>
                <w:tcPr>
                  <w:tcW w:w="0" w:type="auto"/>
                </w:tcPr>
                <w:p w:rsidR="007544CA" w:rsidRPr="003A17E4" w:rsidRDefault="007544CA" w:rsidP="00133508">
                  <w:pPr>
                    <w:pStyle w:val="TableBodyText"/>
                    <w:spacing w:after="20"/>
                  </w:pPr>
                  <w:r>
                    <w:t>–</w:t>
                  </w:r>
                </w:p>
              </w:tc>
              <w:tc>
                <w:tcPr>
                  <w:tcW w:w="0" w:type="auto"/>
                </w:tcPr>
                <w:p w:rsidR="007544CA" w:rsidRPr="005B6D18" w:rsidRDefault="007544CA" w:rsidP="00133508">
                  <w:pPr>
                    <w:pStyle w:val="TableBodyText"/>
                    <w:spacing w:after="20"/>
                  </w:pPr>
                  <w:r>
                    <w:noBreakHyphen/>
                  </w:r>
                  <w:r w:rsidRPr="005B6D18">
                    <w:t>639.5</w:t>
                  </w:r>
                </w:p>
              </w:tc>
              <w:tc>
                <w:tcPr>
                  <w:tcW w:w="0" w:type="auto"/>
                </w:tcPr>
                <w:p w:rsidR="007544CA" w:rsidRPr="005B6D18" w:rsidRDefault="007544CA" w:rsidP="00133508">
                  <w:pPr>
                    <w:pStyle w:val="TableBodyText"/>
                    <w:spacing w:after="20"/>
                  </w:pPr>
                  <w:r>
                    <w:noBreakHyphen/>
                  </w:r>
                  <w:r w:rsidRPr="005B6D18">
                    <w:t>639.5</w:t>
                  </w:r>
                </w:p>
              </w:tc>
            </w:tr>
            <w:tr w:rsidR="007544CA" w:rsidTr="00133508">
              <w:tc>
                <w:tcPr>
                  <w:tcW w:w="0" w:type="auto"/>
                </w:tcPr>
                <w:p w:rsidR="007544CA" w:rsidRPr="004A449C" w:rsidRDefault="007544CA" w:rsidP="00133508">
                  <w:pPr>
                    <w:pStyle w:val="TableBodyText"/>
                    <w:spacing w:after="20"/>
                    <w:jc w:val="left"/>
                  </w:pPr>
                  <w:r w:rsidRPr="004A449C">
                    <w:t>Public administration and safety</w:t>
                  </w:r>
                </w:p>
              </w:tc>
              <w:tc>
                <w:tcPr>
                  <w:tcW w:w="0" w:type="auto"/>
                </w:tcPr>
                <w:p w:rsidR="007544CA" w:rsidRPr="003A17E4" w:rsidRDefault="007544CA" w:rsidP="00133508">
                  <w:pPr>
                    <w:pStyle w:val="TableBodyText"/>
                    <w:spacing w:after="20"/>
                  </w:pPr>
                  <w:r>
                    <w:t>–</w:t>
                  </w:r>
                </w:p>
              </w:tc>
              <w:tc>
                <w:tcPr>
                  <w:tcW w:w="0" w:type="auto"/>
                </w:tcPr>
                <w:p w:rsidR="007544CA" w:rsidRPr="005B6D18" w:rsidRDefault="007544CA" w:rsidP="00133508">
                  <w:pPr>
                    <w:pStyle w:val="TableBodyText"/>
                    <w:spacing w:after="20"/>
                  </w:pPr>
                  <w:r>
                    <w:noBreakHyphen/>
                  </w:r>
                  <w:r w:rsidRPr="005B6D18">
                    <w:t>228.2</w:t>
                  </w:r>
                </w:p>
              </w:tc>
              <w:tc>
                <w:tcPr>
                  <w:tcW w:w="0" w:type="auto"/>
                </w:tcPr>
                <w:p w:rsidR="007544CA" w:rsidRPr="005B6D18" w:rsidRDefault="007544CA" w:rsidP="00133508">
                  <w:pPr>
                    <w:pStyle w:val="TableBodyText"/>
                    <w:spacing w:after="20"/>
                  </w:pPr>
                  <w:r>
                    <w:noBreakHyphen/>
                  </w:r>
                  <w:r w:rsidRPr="005B6D18">
                    <w:t>228.2</w:t>
                  </w:r>
                </w:p>
              </w:tc>
            </w:tr>
            <w:tr w:rsidR="007544CA" w:rsidTr="00133508">
              <w:tc>
                <w:tcPr>
                  <w:tcW w:w="0" w:type="auto"/>
                </w:tcPr>
                <w:p w:rsidR="007544CA" w:rsidRPr="004A449C" w:rsidRDefault="007544CA" w:rsidP="00133508">
                  <w:pPr>
                    <w:pStyle w:val="TableBodyText"/>
                    <w:spacing w:after="20"/>
                    <w:jc w:val="left"/>
                  </w:pPr>
                  <w:r w:rsidRPr="004A449C">
                    <w:t>Education and training</w:t>
                  </w:r>
                </w:p>
              </w:tc>
              <w:tc>
                <w:tcPr>
                  <w:tcW w:w="0" w:type="auto"/>
                </w:tcPr>
                <w:p w:rsidR="007544CA" w:rsidRPr="003A17E4" w:rsidRDefault="007544CA" w:rsidP="00133508">
                  <w:pPr>
                    <w:pStyle w:val="TableBodyText"/>
                    <w:spacing w:after="20"/>
                  </w:pPr>
                  <w:r>
                    <w:t>–</w:t>
                  </w:r>
                </w:p>
              </w:tc>
              <w:tc>
                <w:tcPr>
                  <w:tcW w:w="0" w:type="auto"/>
                </w:tcPr>
                <w:p w:rsidR="007544CA" w:rsidRPr="005B6D18" w:rsidRDefault="007544CA" w:rsidP="00133508">
                  <w:pPr>
                    <w:pStyle w:val="TableBodyText"/>
                    <w:spacing w:after="20"/>
                  </w:pPr>
                  <w:r>
                    <w:noBreakHyphen/>
                  </w:r>
                  <w:r w:rsidRPr="005B6D18">
                    <w:t>131.1</w:t>
                  </w:r>
                </w:p>
              </w:tc>
              <w:tc>
                <w:tcPr>
                  <w:tcW w:w="0" w:type="auto"/>
                </w:tcPr>
                <w:p w:rsidR="007544CA" w:rsidRPr="005B6D18" w:rsidRDefault="007544CA" w:rsidP="00133508">
                  <w:pPr>
                    <w:pStyle w:val="TableBodyText"/>
                    <w:spacing w:after="20"/>
                  </w:pPr>
                  <w:r>
                    <w:noBreakHyphen/>
                  </w:r>
                  <w:r w:rsidRPr="005B6D18">
                    <w:t>131.1</w:t>
                  </w:r>
                </w:p>
              </w:tc>
            </w:tr>
            <w:tr w:rsidR="007544CA" w:rsidTr="00133508">
              <w:tc>
                <w:tcPr>
                  <w:tcW w:w="0" w:type="auto"/>
                </w:tcPr>
                <w:p w:rsidR="007544CA" w:rsidRPr="004A449C" w:rsidRDefault="007544CA" w:rsidP="00133508">
                  <w:pPr>
                    <w:pStyle w:val="TableBodyText"/>
                    <w:spacing w:after="20"/>
                    <w:jc w:val="left"/>
                  </w:pPr>
                  <w:r w:rsidRPr="004A449C">
                    <w:t>Health care and social assistance</w:t>
                  </w:r>
                </w:p>
              </w:tc>
              <w:tc>
                <w:tcPr>
                  <w:tcW w:w="0" w:type="auto"/>
                </w:tcPr>
                <w:p w:rsidR="007544CA" w:rsidRPr="003A17E4" w:rsidRDefault="007544CA" w:rsidP="00133508">
                  <w:pPr>
                    <w:pStyle w:val="TableBodyText"/>
                    <w:spacing w:after="20"/>
                  </w:pPr>
                  <w:r>
                    <w:t>–</w:t>
                  </w:r>
                </w:p>
              </w:tc>
              <w:tc>
                <w:tcPr>
                  <w:tcW w:w="0" w:type="auto"/>
                </w:tcPr>
                <w:p w:rsidR="007544CA" w:rsidRPr="005B6D18" w:rsidRDefault="007544CA" w:rsidP="00133508">
                  <w:pPr>
                    <w:pStyle w:val="TableBodyText"/>
                    <w:spacing w:after="20"/>
                  </w:pPr>
                  <w:r>
                    <w:noBreakHyphen/>
                  </w:r>
                  <w:r w:rsidRPr="005B6D18">
                    <w:t>282.2</w:t>
                  </w:r>
                </w:p>
              </w:tc>
              <w:tc>
                <w:tcPr>
                  <w:tcW w:w="0" w:type="auto"/>
                </w:tcPr>
                <w:p w:rsidR="007544CA" w:rsidRPr="005B6D18" w:rsidRDefault="007544CA" w:rsidP="00133508">
                  <w:pPr>
                    <w:pStyle w:val="TableBodyText"/>
                    <w:spacing w:after="20"/>
                  </w:pPr>
                  <w:r>
                    <w:noBreakHyphen/>
                  </w:r>
                  <w:r w:rsidRPr="005B6D18">
                    <w:t>282.2</w:t>
                  </w:r>
                </w:p>
              </w:tc>
            </w:tr>
            <w:tr w:rsidR="007544CA" w:rsidTr="00133508">
              <w:tc>
                <w:tcPr>
                  <w:tcW w:w="0" w:type="auto"/>
                </w:tcPr>
                <w:p w:rsidR="007544CA" w:rsidRPr="004A449C" w:rsidRDefault="007544CA" w:rsidP="00133508">
                  <w:pPr>
                    <w:pStyle w:val="TableBodyText"/>
                    <w:spacing w:after="20"/>
                    <w:jc w:val="left"/>
                  </w:pPr>
                  <w:r w:rsidRPr="004A449C">
                    <w:t>Arts and recreation services</w:t>
                  </w:r>
                </w:p>
              </w:tc>
              <w:tc>
                <w:tcPr>
                  <w:tcW w:w="0" w:type="auto"/>
                </w:tcPr>
                <w:p w:rsidR="007544CA" w:rsidRPr="003A17E4" w:rsidRDefault="007544CA" w:rsidP="00133508">
                  <w:pPr>
                    <w:pStyle w:val="TableBodyText"/>
                    <w:spacing w:after="20"/>
                  </w:pPr>
                  <w:r>
                    <w:t>–</w:t>
                  </w:r>
                </w:p>
              </w:tc>
              <w:tc>
                <w:tcPr>
                  <w:tcW w:w="0" w:type="auto"/>
                </w:tcPr>
                <w:p w:rsidR="007544CA" w:rsidRPr="005B6D18" w:rsidRDefault="007544CA" w:rsidP="00133508">
                  <w:pPr>
                    <w:pStyle w:val="TableBodyText"/>
                    <w:spacing w:after="20"/>
                  </w:pPr>
                  <w:r>
                    <w:noBreakHyphen/>
                  </w:r>
                  <w:r w:rsidRPr="005B6D18">
                    <w:t>84.4</w:t>
                  </w:r>
                </w:p>
              </w:tc>
              <w:tc>
                <w:tcPr>
                  <w:tcW w:w="0" w:type="auto"/>
                </w:tcPr>
                <w:p w:rsidR="007544CA" w:rsidRPr="005B6D18" w:rsidRDefault="007544CA" w:rsidP="00133508">
                  <w:pPr>
                    <w:pStyle w:val="TableBodyText"/>
                    <w:spacing w:after="20"/>
                  </w:pPr>
                  <w:r>
                    <w:noBreakHyphen/>
                  </w:r>
                  <w:r w:rsidRPr="005B6D18">
                    <w:t>84.4</w:t>
                  </w:r>
                </w:p>
              </w:tc>
            </w:tr>
            <w:tr w:rsidR="007544CA" w:rsidTr="00133508">
              <w:tc>
                <w:tcPr>
                  <w:tcW w:w="0" w:type="auto"/>
                </w:tcPr>
                <w:p w:rsidR="007544CA" w:rsidRDefault="007544CA" w:rsidP="00133508">
                  <w:pPr>
                    <w:pStyle w:val="TableBodyText"/>
                    <w:spacing w:after="20"/>
                    <w:jc w:val="left"/>
                  </w:pPr>
                  <w:r w:rsidRPr="004A449C">
                    <w:t>Other services</w:t>
                  </w:r>
                </w:p>
              </w:tc>
              <w:tc>
                <w:tcPr>
                  <w:tcW w:w="0" w:type="auto"/>
                </w:tcPr>
                <w:p w:rsidR="007544CA" w:rsidRPr="003A17E4" w:rsidRDefault="007544CA" w:rsidP="00133508">
                  <w:pPr>
                    <w:pStyle w:val="TableBodyText"/>
                    <w:spacing w:after="20"/>
                  </w:pPr>
                  <w:r>
                    <w:t>–</w:t>
                  </w:r>
                </w:p>
              </w:tc>
              <w:tc>
                <w:tcPr>
                  <w:tcW w:w="0" w:type="auto"/>
                </w:tcPr>
                <w:p w:rsidR="007544CA" w:rsidRPr="005B6D18" w:rsidRDefault="007544CA" w:rsidP="00133508">
                  <w:pPr>
                    <w:pStyle w:val="TableBodyText"/>
                    <w:spacing w:after="20"/>
                  </w:pPr>
                  <w:r>
                    <w:noBreakHyphen/>
                  </w:r>
                  <w:r w:rsidRPr="005B6D18">
                    <w:t>325.3</w:t>
                  </w:r>
                </w:p>
              </w:tc>
              <w:tc>
                <w:tcPr>
                  <w:tcW w:w="0" w:type="auto"/>
                </w:tcPr>
                <w:p w:rsidR="007544CA" w:rsidRDefault="007544CA" w:rsidP="00133508">
                  <w:pPr>
                    <w:pStyle w:val="TableBodyText"/>
                    <w:spacing w:after="20"/>
                  </w:pPr>
                  <w:r>
                    <w:noBreakHyphen/>
                  </w:r>
                  <w:r w:rsidRPr="005B6D18">
                    <w:t>325.3</w:t>
                  </w:r>
                </w:p>
              </w:tc>
            </w:tr>
            <w:tr w:rsidR="007544CA" w:rsidRPr="00477DE6" w:rsidTr="00133508">
              <w:tc>
                <w:tcPr>
                  <w:tcW w:w="0" w:type="auto"/>
                </w:tcPr>
                <w:p w:rsidR="007544CA" w:rsidRPr="00477DE6" w:rsidRDefault="007544CA" w:rsidP="00133508">
                  <w:pPr>
                    <w:pStyle w:val="TableBodyText"/>
                    <w:spacing w:after="20"/>
                    <w:jc w:val="left"/>
                  </w:pPr>
                  <w:r w:rsidRPr="00477DE6">
                    <w:t>Unallocated services</w:t>
                  </w:r>
                </w:p>
              </w:tc>
              <w:tc>
                <w:tcPr>
                  <w:tcW w:w="0" w:type="auto"/>
                </w:tcPr>
                <w:p w:rsidR="007544CA" w:rsidRPr="00477DE6" w:rsidRDefault="007544CA" w:rsidP="00133508">
                  <w:pPr>
                    <w:pStyle w:val="TableBodyText"/>
                    <w:spacing w:after="20"/>
                  </w:pPr>
                  <w:r>
                    <w:t>–</w:t>
                  </w:r>
                </w:p>
              </w:tc>
              <w:tc>
                <w:tcPr>
                  <w:tcW w:w="0" w:type="auto"/>
                </w:tcPr>
                <w:p w:rsidR="007544CA" w:rsidRPr="00477DE6" w:rsidRDefault="007544CA" w:rsidP="00133508">
                  <w:pPr>
                    <w:pStyle w:val="TableBodyText"/>
                    <w:spacing w:after="20"/>
                    <w:rPr>
                      <w:i/>
                    </w:rPr>
                  </w:pPr>
                  <w:r>
                    <w:t>–</w:t>
                  </w:r>
                </w:p>
              </w:tc>
              <w:tc>
                <w:tcPr>
                  <w:tcW w:w="0" w:type="auto"/>
                </w:tcPr>
                <w:p w:rsidR="007544CA" w:rsidRPr="00477DE6" w:rsidRDefault="007544CA" w:rsidP="00133508">
                  <w:pPr>
                    <w:pStyle w:val="TableBodyText"/>
                    <w:spacing w:after="20"/>
                    <w:rPr>
                      <w:i/>
                    </w:rPr>
                  </w:pPr>
                  <w:r>
                    <w:t>–</w:t>
                  </w:r>
                </w:p>
              </w:tc>
            </w:tr>
            <w:tr w:rsidR="007544CA" w:rsidRPr="00B44451" w:rsidTr="00133508">
              <w:tc>
                <w:tcPr>
                  <w:tcW w:w="0" w:type="auto"/>
                </w:tcPr>
                <w:p w:rsidR="007544CA" w:rsidRPr="00FE3B50" w:rsidRDefault="007544CA" w:rsidP="00133508">
                  <w:pPr>
                    <w:pStyle w:val="TableBodyText"/>
                    <w:jc w:val="left"/>
                    <w:rPr>
                      <w:b/>
                    </w:rPr>
                  </w:pPr>
                  <w:r w:rsidRPr="00FE3B50">
                    <w:rPr>
                      <w:b/>
                    </w:rPr>
                    <w:t>Unallocated other</w:t>
                  </w:r>
                </w:p>
              </w:tc>
              <w:tc>
                <w:tcPr>
                  <w:tcW w:w="0" w:type="auto"/>
                </w:tcPr>
                <w:p w:rsidR="007544CA" w:rsidRPr="00FE3B50" w:rsidRDefault="007544CA" w:rsidP="00133508">
                  <w:pPr>
                    <w:pStyle w:val="TableBodyText"/>
                    <w:rPr>
                      <w:b/>
                    </w:rPr>
                  </w:pPr>
                  <w:r w:rsidRPr="00FE3B50">
                    <w:rPr>
                      <w:b/>
                    </w:rPr>
                    <w:t>–</w:t>
                  </w:r>
                </w:p>
              </w:tc>
              <w:tc>
                <w:tcPr>
                  <w:tcW w:w="0" w:type="auto"/>
                </w:tcPr>
                <w:p w:rsidR="007544CA" w:rsidRPr="00FE3B50" w:rsidRDefault="007544CA" w:rsidP="00133508">
                  <w:pPr>
                    <w:pStyle w:val="TableBodyText"/>
                    <w:rPr>
                      <w:b/>
                      <w:i/>
                    </w:rPr>
                  </w:pPr>
                  <w:r w:rsidRPr="00FE3B50">
                    <w:rPr>
                      <w:b/>
                    </w:rPr>
                    <w:t>–</w:t>
                  </w:r>
                </w:p>
              </w:tc>
              <w:tc>
                <w:tcPr>
                  <w:tcW w:w="0" w:type="auto"/>
                </w:tcPr>
                <w:p w:rsidR="007544CA" w:rsidRPr="00FE3B50" w:rsidRDefault="007544CA" w:rsidP="00133508">
                  <w:pPr>
                    <w:pStyle w:val="TableBodyText"/>
                    <w:rPr>
                      <w:b/>
                      <w:i/>
                    </w:rPr>
                  </w:pPr>
                  <w:r w:rsidRPr="00FE3B50">
                    <w:rPr>
                      <w:b/>
                    </w:rPr>
                    <w:t>–</w:t>
                  </w:r>
                </w:p>
              </w:tc>
            </w:tr>
            <w:tr w:rsidR="007544CA" w:rsidRPr="006F5146" w:rsidTr="00133508">
              <w:tc>
                <w:tcPr>
                  <w:tcW w:w="0" w:type="auto"/>
                  <w:tcBorders>
                    <w:bottom w:val="single" w:sz="6" w:space="0" w:color="BFBFBF"/>
                  </w:tcBorders>
                  <w:shd w:val="clear" w:color="auto" w:fill="auto"/>
                </w:tcPr>
                <w:p w:rsidR="007544CA" w:rsidRPr="00FE3B50" w:rsidRDefault="007544CA" w:rsidP="00133508">
                  <w:pPr>
                    <w:pStyle w:val="TableBodyText"/>
                    <w:jc w:val="left"/>
                    <w:rPr>
                      <w:b/>
                    </w:rPr>
                  </w:pPr>
                  <w:r w:rsidRPr="00FE3B50">
                    <w:rPr>
                      <w:b/>
                    </w:rPr>
                    <w:t>Total</w:t>
                  </w:r>
                </w:p>
              </w:tc>
              <w:tc>
                <w:tcPr>
                  <w:tcW w:w="0" w:type="auto"/>
                  <w:tcBorders>
                    <w:bottom w:val="single" w:sz="6" w:space="0" w:color="BFBFBF"/>
                  </w:tcBorders>
                </w:tcPr>
                <w:p w:rsidR="007544CA" w:rsidRPr="00FE3B50" w:rsidRDefault="007544CA" w:rsidP="00133508">
                  <w:pPr>
                    <w:pStyle w:val="TableBodyText"/>
                    <w:rPr>
                      <w:b/>
                    </w:rPr>
                  </w:pPr>
                  <w:r w:rsidRPr="00FE3B50">
                    <w:rPr>
                      <w:b/>
                    </w:rPr>
                    <w:t>7</w:t>
                  </w:r>
                  <w:r>
                    <w:rPr>
                      <w:b/>
                    </w:rPr>
                    <w:t> </w:t>
                  </w:r>
                  <w:r w:rsidRPr="00FE3B50">
                    <w:rPr>
                      <w:b/>
                    </w:rPr>
                    <w:t>827.3</w:t>
                  </w:r>
                </w:p>
              </w:tc>
              <w:tc>
                <w:tcPr>
                  <w:tcW w:w="0" w:type="auto"/>
                  <w:tcBorders>
                    <w:bottom w:val="single" w:sz="6" w:space="0" w:color="BFBFBF"/>
                  </w:tcBorders>
                  <w:shd w:val="clear" w:color="auto" w:fill="auto"/>
                </w:tcPr>
                <w:p w:rsidR="007544CA" w:rsidRPr="00FE3B50" w:rsidRDefault="007544CA" w:rsidP="00133508">
                  <w:pPr>
                    <w:pStyle w:val="TableBodyText"/>
                    <w:rPr>
                      <w:b/>
                    </w:rPr>
                  </w:pPr>
                  <w:r>
                    <w:rPr>
                      <w:b/>
                    </w:rPr>
                    <w:noBreakHyphen/>
                  </w:r>
                  <w:r w:rsidRPr="00FE3B50">
                    <w:rPr>
                      <w:b/>
                    </w:rPr>
                    <w:t>7</w:t>
                  </w:r>
                  <w:r>
                    <w:rPr>
                      <w:b/>
                    </w:rPr>
                    <w:t> </w:t>
                  </w:r>
                  <w:r w:rsidRPr="00FE3B50">
                    <w:rPr>
                      <w:b/>
                    </w:rPr>
                    <w:t>524.6</w:t>
                  </w:r>
                </w:p>
              </w:tc>
              <w:tc>
                <w:tcPr>
                  <w:tcW w:w="0" w:type="auto"/>
                  <w:tcBorders>
                    <w:bottom w:val="single" w:sz="6" w:space="0" w:color="BFBFBF"/>
                  </w:tcBorders>
                  <w:shd w:val="clear" w:color="auto" w:fill="auto"/>
                </w:tcPr>
                <w:p w:rsidR="007544CA" w:rsidRPr="00FE3B50" w:rsidRDefault="007544CA" w:rsidP="00133508">
                  <w:pPr>
                    <w:pStyle w:val="TableBodyText"/>
                    <w:rPr>
                      <w:b/>
                    </w:rPr>
                  </w:pPr>
                  <w:r w:rsidRPr="00FE3B50">
                    <w:rPr>
                      <w:b/>
                    </w:rPr>
                    <w:t>302.7</w:t>
                  </w:r>
                </w:p>
              </w:tc>
            </w:tr>
          </w:tbl>
          <w:p w:rsidR="007544CA" w:rsidRDefault="007544CA" w:rsidP="00133508">
            <w:pPr>
              <w:pStyle w:val="Box"/>
            </w:pP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Note"/>
              <w:rPr>
                <w:i/>
              </w:rPr>
            </w:pPr>
            <w:r w:rsidRPr="00E61C77">
              <w:t>– Nil.</w:t>
            </w:r>
            <w:r>
              <w:t xml:space="preserve"> </w:t>
            </w:r>
            <w:r w:rsidRPr="008E77FE">
              <w:rPr>
                <w:rStyle w:val="NoteLabel"/>
              </w:rPr>
              <w:t>a</w:t>
            </w:r>
            <w:r>
              <w:t xml:space="preserve"> See footnote (a) in table 2.1. </w:t>
            </w:r>
            <w:r>
              <w:rPr>
                <w:rStyle w:val="NoteLabel"/>
              </w:rPr>
              <w:t>b</w:t>
            </w:r>
            <w:r>
              <w:t> Totals may not add due to rounding.</w:t>
            </w: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Source"/>
            </w:pPr>
            <w:r>
              <w:rPr>
                <w:i/>
              </w:rPr>
              <w:t>Source</w:t>
            </w:r>
            <w:r w:rsidRPr="00167F06">
              <w:t xml:space="preserve">: </w:t>
            </w:r>
            <w:r>
              <w:t>Commission estimates.</w:t>
            </w:r>
          </w:p>
        </w:tc>
      </w:tr>
      <w:tr w:rsidR="007544CA" w:rsidTr="00133508">
        <w:trPr>
          <w:cantSplit/>
        </w:trPr>
        <w:tc>
          <w:tcPr>
            <w:tcW w:w="8771" w:type="dxa"/>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BodyText"/>
      </w:pPr>
      <w:r>
        <w:lastRenderedPageBreak/>
        <w:t xml:space="preserve">All manufacturing industries are estimated to receive positive net tariff assistance, as the value of tariff assistance on outputs outweighs the cost impost of tariffs on inputs for each industry group (table 2.3, right hand column). </w:t>
      </w:r>
    </w:p>
    <w:p w:rsidR="007544CA" w:rsidRDefault="007544CA" w:rsidP="00133508">
      <w:pPr>
        <w:pStyle w:val="BodyText"/>
      </w:pPr>
      <w:r>
        <w:t xml:space="preserve">Outside the manufacturing sector, the </w:t>
      </w:r>
      <w:r w:rsidRPr="00856E6B">
        <w:rPr>
          <w:i/>
        </w:rPr>
        <w:t>Horticulture and fruit growing</w:t>
      </w:r>
      <w:r>
        <w:t xml:space="preserve"> and </w:t>
      </w:r>
      <w:r w:rsidRPr="00856E6B">
        <w:rPr>
          <w:i/>
        </w:rPr>
        <w:t>Forestry and logging</w:t>
      </w:r>
      <w:r>
        <w:t xml:space="preserve"> industries are also estimated to have received positive net tariff assistance in 2014</w:t>
      </w:r>
      <w:r>
        <w:noBreakHyphen/>
        <w:t>15. This reflects the incidence of a 5 per cent tariff on certain imports such as grapes and</w:t>
      </w:r>
      <w:r w:rsidRPr="00E93241">
        <w:t xml:space="preserve"> softwood </w:t>
      </w:r>
      <w:r>
        <w:t xml:space="preserve">conifers which affords protection to local producers of these import competing products. </w:t>
      </w:r>
    </w:p>
    <w:p w:rsidR="007544CA" w:rsidRDefault="007544CA" w:rsidP="00133508">
      <w:pPr>
        <w:pStyle w:val="BodyText"/>
      </w:pPr>
      <w:r>
        <w:t xml:space="preserve">The </w:t>
      </w:r>
      <w:r w:rsidRPr="00D804E5">
        <w:rPr>
          <w:i/>
        </w:rPr>
        <w:t>Mining</w:t>
      </w:r>
      <w:r>
        <w:t xml:space="preserve"> industry together with all of the services industries (and most primary production industries) incurred negative net tariff assistance in 2014</w:t>
      </w:r>
      <w:r>
        <w:noBreakHyphen/>
        <w:t xml:space="preserve">15. </w:t>
      </w:r>
    </w:p>
    <w:p w:rsidR="007544CA" w:rsidRDefault="00366344" w:rsidP="00133508">
      <w:pPr>
        <w:pStyle w:val="Heading2"/>
      </w:pPr>
      <w:r>
        <w:fldChar w:fldCharType="begin" w:fldLock="1"/>
      </w:r>
      <w:r>
        <w:instrText xml:space="preserve"> COMMENTS  \* MERGEFORMAT </w:instrText>
      </w:r>
      <w:r>
        <w:fldChar w:fldCharType="separate"/>
      </w:r>
      <w:r w:rsidR="007544CA">
        <w:t>2.</w:t>
      </w:r>
      <w:r>
        <w:fldChar w:fldCharType="end"/>
      </w:r>
      <w:r>
        <w:fldChar w:fldCharType="begin" w:fldLock="1"/>
      </w:r>
      <w:r>
        <w:instrText xml:space="preserve"> SEQ Heading2 </w:instrText>
      </w:r>
      <w:r>
        <w:fldChar w:fldCharType="separate"/>
      </w:r>
      <w:r w:rsidR="007544CA">
        <w:rPr>
          <w:noProof/>
        </w:rPr>
        <w:t>2</w:t>
      </w:r>
      <w:r>
        <w:rPr>
          <w:noProof/>
        </w:rPr>
        <w:fldChar w:fldCharType="end"/>
      </w:r>
      <w:r w:rsidR="007544CA">
        <w:tab/>
        <w:t>Australian Government budgetary assistance</w:t>
      </w:r>
    </w:p>
    <w:p w:rsidR="007544CA" w:rsidRDefault="007544CA" w:rsidP="00133508">
      <w:pPr>
        <w:pStyle w:val="BodyText"/>
      </w:pPr>
      <w:r w:rsidRPr="00DF7A28">
        <w:t>Budgetary assistance includes actual payments (outlays) and industry</w:t>
      </w:r>
      <w:r>
        <w:noBreakHyphen/>
        <w:t xml:space="preserve"> </w:t>
      </w:r>
      <w:r w:rsidRPr="00DF7A28">
        <w:t>and sector</w:t>
      </w:r>
      <w:r>
        <w:noBreakHyphen/>
      </w:r>
      <w:r w:rsidRPr="00DF7A28">
        <w:t>specific tax concessions that have industry policy objectives (figure</w:t>
      </w:r>
      <w:r>
        <w:t> 2.2</w:t>
      </w:r>
      <w:r w:rsidRPr="00DF7A28">
        <w:t xml:space="preserve">). Some measures provide </w:t>
      </w:r>
      <w:r>
        <w:t xml:space="preserve">financial </w:t>
      </w:r>
      <w:r w:rsidRPr="00DF7A28">
        <w:t xml:space="preserve">assistance directly to firms, such as the Automotive Transformation Scheme </w:t>
      </w:r>
      <w:r>
        <w:t>($269 million in 2014</w:t>
      </w:r>
      <w:r>
        <w:noBreakHyphen/>
        <w:t xml:space="preserve">15) </w:t>
      </w:r>
      <w:r w:rsidRPr="00DF7A28">
        <w:t>and taxation concessions on R&amp;D expenditures</w:t>
      </w:r>
      <w:r>
        <w:t xml:space="preserve"> ($1.9 billion in 2014</w:t>
      </w:r>
      <w:r>
        <w:noBreakHyphen/>
        <w:t>15)</w:t>
      </w:r>
      <w:r w:rsidRPr="00DF7A28">
        <w:t xml:space="preserve">, while other budgetary support measures deliver benefits indirectly to an industry via intermediate organisations such as the Rural Research and Development Corporations </w:t>
      </w:r>
      <w:r>
        <w:t>($244 million in 2014</w:t>
      </w:r>
      <w:r>
        <w:noBreakHyphen/>
        <w:t xml:space="preserve">15) </w:t>
      </w:r>
      <w:r w:rsidRPr="00DF7A28">
        <w:t>and the CSIRO</w:t>
      </w:r>
      <w:r>
        <w:t xml:space="preserve"> ($521 million in 2014</w:t>
      </w:r>
      <w:r>
        <w:noBreakHyphen/>
        <w:t>15)</w:t>
      </w:r>
      <w:r w:rsidRPr="00DF7A28">
        <w:t>.</w:t>
      </w:r>
      <w:r>
        <w:rPr>
          <w:rStyle w:val="FootnoteReference"/>
        </w:rPr>
        <w:footnoteReference w:id="4"/>
      </w:r>
      <w:r>
        <w:t xml:space="preserve"> </w:t>
      </w:r>
    </w:p>
    <w:p w:rsidR="007544CA" w:rsidRDefault="007544CA" w:rsidP="00133508">
      <w:pPr>
        <w:pStyle w:val="BodyText"/>
      </w:pPr>
      <w:r>
        <w:t>Th</w:t>
      </w:r>
      <w:r w:rsidRPr="00DF7A28">
        <w:t>e budgetary assistance estimates are derived primarily from actual expenditures shown in departmental and agency annual reports, and the Tax Expenditures Statement (TES)</w:t>
      </w:r>
      <w:r>
        <w:t xml:space="preserve"> complied by the Australian Treasury</w:t>
      </w:r>
      <w:r w:rsidRPr="00DF7A28">
        <w:t xml:space="preserve">. Industry and sectoral </w:t>
      </w:r>
      <w:proofErr w:type="spellStart"/>
      <w:r w:rsidRPr="00DF7A28">
        <w:t>disaggregations</w:t>
      </w:r>
      <w:proofErr w:type="spellEnd"/>
      <w:r w:rsidRPr="00DF7A28">
        <w:t xml:space="preserve"> are based primarily on supplementary information provided by relevant departments or agencies.</w:t>
      </w:r>
      <w:r>
        <w:rPr>
          <w:rStyle w:val="FootnoteReference"/>
        </w:rPr>
        <w:footnoteReference w:id="5"/>
      </w:r>
      <w:r>
        <w:t xml:space="preserve"> </w:t>
      </w:r>
    </w:p>
    <w:p w:rsidR="007544CA" w:rsidRDefault="007544CA" w:rsidP="00133508">
      <w:pPr>
        <w:pStyle w:val="Heading3"/>
      </w:pPr>
      <w:r>
        <w:t>Aggregate budgetary assistance</w:t>
      </w:r>
    </w:p>
    <w:p w:rsidR="007544CA" w:rsidRDefault="007544CA" w:rsidP="00133508">
      <w:pPr>
        <w:pStyle w:val="BodyText"/>
      </w:pPr>
      <w:r w:rsidRPr="00341689">
        <w:t>The estimated gross value of budgetary assistance to Australian industry was around $</w:t>
      </w:r>
      <w:r>
        <w:t>7.3 </w:t>
      </w:r>
      <w:r w:rsidRPr="00341689">
        <w:t>billion in 201</w:t>
      </w:r>
      <w:r>
        <w:t>4</w:t>
      </w:r>
      <w:r>
        <w:noBreakHyphen/>
        <w:t>15, about 7 per cent lower than</w:t>
      </w:r>
      <w:r w:rsidRPr="00341689">
        <w:t xml:space="preserve"> </w:t>
      </w:r>
      <w:r>
        <w:t xml:space="preserve">in </w:t>
      </w:r>
      <w:r w:rsidRPr="00341689">
        <w:t>201</w:t>
      </w:r>
      <w:r>
        <w:t>3</w:t>
      </w:r>
      <w:r>
        <w:noBreakHyphen/>
        <w:t xml:space="preserve">14 </w:t>
      </w:r>
      <w:r w:rsidRPr="00341689">
        <w:t>(figure</w:t>
      </w:r>
      <w:r>
        <w:t> 2.3</w:t>
      </w:r>
      <w:r w:rsidRPr="00341689">
        <w:t>)</w:t>
      </w:r>
      <w:r>
        <w:t>.</w:t>
      </w:r>
      <w:r>
        <w:rPr>
          <w:rStyle w:val="FootnoteReference"/>
        </w:rPr>
        <w:footnoteReference w:id="6"/>
      </w:r>
      <w:r w:rsidRPr="00341689">
        <w:t xml:space="preserve"> </w:t>
      </w:r>
      <w:r>
        <w:t xml:space="preserve">Since </w:t>
      </w:r>
      <w:r w:rsidRPr="00341689">
        <w:t>20</w:t>
      </w:r>
      <w:r>
        <w:t>09</w:t>
      </w:r>
      <w:r>
        <w:noBreakHyphen/>
        <w:t>10</w:t>
      </w:r>
      <w:r w:rsidRPr="00341689">
        <w:t xml:space="preserve"> </w:t>
      </w:r>
      <w:r>
        <w:t>there has been a net fall in the real level of assistance of over 30 </w:t>
      </w:r>
      <w:r w:rsidRPr="00341689">
        <w:t>per</w:t>
      </w:r>
      <w:r>
        <w:t> </w:t>
      </w:r>
      <w:r w:rsidRPr="00341689">
        <w:t>cent.</w:t>
      </w:r>
      <w:r>
        <w:t xml:space="preserve"> </w:t>
      </w:r>
    </w:p>
    <w:p w:rsidR="007544CA" w:rsidRDefault="007544CA" w:rsidP="0013350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Pr="00176D3F" w:rsidRDefault="007544CA" w:rsidP="00133508">
            <w:pPr>
              <w:pStyle w:val="FigureTitle"/>
              <w:rPr>
                <w:caps/>
              </w:rPr>
            </w:pPr>
            <w:r w:rsidRPr="00784A05">
              <w:rPr>
                <w:b w:val="0"/>
              </w:rPr>
              <w:t xml:space="preserve">Figure </w:t>
            </w:r>
            <w:r w:rsidRPr="00784A05">
              <w:rPr>
                <w:b w:val="0"/>
              </w:rPr>
              <w:fldChar w:fldCharType="begin" w:fldLock="1"/>
            </w:r>
            <w:r w:rsidRPr="00784A05">
              <w:rPr>
                <w:b w:val="0"/>
              </w:rPr>
              <w:instrText xml:space="preserve"> COMMENTS  \* MERGEFORMAT </w:instrText>
            </w:r>
            <w:r w:rsidRPr="00784A05">
              <w:rPr>
                <w:b w:val="0"/>
              </w:rPr>
              <w:fldChar w:fldCharType="separate"/>
            </w:r>
            <w:r>
              <w:rPr>
                <w:b w:val="0"/>
              </w:rPr>
              <w:t>2.</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2</w:t>
            </w:r>
            <w:r w:rsidRPr="00784A05">
              <w:rPr>
                <w:b w:val="0"/>
              </w:rPr>
              <w:fldChar w:fldCharType="end"/>
            </w:r>
            <w:r>
              <w:tab/>
            </w:r>
            <w:r w:rsidRPr="00DC297C">
              <w:t>Forms of budgetary assistance</w:t>
            </w:r>
          </w:p>
        </w:tc>
      </w:tr>
      <w:tr w:rsidR="007544CA" w:rsidTr="0013350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544CA" w:rsidTr="00133508">
              <w:trPr>
                <w:jc w:val="center"/>
              </w:trPr>
              <w:tc>
                <w:tcPr>
                  <w:tcW w:w="5000" w:type="pct"/>
                  <w:tcBorders>
                    <w:top w:val="nil"/>
                    <w:bottom w:val="nil"/>
                  </w:tcBorders>
                </w:tcPr>
                <w:p w:rsidR="007544CA" w:rsidRDefault="002F4E9A" w:rsidP="00133508">
                  <w:pPr>
                    <w:pStyle w:val="Figure"/>
                    <w:spacing w:before="0" w:after="60"/>
                  </w:pPr>
                  <w:r>
                    <w:rPr>
                      <w:noProof/>
                    </w:rPr>
                    <w:drawing>
                      <wp:inline distT="0" distB="0" distL="0" distR="0">
                        <wp:extent cx="5327015" cy="3387725"/>
                        <wp:effectExtent l="0" t="0" r="6985" b="0"/>
                        <wp:docPr id="18" name="Picture 18" descr="This figure is a diagram showing that budgetary assistance can first be divided into budgetary outlays and tax concessions. It then shows that the budgetary outlays can be further sub-divided into direct financial assistance (such as grants, loans and other) and indirect industry assistance (such as funding to organisations that perform services of benefit to industry, such as CSIRO, Rural Research and Development Corporations, and Austr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27015" cy="3387725"/>
                                </a:xfrm>
                                <a:prstGeom prst="rect">
                                  <a:avLst/>
                                </a:prstGeom>
                                <a:noFill/>
                                <a:ln>
                                  <a:noFill/>
                                </a:ln>
                              </pic:spPr>
                            </pic:pic>
                          </a:graphicData>
                        </a:graphic>
                      </wp:inline>
                    </w:drawing>
                  </w:r>
                </w:p>
              </w:tc>
            </w:tr>
          </w:tbl>
          <w:p w:rsidR="007544CA" w:rsidRDefault="007544CA" w:rsidP="00133508">
            <w:pPr>
              <w:pStyle w:val="Figure"/>
              <w:spacing w:before="0"/>
            </w:pPr>
          </w:p>
        </w:tc>
      </w:tr>
      <w:tr w:rsidR="007544CA" w:rsidTr="00133508">
        <w:tc>
          <w:tcPr>
            <w:tcW w:w="8771" w:type="dxa"/>
            <w:tcBorders>
              <w:top w:val="nil"/>
              <w:left w:val="nil"/>
              <w:bottom w:val="single" w:sz="6" w:space="0" w:color="78A22F"/>
              <w:right w:val="nil"/>
            </w:tcBorders>
            <w:shd w:val="clear" w:color="auto" w:fill="auto"/>
          </w:tcPr>
          <w:p w:rsidR="007544CA" w:rsidRDefault="007544CA" w:rsidP="00133508">
            <w:pPr>
              <w:pStyle w:val="Figurespace"/>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8"/>
      </w:tblGrid>
      <w:tr w:rsidR="007544CA" w:rsidTr="00133508">
        <w:tc>
          <w:tcPr>
            <w:tcW w:w="8788" w:type="dxa"/>
            <w:tcBorders>
              <w:top w:val="single" w:sz="6" w:space="0" w:color="78A22F"/>
              <w:left w:val="nil"/>
              <w:bottom w:val="nil"/>
              <w:right w:val="nil"/>
            </w:tcBorders>
            <w:shd w:val="clear" w:color="auto" w:fill="auto"/>
          </w:tcPr>
          <w:p w:rsidR="007544CA" w:rsidRDefault="007544CA" w:rsidP="00133508">
            <w:pPr>
              <w:pStyle w:val="FigureTitle"/>
            </w:pPr>
            <w:r w:rsidRPr="00784A05">
              <w:rPr>
                <w:b w:val="0"/>
              </w:rPr>
              <w:t xml:space="preserve">Figure </w:t>
            </w:r>
            <w:bookmarkStart w:id="6" w:name="OLE_LINK10"/>
            <w:r w:rsidRPr="00784A05">
              <w:rPr>
                <w:b w:val="0"/>
              </w:rPr>
              <w:fldChar w:fldCharType="begin" w:fldLock="1"/>
            </w:r>
            <w:r w:rsidRPr="00784A05">
              <w:rPr>
                <w:b w:val="0"/>
              </w:rPr>
              <w:instrText xml:space="preserve"> COMMENTS  \* MERGEFORMAT </w:instrText>
            </w:r>
            <w:r w:rsidRPr="00784A05">
              <w:rPr>
                <w:b w:val="0"/>
              </w:rPr>
              <w:fldChar w:fldCharType="separate"/>
            </w:r>
            <w:r>
              <w:rPr>
                <w:b w:val="0"/>
              </w:rPr>
              <w:t>2.</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3</w:t>
            </w:r>
            <w:r w:rsidRPr="00784A05">
              <w:rPr>
                <w:b w:val="0"/>
              </w:rPr>
              <w:fldChar w:fldCharType="end"/>
            </w:r>
            <w:bookmarkEnd w:id="6"/>
            <w:r>
              <w:tab/>
              <w:t>Budgetary assistance to industry, 2009</w:t>
            </w:r>
            <w:r>
              <w:noBreakHyphen/>
              <w:t>10 to 2014</w:t>
            </w:r>
            <w:r>
              <w:noBreakHyphen/>
              <w:t>15</w:t>
            </w:r>
          </w:p>
          <w:p w:rsidR="007544CA" w:rsidRPr="00176D3F" w:rsidRDefault="007544CA" w:rsidP="00133508">
            <w:pPr>
              <w:pStyle w:val="Subtitle"/>
            </w:pPr>
            <w:r>
              <w:t>$ billion (nominal)</w:t>
            </w:r>
          </w:p>
        </w:tc>
      </w:tr>
      <w:tr w:rsidR="007544CA" w:rsidTr="00133508">
        <w:tc>
          <w:tcPr>
            <w:tcW w:w="8788"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7544CA" w:rsidTr="00133508">
              <w:trPr>
                <w:jc w:val="center"/>
              </w:trPr>
              <w:tc>
                <w:tcPr>
                  <w:tcW w:w="8504" w:type="dxa"/>
                  <w:tcBorders>
                    <w:top w:val="nil"/>
                    <w:bottom w:val="nil"/>
                  </w:tcBorders>
                </w:tcPr>
                <w:p w:rsidR="007544CA" w:rsidRDefault="007544CA" w:rsidP="00133508">
                  <w:pPr>
                    <w:pStyle w:val="Figure"/>
                    <w:spacing w:before="60" w:after="60"/>
                  </w:pPr>
                  <w:r>
                    <w:rPr>
                      <w:noProof/>
                    </w:rPr>
                    <w:drawing>
                      <wp:inline distT="0" distB="0" distL="0" distR="0" wp14:anchorId="311604D5" wp14:editId="34C43C37">
                        <wp:extent cx="5400675" cy="2857500"/>
                        <wp:effectExtent l="0" t="0" r="9525" b="0"/>
                        <wp:docPr id="8" name="Picture 8" descr="More details can be found within the text immediately before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675" cy="2857500"/>
                                </a:xfrm>
                                <a:prstGeom prst="rect">
                                  <a:avLst/>
                                </a:prstGeom>
                                <a:noFill/>
                                <a:ln>
                                  <a:noFill/>
                                </a:ln>
                              </pic:spPr>
                            </pic:pic>
                          </a:graphicData>
                        </a:graphic>
                      </wp:inline>
                    </w:drawing>
                  </w:r>
                </w:p>
              </w:tc>
            </w:tr>
          </w:tbl>
          <w:p w:rsidR="007544CA" w:rsidRDefault="007544CA" w:rsidP="00133508">
            <w:pPr>
              <w:pStyle w:val="Figure"/>
            </w:pPr>
          </w:p>
        </w:tc>
      </w:tr>
      <w:tr w:rsidR="007544CA" w:rsidRPr="00176D3F" w:rsidTr="00133508">
        <w:tc>
          <w:tcPr>
            <w:tcW w:w="8788" w:type="dxa"/>
            <w:tcBorders>
              <w:top w:val="nil"/>
              <w:left w:val="nil"/>
              <w:bottom w:val="nil"/>
              <w:right w:val="nil"/>
            </w:tcBorders>
            <w:shd w:val="clear" w:color="auto" w:fill="auto"/>
          </w:tcPr>
          <w:p w:rsidR="007544CA" w:rsidRPr="00176D3F" w:rsidRDefault="007544CA" w:rsidP="00133508">
            <w:pPr>
              <w:pStyle w:val="Source"/>
            </w:pPr>
            <w:r>
              <w:rPr>
                <w:i/>
              </w:rPr>
              <w:t>S</w:t>
            </w:r>
            <w:r w:rsidRPr="00784A05">
              <w:rPr>
                <w:i/>
              </w:rPr>
              <w:t>ource</w:t>
            </w:r>
            <w:r>
              <w:rPr>
                <w:i/>
              </w:rPr>
              <w:t>s</w:t>
            </w:r>
            <w:r w:rsidRPr="00176D3F">
              <w:t xml:space="preserve">: </w:t>
            </w:r>
            <w:r>
              <w:t>Australian Government Budget and related papers (various years); departmental annual reports (various years); Australian Government (</w:t>
            </w:r>
            <w:proofErr w:type="spellStart"/>
            <w:r>
              <w:t>2015b</w:t>
            </w:r>
            <w:proofErr w:type="spellEnd"/>
            <w:r>
              <w:t xml:space="preserve">); Commission estimates. </w:t>
            </w:r>
          </w:p>
        </w:tc>
      </w:tr>
      <w:tr w:rsidR="007544CA" w:rsidTr="00133508">
        <w:tc>
          <w:tcPr>
            <w:tcW w:w="8788" w:type="dxa"/>
            <w:tcBorders>
              <w:top w:val="nil"/>
              <w:left w:val="nil"/>
              <w:bottom w:val="single" w:sz="6" w:space="0" w:color="78A22F"/>
              <w:right w:val="nil"/>
            </w:tcBorders>
            <w:shd w:val="clear" w:color="auto" w:fill="auto"/>
          </w:tcPr>
          <w:p w:rsidR="007544CA" w:rsidRDefault="007544CA" w:rsidP="00133508">
            <w:pPr>
              <w:pStyle w:val="Figurespace"/>
            </w:pPr>
          </w:p>
        </w:tc>
      </w:tr>
      <w:tr w:rsidR="007544CA" w:rsidRPr="000863A5" w:rsidTr="00133508">
        <w:tc>
          <w:tcPr>
            <w:tcW w:w="8788"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BodyText"/>
      </w:pPr>
      <w:r>
        <w:lastRenderedPageBreak/>
        <w:t>The main reasons for a fall in aggregate budgetary assistance from 2013</w:t>
      </w:r>
      <w:r>
        <w:noBreakHyphen/>
        <w:t>14 to 2014</w:t>
      </w:r>
      <w:r>
        <w:noBreakHyphen/>
        <w:t>15 are:</w:t>
      </w:r>
    </w:p>
    <w:p w:rsidR="007544CA" w:rsidRDefault="007544CA" w:rsidP="00133508">
      <w:pPr>
        <w:pStyle w:val="ListBullet"/>
      </w:pPr>
      <w:r>
        <w:t>a fall of around $400 million in assistance afforded by the Small Business Simplified Depreciation Rules scheme to enable small businesses to access concessional depreciation arrangements for business assets</w:t>
      </w:r>
      <w:r>
        <w:rPr>
          <w:rStyle w:val="FootnoteReference"/>
        </w:rPr>
        <w:footnoteReference w:id="7"/>
      </w:r>
    </w:p>
    <w:p w:rsidR="007544CA" w:rsidRDefault="007544CA" w:rsidP="00133508">
      <w:pPr>
        <w:pStyle w:val="ListBullet"/>
      </w:pPr>
      <w:r>
        <w:t xml:space="preserve">a fall of around $109 million in assistance provided through the </w:t>
      </w:r>
      <w:r w:rsidRPr="00597A74">
        <w:t xml:space="preserve">Australian screen production incentive </w:t>
      </w:r>
      <w:r>
        <w:t xml:space="preserve">reflecting the irregular nature of </w:t>
      </w:r>
      <w:r w:rsidRPr="00597A74">
        <w:t>claims</w:t>
      </w:r>
      <w:r>
        <w:t xml:space="preserve"> made under the scheme </w:t>
      </w:r>
    </w:p>
    <w:p w:rsidR="007544CA" w:rsidRDefault="007544CA" w:rsidP="00133508">
      <w:pPr>
        <w:pStyle w:val="ListBullet"/>
      </w:pPr>
      <w:r>
        <w:t>a fall of around $63 million in assistance afforded through the Automotive Transformation Scheme following the a</w:t>
      </w:r>
      <w:r w:rsidRPr="00597A74">
        <w:t xml:space="preserve">nnounced withdrawal of motor vehicle manufacturing </w:t>
      </w:r>
      <w:r>
        <w:t xml:space="preserve">in Australia. </w:t>
      </w:r>
    </w:p>
    <w:p w:rsidR="007544CA" w:rsidRDefault="007544CA" w:rsidP="00133508">
      <w:pPr>
        <w:pStyle w:val="BodyText"/>
      </w:pPr>
      <w:r>
        <w:t>Partially offsetting these falls were increases in budgetary assistance between 2013</w:t>
      </w:r>
      <w:r>
        <w:noBreakHyphen/>
        <w:t>14 to 2014</w:t>
      </w:r>
      <w:r>
        <w:noBreakHyphen/>
        <w:t xml:space="preserve">15, including: </w:t>
      </w:r>
    </w:p>
    <w:p w:rsidR="007544CA" w:rsidRPr="00E361C1" w:rsidRDefault="007544CA" w:rsidP="00133508">
      <w:pPr>
        <w:pStyle w:val="ListBullet"/>
      </w:pPr>
      <w:r>
        <w:t>an increase of around</w:t>
      </w:r>
      <w:r w:rsidRPr="00E361C1">
        <w:t xml:space="preserve"> $</w:t>
      </w:r>
      <w:r>
        <w:t>50</w:t>
      </w:r>
      <w:r w:rsidRPr="00E361C1">
        <w:t xml:space="preserve"> million in assistance afforded by the Small Business </w:t>
      </w:r>
      <w:r>
        <w:t>Capital Gains Tax 15</w:t>
      </w:r>
      <w:r>
        <w:noBreakHyphen/>
        <w:t xml:space="preserve">year asset exemption scheme </w:t>
      </w:r>
    </w:p>
    <w:p w:rsidR="007544CA" w:rsidRDefault="007544CA" w:rsidP="00133508">
      <w:pPr>
        <w:pStyle w:val="ListBullet"/>
      </w:pPr>
      <w:r>
        <w:t xml:space="preserve">an increase of $40 million in assistance afforded by the Concessional rate of industry withholding tax scheme </w:t>
      </w:r>
    </w:p>
    <w:p w:rsidR="007544CA" w:rsidRDefault="007544CA" w:rsidP="00133508">
      <w:pPr>
        <w:pStyle w:val="ListBullet"/>
      </w:pPr>
      <w:r>
        <w:t xml:space="preserve">an increase of around $34 million afforded through the Carbon Capture and Storage Flagships Program. </w:t>
      </w:r>
    </w:p>
    <w:p w:rsidR="007544CA" w:rsidRDefault="007544CA" w:rsidP="00133508">
      <w:pPr>
        <w:pStyle w:val="BodyText"/>
      </w:pPr>
      <w:r>
        <w:t>The estimated level and composition of budgetary assistance is also affected by program redesign. For example, the estimated assistance afforded by the R&amp;D Tax Incentive scheme increased by around $221 million from 2013</w:t>
      </w:r>
      <w:r>
        <w:noBreakHyphen/>
        <w:t>14 to 2014</w:t>
      </w:r>
      <w:r>
        <w:noBreakHyphen/>
        <w:t>15, although this was partly offset by a fall in assistance of around $140 million afforded by the previous R&amp;D Tax Concession schemes.</w:t>
      </w:r>
      <w:r w:rsidRPr="007362FD">
        <w:t xml:space="preserve"> </w:t>
      </w:r>
    </w:p>
    <w:p w:rsidR="007544CA" w:rsidRDefault="007544CA" w:rsidP="00133508">
      <w:pPr>
        <w:pStyle w:val="BodyText"/>
      </w:pPr>
      <w:r>
        <w:t>The main trend in budgetary assistance since 2009–2010 was a $2.5 billion decline from 2011</w:t>
      </w:r>
      <w:r>
        <w:noBreakHyphen/>
        <w:t>12 to 2012</w:t>
      </w:r>
      <w:r>
        <w:noBreakHyphen/>
        <w:t xml:space="preserve">13. The principal reductions related to the Energy Security Fund ($1 billion), </w:t>
      </w:r>
      <w:r w:rsidRPr="00804CA4">
        <w:t>Small Business and General Business Tax Break</w:t>
      </w:r>
      <w:r>
        <w:t xml:space="preserve"> ($470 million), Coal sector jobs package ($219 million), Steel transformation plan ($164 million), R&amp;D programs ($164 million), Farm management deposits scheme ($80 million), and the Green Car Innovation Fund ($78 million). </w:t>
      </w:r>
    </w:p>
    <w:p w:rsidR="007544CA" w:rsidRDefault="007544CA" w:rsidP="00133508">
      <w:pPr>
        <w:pStyle w:val="Heading3"/>
      </w:pPr>
      <w:r>
        <w:t>Sectoral and industry distribution</w:t>
      </w:r>
    </w:p>
    <w:p w:rsidR="007544CA" w:rsidRDefault="007544CA" w:rsidP="00133508">
      <w:pPr>
        <w:pStyle w:val="BodyText"/>
      </w:pPr>
      <w:r w:rsidRPr="00217C2B">
        <w:t xml:space="preserve">The Commission records the incidence of budgetary assistance by the initial benefiting industry. Estimates are presented for 34 industry groupings, while four ‘unallocated’ categories are used for programs </w:t>
      </w:r>
      <w:r>
        <w:t>where it has</w:t>
      </w:r>
      <w:r w:rsidRPr="00217C2B">
        <w:t xml:space="preserve"> not been possible to confidently identify the initial benefiting industry or sector</w:t>
      </w:r>
      <w:r>
        <w:t xml:space="preserve"> from available information</w:t>
      </w:r>
      <w:r w:rsidRPr="00217C2B">
        <w:t>.</w:t>
      </w:r>
      <w:r>
        <w:t xml:space="preserve"> An initial benefiting </w:t>
      </w:r>
      <w:r>
        <w:lastRenderedPageBreak/>
        <w:t>industry has been identified for just over 90 per cent of budgetary assistance, a share that has declined slightly since 2009</w:t>
      </w:r>
      <w:r>
        <w:noBreakHyphen/>
        <w:t>10.</w:t>
      </w:r>
    </w:p>
    <w:p w:rsidR="007544CA" w:rsidRPr="00BC6874" w:rsidRDefault="007544CA" w:rsidP="00133508">
      <w:pPr>
        <w:pStyle w:val="BodyText"/>
      </w:pPr>
      <w:r w:rsidRPr="00BC6874">
        <w:t>In 201</w:t>
      </w:r>
      <w:r>
        <w:t>4</w:t>
      </w:r>
      <w:r w:rsidRPr="00BC6874">
        <w:noBreakHyphen/>
        <w:t>1</w:t>
      </w:r>
      <w:r>
        <w:t xml:space="preserve">5 </w:t>
      </w:r>
      <w:r w:rsidRPr="00BC6874">
        <w:t xml:space="preserve">most budgetary assistance was afforded through </w:t>
      </w:r>
      <w:r w:rsidRPr="005C7B5D">
        <w:rPr>
          <w:i/>
        </w:rPr>
        <w:t>outlays</w:t>
      </w:r>
      <w:r w:rsidRPr="00BC6874">
        <w:t xml:space="preserve"> for the primary production</w:t>
      </w:r>
      <w:r>
        <w:t xml:space="preserve">, </w:t>
      </w:r>
      <w:r w:rsidRPr="00BC6874">
        <w:t>manufacturing</w:t>
      </w:r>
      <w:r>
        <w:t xml:space="preserve"> and services</w:t>
      </w:r>
      <w:r w:rsidRPr="00BC6874">
        <w:t xml:space="preserve"> sectors while for </w:t>
      </w:r>
      <w:r>
        <w:t>mining</w:t>
      </w:r>
      <w:r w:rsidRPr="00BC6874">
        <w:t xml:space="preserve">, the majority of budgetary assistance was provided through </w:t>
      </w:r>
      <w:r w:rsidRPr="00E26F86">
        <w:rPr>
          <w:i/>
        </w:rPr>
        <w:t>tax concessions</w:t>
      </w:r>
      <w:r w:rsidRPr="00BC6874">
        <w:t xml:space="preserve">. </w:t>
      </w:r>
    </w:p>
    <w:p w:rsidR="007544CA" w:rsidRDefault="007544CA" w:rsidP="00133508">
      <w:pPr>
        <w:pStyle w:val="BodyText"/>
      </w:pPr>
      <w:r>
        <w:t>In 2014</w:t>
      </w:r>
      <w:r>
        <w:noBreakHyphen/>
        <w:t>15, the services sector received around 47 per cent of estimated budgetary assistance (figure 2.4 top panel), much lower than the sector’s share of economy</w:t>
      </w:r>
      <w:r>
        <w:noBreakHyphen/>
        <w:t>wide value added (around 90 per cent) (figure 2.</w:t>
      </w:r>
      <w:r w:rsidR="00366344">
        <w:t>4</w:t>
      </w:r>
      <w:r>
        <w:t xml:space="preserve"> lower panel). In contrast, the manufacturing and primary production sectors, combined, received around 36 per cent of budgetary assistance while contributing around 9 per cent of economy</w:t>
      </w:r>
      <w:r>
        <w:noBreakHyphen/>
        <w:t>wide value</w:t>
      </w:r>
      <w:r>
        <w:noBreakHyphen/>
        <w:t>added.</w:t>
      </w:r>
    </w:p>
    <w:p w:rsidR="007544CA" w:rsidRDefault="007544CA" w:rsidP="00133508">
      <w:pPr>
        <w:pStyle w:val="BodyText"/>
      </w:pPr>
      <w:r>
        <w:t>The three industry groups receiving the largest levels of budgetary assistance accounted for over a third of estimated budgetary assistance to industry in 2014</w:t>
      </w:r>
      <w:r>
        <w:noBreakHyphen/>
        <w:t xml:space="preserve">15 (table 2.4). </w:t>
      </w:r>
    </w:p>
    <w:p w:rsidR="007544CA" w:rsidRDefault="007544CA" w:rsidP="00133508">
      <w:pPr>
        <w:pStyle w:val="ListBullet"/>
      </w:pPr>
      <w:r>
        <w:t xml:space="preserve">Budgetary assistance was highest for the </w:t>
      </w:r>
      <w:r w:rsidRPr="00EA7988">
        <w:rPr>
          <w:i/>
        </w:rPr>
        <w:t xml:space="preserve">Financial and insurance services </w:t>
      </w:r>
      <w:r>
        <w:t xml:space="preserve">industry ($1.2 billion) consisting mainly of </w:t>
      </w:r>
      <w:r w:rsidRPr="008951E2">
        <w:t xml:space="preserve">the </w:t>
      </w:r>
      <w:r w:rsidRPr="00BF6882">
        <w:t>Concessional Rate of Withholding Tax scheme and Offshore Banking Unit Tax Concession scheme</w:t>
      </w:r>
      <w:r>
        <w:t>.</w:t>
      </w:r>
    </w:p>
    <w:p w:rsidR="007544CA" w:rsidRDefault="007544CA" w:rsidP="00133508">
      <w:pPr>
        <w:pStyle w:val="ListBullet"/>
      </w:pPr>
      <w:r w:rsidRPr="00EA7988">
        <w:rPr>
          <w:i/>
        </w:rPr>
        <w:t>Property, professional and administrative services</w:t>
      </w:r>
      <w:r>
        <w:t xml:space="preserve"> was the next highest recipient ($720 million), including through </w:t>
      </w:r>
      <w:r w:rsidRPr="00E00806">
        <w:t>the R&amp;D Tax Incentive scheme</w:t>
      </w:r>
      <w:r w:rsidRPr="00744891">
        <w:t xml:space="preserve"> and </w:t>
      </w:r>
      <w:r w:rsidRPr="00E00806">
        <w:t xml:space="preserve">the </w:t>
      </w:r>
      <w:r w:rsidRPr="00BF6882">
        <w:t>Small Business Capital Gains Tax schemes</w:t>
      </w:r>
      <w:r>
        <w:t>.</w:t>
      </w:r>
    </w:p>
    <w:p w:rsidR="007544CA" w:rsidRPr="00EC5471" w:rsidRDefault="007544CA" w:rsidP="00133508">
      <w:pPr>
        <w:pStyle w:val="ListBullet"/>
      </w:pPr>
      <w:r>
        <w:rPr>
          <w:i/>
        </w:rPr>
        <w:t>Sheep, beef cattle and grain farming</w:t>
      </w:r>
      <w:r w:rsidRPr="00EC5471">
        <w:t xml:space="preserve"> accounted for $</w:t>
      </w:r>
      <w:r>
        <w:t>572</w:t>
      </w:r>
      <w:r w:rsidRPr="00EC5471">
        <w:t xml:space="preserve"> million, mainly in the form of </w:t>
      </w:r>
      <w:r>
        <w:t>the Farm Management Deposits scheme, rural R&amp;D support (through CSIRO and the Rural Research and Development Corporations), and income tax averaging provisions</w:t>
      </w:r>
      <w:r w:rsidRPr="00EC5471">
        <w:t xml:space="preserve">. </w:t>
      </w:r>
    </w:p>
    <w:p w:rsidR="007544CA" w:rsidRDefault="007544CA" w:rsidP="00133508">
      <w:pPr>
        <w:pStyle w:val="BodyText"/>
      </w:pPr>
      <w:r>
        <w:t xml:space="preserve">Although </w:t>
      </w:r>
      <w:r w:rsidRPr="00F121BB">
        <w:rPr>
          <w:i/>
        </w:rPr>
        <w:t>Motor vehicles and parts</w:t>
      </w:r>
      <w:r>
        <w:t xml:space="preserve"> received the fifth highest absolute level of support, accounting for $320 million in budgetary assistance in 2014</w:t>
      </w:r>
      <w:r>
        <w:noBreakHyphen/>
        <w:t xml:space="preserve">15, it has the highest effective rate of assistance (absolute assistance relative to (unassisted) value added) of all industry groups because of the relatively high level of assistance relative to the scale of operations. The announced withdrawal of motor vehicle manufacturing in Australia will result in a reduction in the level of assistance. </w:t>
      </w:r>
    </w:p>
    <w:p w:rsidR="007544CA" w:rsidRDefault="007544CA" w:rsidP="00133508">
      <w:pPr>
        <w:pStyle w:val="BodyText"/>
        <w:ind w:right="-57"/>
      </w:pPr>
      <w:r>
        <w:t xml:space="preserve">Budgetary assistance not assigned to an industry sector is reported in the </w:t>
      </w:r>
      <w:r w:rsidRPr="00F121BB">
        <w:rPr>
          <w:i/>
        </w:rPr>
        <w:t>Unallocated other</w:t>
      </w:r>
      <w:r>
        <w:t xml:space="preserve"> category. That assistance accounted for around 9 per cent of total estimated budgetary assistance in 2014</w:t>
      </w:r>
      <w:r>
        <w:noBreakHyphen/>
        <w:t>15. The small business capital gains tax concession schemes ($326 million), for which industry allocation data is currently not available through taxation statistics, accounts for around 50 per cent of the category. Other budgetary assistance not classified to industry included Australian Renewable Energy Agency (ARENA) grants, Austrade</w:t>
      </w:r>
      <w:r>
        <w:rPr>
          <w:rStyle w:val="FootnoteReference"/>
        </w:rPr>
        <w:footnoteReference w:id="8"/>
      </w:r>
      <w:r>
        <w:t xml:space="preserve"> and the TCF Corporate Wear Program.</w:t>
      </w:r>
      <w:r>
        <w:rPr>
          <w:rStyle w:val="FootnoteReference"/>
        </w:rPr>
        <w:footnoteReference w:id="9"/>
      </w:r>
    </w:p>
    <w:p w:rsidR="007544CA" w:rsidRDefault="007544CA" w:rsidP="0013350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Default="007544CA" w:rsidP="00133508">
            <w:pPr>
              <w:pStyle w:val="FigureTitle"/>
            </w:pPr>
            <w:r w:rsidRPr="00784A05">
              <w:rPr>
                <w:b w:val="0"/>
              </w:rPr>
              <w:t xml:space="preserve">Figure </w:t>
            </w:r>
            <w:bookmarkStart w:id="7" w:name="OLE_LINK11"/>
            <w:r w:rsidRPr="00784A05">
              <w:rPr>
                <w:b w:val="0"/>
              </w:rPr>
              <w:fldChar w:fldCharType="begin" w:fldLock="1"/>
            </w:r>
            <w:r w:rsidRPr="00784A05">
              <w:rPr>
                <w:b w:val="0"/>
              </w:rPr>
              <w:instrText xml:space="preserve"> COMMENTS  \* MERGEFORMAT </w:instrText>
            </w:r>
            <w:r w:rsidRPr="00784A05">
              <w:rPr>
                <w:b w:val="0"/>
              </w:rPr>
              <w:fldChar w:fldCharType="separate"/>
            </w:r>
            <w:r>
              <w:rPr>
                <w:b w:val="0"/>
              </w:rPr>
              <w:t>2.</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4</w:t>
            </w:r>
            <w:r w:rsidRPr="00784A05">
              <w:rPr>
                <w:b w:val="0"/>
              </w:rPr>
              <w:fldChar w:fldCharType="end"/>
            </w:r>
            <w:bookmarkEnd w:id="7"/>
            <w:r>
              <w:tab/>
              <w:t>Budgetary assistance and value</w:t>
            </w:r>
            <w:r>
              <w:noBreakHyphen/>
              <w:t>added shares by industry sector, 2009</w:t>
            </w:r>
            <w:r>
              <w:noBreakHyphen/>
              <w:t>10 to 2014</w:t>
            </w:r>
            <w:r>
              <w:noBreakHyphen/>
              <w:t>15</w:t>
            </w:r>
          </w:p>
          <w:p w:rsidR="007544CA" w:rsidRPr="00176D3F" w:rsidRDefault="007544CA" w:rsidP="00133508">
            <w:pPr>
              <w:pStyle w:val="Subtitle"/>
            </w:pPr>
            <w:r>
              <w:t>$ billion (nominal)</w:t>
            </w:r>
          </w:p>
        </w:tc>
      </w:tr>
      <w:tr w:rsidR="007544CA" w:rsidTr="0013350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544CA" w:rsidTr="00133508">
              <w:trPr>
                <w:jc w:val="center"/>
              </w:trPr>
              <w:tc>
                <w:tcPr>
                  <w:tcW w:w="5000" w:type="pct"/>
                  <w:tcBorders>
                    <w:top w:val="nil"/>
                    <w:bottom w:val="nil"/>
                  </w:tcBorders>
                </w:tcPr>
                <w:p w:rsidR="007544CA" w:rsidRPr="002A251B" w:rsidRDefault="007544CA" w:rsidP="00133508">
                  <w:pPr>
                    <w:pStyle w:val="TableColumnHeading"/>
                    <w:jc w:val="center"/>
                    <w:rPr>
                      <w:b/>
                    </w:rPr>
                  </w:pPr>
                  <w:r w:rsidRPr="002A251B">
                    <w:rPr>
                      <w:b/>
                    </w:rPr>
                    <w:t>Budgetary assistance</w:t>
                  </w:r>
                </w:p>
              </w:tc>
            </w:tr>
            <w:tr w:rsidR="007544CA" w:rsidTr="00133508">
              <w:tblPrEx>
                <w:tblCellMar>
                  <w:left w:w="108" w:type="dxa"/>
                  <w:right w:w="108" w:type="dxa"/>
                </w:tblCellMar>
              </w:tblPrEx>
              <w:trPr>
                <w:jc w:val="center"/>
              </w:trPr>
              <w:tc>
                <w:tcPr>
                  <w:tcW w:w="5000" w:type="pct"/>
                  <w:tcBorders>
                    <w:top w:val="nil"/>
                    <w:bottom w:val="nil"/>
                  </w:tcBorders>
                </w:tcPr>
                <w:p w:rsidR="007544CA" w:rsidRDefault="007544CA" w:rsidP="00133508">
                  <w:pPr>
                    <w:pStyle w:val="Figure"/>
                    <w:spacing w:before="60" w:after="60"/>
                  </w:pPr>
                  <w:r>
                    <w:rPr>
                      <w:noProof/>
                    </w:rPr>
                    <w:drawing>
                      <wp:inline distT="0" distB="0" distL="0" distR="0" wp14:anchorId="78E5643F" wp14:editId="1343C41E">
                        <wp:extent cx="5381625" cy="2867025"/>
                        <wp:effectExtent l="0" t="0" r="9525" b="9525"/>
                        <wp:docPr id="10" name="Picture 10" descr="More details can be found within the text immediately before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81625" cy="2867025"/>
                                </a:xfrm>
                                <a:prstGeom prst="rect">
                                  <a:avLst/>
                                </a:prstGeom>
                                <a:noFill/>
                                <a:ln>
                                  <a:noFill/>
                                </a:ln>
                              </pic:spPr>
                            </pic:pic>
                          </a:graphicData>
                        </a:graphic>
                      </wp:inline>
                    </w:drawing>
                  </w:r>
                </w:p>
              </w:tc>
            </w:tr>
            <w:tr w:rsidR="007544CA" w:rsidTr="00133508">
              <w:trPr>
                <w:jc w:val="center"/>
              </w:trPr>
              <w:tc>
                <w:tcPr>
                  <w:tcW w:w="5000" w:type="pct"/>
                  <w:tcBorders>
                    <w:top w:val="nil"/>
                    <w:bottom w:val="nil"/>
                  </w:tcBorders>
                </w:tcPr>
                <w:p w:rsidR="007544CA" w:rsidRPr="00E86BBD" w:rsidRDefault="007544CA" w:rsidP="00133508">
                  <w:pPr>
                    <w:pStyle w:val="TableColumnHeading"/>
                    <w:jc w:val="center"/>
                    <w:rPr>
                      <w:rFonts w:cs="Arial"/>
                      <w:i w:val="0"/>
                      <w:sz w:val="20"/>
                    </w:rPr>
                  </w:pPr>
                  <w:r w:rsidRPr="002A251B">
                    <w:rPr>
                      <w:b/>
                    </w:rPr>
                    <w:t>Industry value</w:t>
                  </w:r>
                  <w:r>
                    <w:rPr>
                      <w:b/>
                    </w:rPr>
                    <w:noBreakHyphen/>
                  </w:r>
                  <w:r w:rsidRPr="002A251B">
                    <w:rPr>
                      <w:b/>
                    </w:rPr>
                    <w:t>added</w:t>
                  </w:r>
                </w:p>
              </w:tc>
            </w:tr>
            <w:tr w:rsidR="007544CA" w:rsidTr="00133508">
              <w:tblPrEx>
                <w:tblCellMar>
                  <w:left w:w="108" w:type="dxa"/>
                  <w:right w:w="108" w:type="dxa"/>
                </w:tblCellMar>
              </w:tblPrEx>
              <w:trPr>
                <w:jc w:val="center"/>
              </w:trPr>
              <w:tc>
                <w:tcPr>
                  <w:tcW w:w="5000" w:type="pct"/>
                  <w:tcBorders>
                    <w:top w:val="nil"/>
                    <w:bottom w:val="nil"/>
                  </w:tcBorders>
                </w:tcPr>
                <w:p w:rsidR="007544CA" w:rsidRDefault="007544CA" w:rsidP="00133508">
                  <w:pPr>
                    <w:pStyle w:val="Figure"/>
                    <w:spacing w:before="60" w:after="60"/>
                  </w:pPr>
                  <w:r>
                    <w:rPr>
                      <w:noProof/>
                    </w:rPr>
                    <w:drawing>
                      <wp:inline distT="0" distB="0" distL="0" distR="0" wp14:anchorId="29C776B6" wp14:editId="6421E65A">
                        <wp:extent cx="5362575" cy="2828925"/>
                        <wp:effectExtent l="0" t="0" r="9525" b="9525"/>
                        <wp:docPr id="11" name="Picture 11" descr="More details can be found within the text immediately before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62575" cy="2828925"/>
                                </a:xfrm>
                                <a:prstGeom prst="rect">
                                  <a:avLst/>
                                </a:prstGeom>
                                <a:noFill/>
                                <a:ln>
                                  <a:noFill/>
                                </a:ln>
                              </pic:spPr>
                            </pic:pic>
                          </a:graphicData>
                        </a:graphic>
                      </wp:inline>
                    </w:drawing>
                  </w:r>
                </w:p>
              </w:tc>
            </w:tr>
          </w:tbl>
          <w:p w:rsidR="007544CA" w:rsidRDefault="007544CA" w:rsidP="00133508">
            <w:pPr>
              <w:pStyle w:val="Figure"/>
            </w:pPr>
          </w:p>
        </w:tc>
      </w:tr>
      <w:tr w:rsidR="007544CA" w:rsidRPr="00176D3F" w:rsidTr="00133508">
        <w:tc>
          <w:tcPr>
            <w:tcW w:w="8771" w:type="dxa"/>
            <w:tcBorders>
              <w:top w:val="nil"/>
              <w:left w:val="nil"/>
              <w:bottom w:val="nil"/>
              <w:right w:val="nil"/>
            </w:tcBorders>
            <w:shd w:val="clear" w:color="auto" w:fill="auto"/>
          </w:tcPr>
          <w:p w:rsidR="007544CA" w:rsidRPr="00176D3F" w:rsidRDefault="007544CA" w:rsidP="00133508">
            <w:pPr>
              <w:pStyle w:val="Source"/>
            </w:pPr>
            <w:r>
              <w:rPr>
                <w:i/>
              </w:rPr>
              <w:t>S</w:t>
            </w:r>
            <w:r w:rsidRPr="00784A05">
              <w:rPr>
                <w:i/>
              </w:rPr>
              <w:t>ource</w:t>
            </w:r>
            <w:r w:rsidRPr="00176D3F">
              <w:t xml:space="preserve">: </w:t>
            </w:r>
            <w:r>
              <w:t xml:space="preserve">ABS (2015), Commission estimates. </w:t>
            </w:r>
          </w:p>
        </w:tc>
      </w:tr>
      <w:tr w:rsidR="007544CA" w:rsidTr="00133508">
        <w:tc>
          <w:tcPr>
            <w:tcW w:w="8771" w:type="dxa"/>
            <w:tcBorders>
              <w:top w:val="nil"/>
              <w:left w:val="nil"/>
              <w:bottom w:val="single" w:sz="6" w:space="0" w:color="78A22F"/>
              <w:right w:val="nil"/>
            </w:tcBorders>
            <w:shd w:val="clear" w:color="auto" w:fill="auto"/>
          </w:tcPr>
          <w:p w:rsidR="007544CA" w:rsidRDefault="007544CA" w:rsidP="00133508">
            <w:pPr>
              <w:pStyle w:val="Figurespace"/>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r w:rsidR="007544CA" w:rsidTr="00133508">
        <w:tblPrEx>
          <w:tblBorders>
            <w:top w:val="single" w:sz="6" w:space="0" w:color="auto"/>
            <w:left w:val="single" w:sz="6" w:space="0" w:color="auto"/>
            <w:bottom w:val="single" w:sz="6" w:space="0" w:color="auto"/>
            <w:right w:val="single" w:sz="6" w:space="0" w:color="auto"/>
          </w:tblBorders>
        </w:tblPrEx>
        <w:tc>
          <w:tcPr>
            <w:tcW w:w="8771" w:type="dxa"/>
            <w:tcBorders>
              <w:top w:val="single" w:sz="6" w:space="0" w:color="78A22F"/>
              <w:left w:val="nil"/>
              <w:bottom w:val="nil"/>
              <w:right w:val="nil"/>
            </w:tcBorders>
            <w:shd w:val="clear" w:color="auto" w:fill="auto"/>
          </w:tcPr>
          <w:p w:rsidR="007544CA" w:rsidRDefault="007544CA" w:rsidP="00133508">
            <w:pPr>
              <w:pStyle w:val="TableTitle"/>
              <w:spacing w:after="60"/>
            </w:pPr>
            <w:r>
              <w:rPr>
                <w:b w:val="0"/>
              </w:rPr>
              <w:lastRenderedPageBreak/>
              <w:t xml:space="preserve">Table </w:t>
            </w:r>
            <w:bookmarkStart w:id="8" w:name="OLE_LINK12"/>
            <w:r>
              <w:rPr>
                <w:b w:val="0"/>
              </w:rPr>
              <w:fldChar w:fldCharType="begin" w:fldLock="1"/>
            </w:r>
            <w:r>
              <w:rPr>
                <w:b w:val="0"/>
              </w:rPr>
              <w:instrText xml:space="preserve"> COMMENTS  \* MERGEFORMAT </w:instrText>
            </w:r>
            <w:r>
              <w:rPr>
                <w:b w:val="0"/>
              </w:rPr>
              <w:fldChar w:fldCharType="separate"/>
            </w:r>
            <w:r>
              <w:rPr>
                <w:b w:val="0"/>
              </w:rPr>
              <w:t>2.</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4</w:t>
            </w:r>
            <w:r>
              <w:rPr>
                <w:b w:val="0"/>
              </w:rPr>
              <w:fldChar w:fldCharType="end"/>
            </w:r>
            <w:bookmarkEnd w:id="8"/>
            <w:r>
              <w:tab/>
              <w:t>Budgetary assistance by industry grouping, 2014</w:t>
            </w:r>
            <w:r>
              <w:noBreakHyphen/>
              <w:t>15</w:t>
            </w:r>
          </w:p>
          <w:p w:rsidR="007544CA" w:rsidRPr="00784A05" w:rsidRDefault="007544CA" w:rsidP="00133508">
            <w:pPr>
              <w:pStyle w:val="Subtitle"/>
              <w:spacing w:after="60"/>
            </w:pPr>
            <w:r>
              <w:t>$ million (nominal)</w:t>
            </w:r>
          </w:p>
        </w:tc>
      </w:tr>
      <w:tr w:rsidR="007544CA" w:rsidTr="00133508">
        <w:tblPrEx>
          <w:tblBorders>
            <w:top w:val="single" w:sz="6" w:space="0" w:color="auto"/>
            <w:left w:val="single" w:sz="6" w:space="0" w:color="auto"/>
            <w:bottom w:val="single" w:sz="6" w:space="0" w:color="auto"/>
            <w:right w:val="single" w:sz="6" w:space="0" w:color="auto"/>
          </w:tblBorders>
        </w:tblPrEx>
        <w:trPr>
          <w:cantSplit/>
        </w:trPr>
        <w:tc>
          <w:tcPr>
            <w:tcW w:w="8771" w:type="dxa"/>
            <w:tcBorders>
              <w:top w:val="nil"/>
              <w:left w:val="nil"/>
              <w:bottom w:val="nil"/>
              <w:right w:val="nil"/>
            </w:tcBorders>
            <w:shd w:val="clear" w:color="auto" w:fill="auto"/>
          </w:tcPr>
          <w:tbl>
            <w:tblPr>
              <w:tblW w:w="8487" w:type="dxa"/>
              <w:tblLayout w:type="fixed"/>
              <w:tblCellMar>
                <w:top w:w="28" w:type="dxa"/>
                <w:left w:w="0" w:type="dxa"/>
                <w:right w:w="0" w:type="dxa"/>
              </w:tblCellMar>
              <w:tblLook w:val="0000" w:firstRow="0" w:lastRow="0" w:firstColumn="0" w:lastColumn="0" w:noHBand="0" w:noVBand="0"/>
            </w:tblPr>
            <w:tblGrid>
              <w:gridCol w:w="4239"/>
              <w:gridCol w:w="1416"/>
              <w:gridCol w:w="1416"/>
              <w:gridCol w:w="1416"/>
            </w:tblGrid>
            <w:tr w:rsidR="007544CA" w:rsidTr="00133508">
              <w:tc>
                <w:tcPr>
                  <w:tcW w:w="2497" w:type="pct"/>
                  <w:tcBorders>
                    <w:top w:val="single" w:sz="6" w:space="0" w:color="BFBFBF"/>
                    <w:bottom w:val="single" w:sz="6" w:space="0" w:color="BFBFBF"/>
                  </w:tcBorders>
                  <w:shd w:val="clear" w:color="auto" w:fill="auto"/>
                  <w:tcMar>
                    <w:top w:w="28" w:type="dxa"/>
                  </w:tcMar>
                </w:tcPr>
                <w:p w:rsidR="007544CA" w:rsidRDefault="007544CA" w:rsidP="00133508">
                  <w:pPr>
                    <w:pStyle w:val="TableColumnHeading"/>
                    <w:spacing w:before="40" w:after="40"/>
                    <w:jc w:val="left"/>
                  </w:pPr>
                </w:p>
              </w:tc>
              <w:tc>
                <w:tcPr>
                  <w:tcW w:w="834" w:type="pct"/>
                  <w:tcBorders>
                    <w:top w:val="single" w:sz="6" w:space="0" w:color="BFBFBF"/>
                    <w:bottom w:val="single" w:sz="6" w:space="0" w:color="BFBFBF"/>
                  </w:tcBorders>
                  <w:vAlign w:val="bottom"/>
                </w:tcPr>
                <w:p w:rsidR="007544CA" w:rsidRDefault="007544CA" w:rsidP="00133508">
                  <w:pPr>
                    <w:pStyle w:val="TableColumnHeading"/>
                    <w:spacing w:before="40" w:after="40"/>
                    <w:ind w:left="0"/>
                  </w:pPr>
                  <w:r>
                    <w:t>Outlays</w:t>
                  </w:r>
                </w:p>
              </w:tc>
              <w:tc>
                <w:tcPr>
                  <w:tcW w:w="834" w:type="pct"/>
                  <w:tcBorders>
                    <w:top w:val="single" w:sz="6" w:space="0" w:color="BFBFBF"/>
                    <w:bottom w:val="single" w:sz="6" w:space="0" w:color="BFBFBF"/>
                  </w:tcBorders>
                  <w:shd w:val="clear" w:color="auto" w:fill="auto"/>
                  <w:tcMar>
                    <w:top w:w="28" w:type="dxa"/>
                  </w:tcMar>
                  <w:vAlign w:val="bottom"/>
                </w:tcPr>
                <w:p w:rsidR="007544CA" w:rsidRDefault="007544CA" w:rsidP="00133508">
                  <w:pPr>
                    <w:pStyle w:val="TableColumnHeading"/>
                    <w:spacing w:before="40" w:after="40"/>
                    <w:ind w:left="0"/>
                  </w:pPr>
                  <w:r>
                    <w:t>Tax concessions</w:t>
                  </w:r>
                </w:p>
              </w:tc>
              <w:tc>
                <w:tcPr>
                  <w:tcW w:w="834" w:type="pct"/>
                  <w:tcBorders>
                    <w:top w:val="single" w:sz="6" w:space="0" w:color="BFBFBF"/>
                    <w:bottom w:val="single" w:sz="6" w:space="0" w:color="BFBFBF"/>
                  </w:tcBorders>
                  <w:shd w:val="clear" w:color="auto" w:fill="auto"/>
                  <w:tcMar>
                    <w:top w:w="28" w:type="dxa"/>
                  </w:tcMar>
                  <w:vAlign w:val="bottom"/>
                </w:tcPr>
                <w:p w:rsidR="007544CA" w:rsidRDefault="007544CA" w:rsidP="00133508">
                  <w:pPr>
                    <w:pStyle w:val="TableColumnHeading"/>
                    <w:spacing w:before="40" w:after="40"/>
                    <w:ind w:left="0"/>
                  </w:pPr>
                  <w:r>
                    <w:t>Total budgetary assistance</w:t>
                  </w:r>
                </w:p>
              </w:tc>
            </w:tr>
            <w:tr w:rsidR="007544CA" w:rsidRPr="00834DF3" w:rsidTr="00133508">
              <w:tc>
                <w:tcPr>
                  <w:tcW w:w="2497" w:type="pct"/>
                </w:tcPr>
                <w:p w:rsidR="007544CA" w:rsidRPr="00834DF3" w:rsidRDefault="007544CA" w:rsidP="0096472F">
                  <w:pPr>
                    <w:pStyle w:val="TableBodyText"/>
                    <w:spacing w:before="80" w:after="30"/>
                    <w:jc w:val="left"/>
                    <w:rPr>
                      <w:b/>
                    </w:rPr>
                  </w:pPr>
                  <w:r w:rsidRPr="00834DF3">
                    <w:rPr>
                      <w:b/>
                    </w:rPr>
                    <w:t>Primary production</w:t>
                  </w:r>
                </w:p>
              </w:tc>
              <w:tc>
                <w:tcPr>
                  <w:tcW w:w="834" w:type="pct"/>
                  <w:vAlign w:val="center"/>
                </w:tcPr>
                <w:p w:rsidR="007544CA" w:rsidRPr="00834DF3" w:rsidRDefault="007544CA" w:rsidP="0096472F">
                  <w:pPr>
                    <w:pStyle w:val="TableBodyText"/>
                    <w:spacing w:before="80" w:after="30"/>
                    <w:rPr>
                      <w:b/>
                    </w:rPr>
                  </w:pPr>
                  <w:r w:rsidRPr="00834DF3">
                    <w:rPr>
                      <w:b/>
                    </w:rPr>
                    <w:t>746.9</w:t>
                  </w:r>
                </w:p>
              </w:tc>
              <w:tc>
                <w:tcPr>
                  <w:tcW w:w="834" w:type="pct"/>
                  <w:vAlign w:val="center"/>
                </w:tcPr>
                <w:p w:rsidR="007544CA" w:rsidRPr="00834DF3" w:rsidRDefault="007544CA" w:rsidP="0096472F">
                  <w:pPr>
                    <w:pStyle w:val="TableBodyText"/>
                    <w:spacing w:before="80" w:after="30"/>
                    <w:rPr>
                      <w:b/>
                    </w:rPr>
                  </w:pPr>
                  <w:r w:rsidRPr="00834DF3">
                    <w:rPr>
                      <w:b/>
                    </w:rPr>
                    <w:t>450.8</w:t>
                  </w:r>
                </w:p>
              </w:tc>
              <w:tc>
                <w:tcPr>
                  <w:tcW w:w="834" w:type="pct"/>
                  <w:vAlign w:val="center"/>
                </w:tcPr>
                <w:p w:rsidR="007544CA" w:rsidRPr="00834DF3" w:rsidRDefault="007544CA" w:rsidP="0096472F">
                  <w:pPr>
                    <w:pStyle w:val="TableBodyText"/>
                    <w:spacing w:before="80" w:after="30"/>
                    <w:rPr>
                      <w:b/>
                    </w:rPr>
                  </w:pPr>
                  <w:r w:rsidRPr="00834DF3">
                    <w:rPr>
                      <w:b/>
                    </w:rPr>
                    <w:t>1</w:t>
                  </w:r>
                  <w:r>
                    <w:rPr>
                      <w:b/>
                    </w:rPr>
                    <w:t> </w:t>
                  </w:r>
                  <w:r w:rsidRPr="00834DF3">
                    <w:rPr>
                      <w:b/>
                    </w:rPr>
                    <w:t>197.7</w:t>
                  </w:r>
                </w:p>
              </w:tc>
            </w:tr>
            <w:tr w:rsidR="007544CA" w:rsidTr="00133508">
              <w:tc>
                <w:tcPr>
                  <w:tcW w:w="2497" w:type="pct"/>
                </w:tcPr>
                <w:p w:rsidR="007544CA" w:rsidRPr="00284C93" w:rsidRDefault="007544CA" w:rsidP="00133508">
                  <w:pPr>
                    <w:pStyle w:val="TableBodyText"/>
                    <w:spacing w:after="20"/>
                    <w:jc w:val="left"/>
                  </w:pPr>
                  <w:r w:rsidRPr="00284C93">
                    <w:t>Horticulture and fruit growing</w:t>
                  </w:r>
                </w:p>
              </w:tc>
              <w:tc>
                <w:tcPr>
                  <w:tcW w:w="834" w:type="pct"/>
                  <w:vAlign w:val="center"/>
                </w:tcPr>
                <w:p w:rsidR="007544CA" w:rsidRDefault="007544CA" w:rsidP="00133508">
                  <w:pPr>
                    <w:pStyle w:val="TableBodyText"/>
                    <w:spacing w:after="20"/>
                  </w:pPr>
                  <w:r>
                    <w:t>65.2</w:t>
                  </w:r>
                </w:p>
              </w:tc>
              <w:tc>
                <w:tcPr>
                  <w:tcW w:w="834" w:type="pct"/>
                  <w:vAlign w:val="center"/>
                </w:tcPr>
                <w:p w:rsidR="007544CA" w:rsidRDefault="007544CA" w:rsidP="00133508">
                  <w:pPr>
                    <w:pStyle w:val="TableBodyText"/>
                    <w:spacing w:after="20"/>
                  </w:pPr>
                  <w:r>
                    <w:t>44.6</w:t>
                  </w:r>
                </w:p>
              </w:tc>
              <w:tc>
                <w:tcPr>
                  <w:tcW w:w="834" w:type="pct"/>
                  <w:vAlign w:val="center"/>
                </w:tcPr>
                <w:p w:rsidR="007544CA" w:rsidRDefault="007544CA" w:rsidP="00133508">
                  <w:pPr>
                    <w:pStyle w:val="TableBodyText"/>
                    <w:spacing w:after="20"/>
                  </w:pPr>
                  <w:r>
                    <w:t>109.8</w:t>
                  </w:r>
                </w:p>
              </w:tc>
            </w:tr>
            <w:tr w:rsidR="007544CA" w:rsidTr="00133508">
              <w:tc>
                <w:tcPr>
                  <w:tcW w:w="2497" w:type="pct"/>
                </w:tcPr>
                <w:p w:rsidR="007544CA" w:rsidRPr="00284C93" w:rsidRDefault="007544CA" w:rsidP="00133508">
                  <w:pPr>
                    <w:pStyle w:val="TableBodyText"/>
                    <w:spacing w:after="20"/>
                    <w:jc w:val="left"/>
                  </w:pPr>
                  <w:r w:rsidRPr="00284C93">
                    <w:t>Sheep, beef cattle and grain farming</w:t>
                  </w:r>
                </w:p>
              </w:tc>
              <w:tc>
                <w:tcPr>
                  <w:tcW w:w="834" w:type="pct"/>
                  <w:vAlign w:val="center"/>
                </w:tcPr>
                <w:p w:rsidR="007544CA" w:rsidRDefault="007544CA" w:rsidP="00133508">
                  <w:pPr>
                    <w:pStyle w:val="TableBodyText"/>
                    <w:spacing w:after="20"/>
                  </w:pPr>
                  <w:r>
                    <w:t>277.6</w:t>
                  </w:r>
                </w:p>
              </w:tc>
              <w:tc>
                <w:tcPr>
                  <w:tcW w:w="834" w:type="pct"/>
                  <w:vAlign w:val="center"/>
                </w:tcPr>
                <w:p w:rsidR="007544CA" w:rsidRDefault="007544CA" w:rsidP="00133508">
                  <w:pPr>
                    <w:pStyle w:val="TableBodyText"/>
                    <w:spacing w:after="20"/>
                  </w:pPr>
                  <w:r>
                    <w:t>294.7</w:t>
                  </w:r>
                </w:p>
              </w:tc>
              <w:tc>
                <w:tcPr>
                  <w:tcW w:w="834" w:type="pct"/>
                  <w:vAlign w:val="center"/>
                </w:tcPr>
                <w:p w:rsidR="007544CA" w:rsidRDefault="007544CA" w:rsidP="00133508">
                  <w:pPr>
                    <w:pStyle w:val="TableBodyText"/>
                    <w:spacing w:after="20"/>
                  </w:pPr>
                  <w:r>
                    <w:t>572.4</w:t>
                  </w:r>
                </w:p>
              </w:tc>
            </w:tr>
            <w:tr w:rsidR="007544CA" w:rsidTr="00133508">
              <w:tc>
                <w:tcPr>
                  <w:tcW w:w="2497" w:type="pct"/>
                </w:tcPr>
                <w:p w:rsidR="007544CA" w:rsidRPr="00284C93" w:rsidRDefault="007544CA" w:rsidP="00133508">
                  <w:pPr>
                    <w:pStyle w:val="TableBodyText"/>
                    <w:spacing w:after="20"/>
                    <w:jc w:val="left"/>
                  </w:pPr>
                  <w:r w:rsidRPr="00284C93">
                    <w:t>Other crop growing</w:t>
                  </w:r>
                </w:p>
              </w:tc>
              <w:tc>
                <w:tcPr>
                  <w:tcW w:w="834" w:type="pct"/>
                  <w:vAlign w:val="center"/>
                </w:tcPr>
                <w:p w:rsidR="007544CA" w:rsidRDefault="007544CA" w:rsidP="00133508">
                  <w:pPr>
                    <w:pStyle w:val="TableBodyText"/>
                    <w:spacing w:after="20"/>
                  </w:pPr>
                  <w:r>
                    <w:t>51.7</w:t>
                  </w:r>
                </w:p>
              </w:tc>
              <w:tc>
                <w:tcPr>
                  <w:tcW w:w="834" w:type="pct"/>
                  <w:vAlign w:val="center"/>
                </w:tcPr>
                <w:p w:rsidR="007544CA" w:rsidRDefault="007544CA" w:rsidP="00133508">
                  <w:pPr>
                    <w:pStyle w:val="TableBodyText"/>
                    <w:spacing w:after="20"/>
                  </w:pPr>
                  <w:r>
                    <w:t>22.0</w:t>
                  </w:r>
                </w:p>
              </w:tc>
              <w:tc>
                <w:tcPr>
                  <w:tcW w:w="834" w:type="pct"/>
                  <w:vAlign w:val="center"/>
                </w:tcPr>
                <w:p w:rsidR="007544CA" w:rsidRDefault="007544CA" w:rsidP="00133508">
                  <w:pPr>
                    <w:pStyle w:val="TableBodyText"/>
                    <w:spacing w:after="20"/>
                  </w:pPr>
                  <w:r>
                    <w:t>73.8</w:t>
                  </w:r>
                </w:p>
              </w:tc>
            </w:tr>
            <w:tr w:rsidR="007544CA" w:rsidTr="00133508">
              <w:tc>
                <w:tcPr>
                  <w:tcW w:w="2497" w:type="pct"/>
                </w:tcPr>
                <w:p w:rsidR="007544CA" w:rsidRPr="00284C93" w:rsidRDefault="007544CA" w:rsidP="00133508">
                  <w:pPr>
                    <w:pStyle w:val="TableBodyText"/>
                    <w:spacing w:after="20"/>
                    <w:jc w:val="left"/>
                  </w:pPr>
                  <w:r w:rsidRPr="00284C93">
                    <w:t>Dairy cattle farming</w:t>
                  </w:r>
                </w:p>
              </w:tc>
              <w:tc>
                <w:tcPr>
                  <w:tcW w:w="834" w:type="pct"/>
                  <w:vAlign w:val="center"/>
                </w:tcPr>
                <w:p w:rsidR="007544CA" w:rsidRDefault="007544CA" w:rsidP="00133508">
                  <w:pPr>
                    <w:pStyle w:val="TableBodyText"/>
                    <w:spacing w:after="20"/>
                  </w:pPr>
                  <w:r>
                    <w:t>35.2</w:t>
                  </w:r>
                </w:p>
              </w:tc>
              <w:tc>
                <w:tcPr>
                  <w:tcW w:w="834" w:type="pct"/>
                  <w:vAlign w:val="center"/>
                </w:tcPr>
                <w:p w:rsidR="007544CA" w:rsidRDefault="007544CA" w:rsidP="00133508">
                  <w:pPr>
                    <w:pStyle w:val="TableBodyText"/>
                    <w:spacing w:after="20"/>
                  </w:pPr>
                  <w:r>
                    <w:t>33.4</w:t>
                  </w:r>
                </w:p>
              </w:tc>
              <w:tc>
                <w:tcPr>
                  <w:tcW w:w="834" w:type="pct"/>
                  <w:vAlign w:val="center"/>
                </w:tcPr>
                <w:p w:rsidR="007544CA" w:rsidRDefault="007544CA" w:rsidP="00133508">
                  <w:pPr>
                    <w:pStyle w:val="TableBodyText"/>
                    <w:spacing w:after="20"/>
                  </w:pPr>
                  <w:r>
                    <w:t>68.6</w:t>
                  </w:r>
                </w:p>
              </w:tc>
            </w:tr>
            <w:tr w:rsidR="007544CA" w:rsidTr="00133508">
              <w:tc>
                <w:tcPr>
                  <w:tcW w:w="2497" w:type="pct"/>
                </w:tcPr>
                <w:p w:rsidR="007544CA" w:rsidRPr="00284C93" w:rsidRDefault="007544CA" w:rsidP="00133508">
                  <w:pPr>
                    <w:pStyle w:val="TableBodyText"/>
                    <w:spacing w:after="20"/>
                    <w:jc w:val="left"/>
                  </w:pPr>
                  <w:r w:rsidRPr="00284C93">
                    <w:t>Other livestock farming</w:t>
                  </w:r>
                </w:p>
              </w:tc>
              <w:tc>
                <w:tcPr>
                  <w:tcW w:w="834" w:type="pct"/>
                  <w:vAlign w:val="center"/>
                </w:tcPr>
                <w:p w:rsidR="007544CA" w:rsidRDefault="007544CA" w:rsidP="00133508">
                  <w:pPr>
                    <w:pStyle w:val="TableBodyText"/>
                    <w:spacing w:after="20"/>
                  </w:pPr>
                  <w:r>
                    <w:t>31.6</w:t>
                  </w:r>
                </w:p>
              </w:tc>
              <w:tc>
                <w:tcPr>
                  <w:tcW w:w="834" w:type="pct"/>
                  <w:vAlign w:val="center"/>
                </w:tcPr>
                <w:p w:rsidR="007544CA" w:rsidRDefault="007544CA" w:rsidP="00133508">
                  <w:pPr>
                    <w:pStyle w:val="TableBodyText"/>
                    <w:spacing w:after="20"/>
                  </w:pPr>
                  <w:r>
                    <w:t>12.3</w:t>
                  </w:r>
                </w:p>
              </w:tc>
              <w:tc>
                <w:tcPr>
                  <w:tcW w:w="834" w:type="pct"/>
                  <w:vAlign w:val="center"/>
                </w:tcPr>
                <w:p w:rsidR="007544CA" w:rsidRDefault="007544CA" w:rsidP="00133508">
                  <w:pPr>
                    <w:pStyle w:val="TableBodyText"/>
                    <w:spacing w:after="20"/>
                  </w:pPr>
                  <w:r>
                    <w:t>43.9</w:t>
                  </w:r>
                </w:p>
              </w:tc>
            </w:tr>
            <w:tr w:rsidR="007544CA" w:rsidTr="00133508">
              <w:tc>
                <w:tcPr>
                  <w:tcW w:w="2497" w:type="pct"/>
                </w:tcPr>
                <w:p w:rsidR="007544CA" w:rsidRPr="00284C93" w:rsidRDefault="007544CA" w:rsidP="00133508">
                  <w:pPr>
                    <w:pStyle w:val="TableBodyText"/>
                    <w:spacing w:after="20"/>
                    <w:jc w:val="left"/>
                  </w:pPr>
                  <w:r w:rsidRPr="00284C93">
                    <w:t>Aquaculture and fishing</w:t>
                  </w:r>
                  <w:r w:rsidRPr="00E61C77">
                    <w:rPr>
                      <w:rStyle w:val="NoteLabel"/>
                    </w:rPr>
                    <w:t>a</w:t>
                  </w:r>
                </w:p>
              </w:tc>
              <w:tc>
                <w:tcPr>
                  <w:tcW w:w="834" w:type="pct"/>
                  <w:vAlign w:val="center"/>
                </w:tcPr>
                <w:p w:rsidR="007544CA" w:rsidRDefault="007544CA" w:rsidP="00133508">
                  <w:pPr>
                    <w:pStyle w:val="TableBodyText"/>
                    <w:spacing w:after="20"/>
                  </w:pPr>
                  <w:r>
                    <w:t>54.9</w:t>
                  </w:r>
                </w:p>
              </w:tc>
              <w:tc>
                <w:tcPr>
                  <w:tcW w:w="834" w:type="pct"/>
                  <w:vAlign w:val="center"/>
                </w:tcPr>
                <w:p w:rsidR="007544CA" w:rsidRDefault="007544CA" w:rsidP="00133508">
                  <w:pPr>
                    <w:pStyle w:val="TableBodyText"/>
                    <w:spacing w:after="20"/>
                  </w:pPr>
                  <w:r>
                    <w:t>11.8</w:t>
                  </w:r>
                </w:p>
              </w:tc>
              <w:tc>
                <w:tcPr>
                  <w:tcW w:w="834" w:type="pct"/>
                  <w:vAlign w:val="center"/>
                </w:tcPr>
                <w:p w:rsidR="007544CA" w:rsidRDefault="007544CA" w:rsidP="00133508">
                  <w:pPr>
                    <w:pStyle w:val="TableBodyText"/>
                    <w:spacing w:after="20"/>
                  </w:pPr>
                  <w:r>
                    <w:t>66.7</w:t>
                  </w:r>
                </w:p>
              </w:tc>
            </w:tr>
            <w:tr w:rsidR="007544CA" w:rsidTr="00133508">
              <w:tc>
                <w:tcPr>
                  <w:tcW w:w="2497" w:type="pct"/>
                </w:tcPr>
                <w:p w:rsidR="007544CA" w:rsidRPr="00284C93" w:rsidRDefault="007544CA" w:rsidP="00133508">
                  <w:pPr>
                    <w:pStyle w:val="TableBodyText"/>
                    <w:spacing w:after="20"/>
                    <w:jc w:val="left"/>
                  </w:pPr>
                  <w:r w:rsidRPr="00284C93">
                    <w:t>Forestry and logging</w:t>
                  </w:r>
                </w:p>
              </w:tc>
              <w:tc>
                <w:tcPr>
                  <w:tcW w:w="834" w:type="pct"/>
                  <w:vAlign w:val="center"/>
                </w:tcPr>
                <w:p w:rsidR="007544CA" w:rsidRDefault="007544CA" w:rsidP="00133508">
                  <w:pPr>
                    <w:pStyle w:val="TableBodyText"/>
                    <w:spacing w:after="20"/>
                  </w:pPr>
                  <w:r>
                    <w:t>12.6</w:t>
                  </w:r>
                </w:p>
              </w:tc>
              <w:tc>
                <w:tcPr>
                  <w:tcW w:w="834" w:type="pct"/>
                  <w:vAlign w:val="center"/>
                </w:tcPr>
                <w:p w:rsidR="007544CA" w:rsidRDefault="007544CA" w:rsidP="00133508">
                  <w:pPr>
                    <w:pStyle w:val="TableBodyText"/>
                    <w:spacing w:after="20"/>
                  </w:pPr>
                  <w:r>
                    <w:t>12.5</w:t>
                  </w:r>
                </w:p>
              </w:tc>
              <w:tc>
                <w:tcPr>
                  <w:tcW w:w="834" w:type="pct"/>
                  <w:vAlign w:val="center"/>
                </w:tcPr>
                <w:p w:rsidR="007544CA" w:rsidRDefault="007544CA" w:rsidP="00133508">
                  <w:pPr>
                    <w:pStyle w:val="TableBodyText"/>
                    <w:spacing w:after="20"/>
                  </w:pPr>
                  <w:r>
                    <w:t>25.0</w:t>
                  </w:r>
                </w:p>
              </w:tc>
            </w:tr>
            <w:tr w:rsidR="007544CA" w:rsidTr="00133508">
              <w:tc>
                <w:tcPr>
                  <w:tcW w:w="2497" w:type="pct"/>
                </w:tcPr>
                <w:p w:rsidR="007544CA" w:rsidRPr="00284C93" w:rsidRDefault="007544CA" w:rsidP="00133508">
                  <w:pPr>
                    <w:pStyle w:val="TableBodyText"/>
                    <w:spacing w:after="20"/>
                    <w:jc w:val="left"/>
                  </w:pPr>
                  <w:r w:rsidRPr="00284C93">
                    <w:t>Primary production support services</w:t>
                  </w:r>
                </w:p>
              </w:tc>
              <w:tc>
                <w:tcPr>
                  <w:tcW w:w="834" w:type="pct"/>
                  <w:vAlign w:val="center"/>
                </w:tcPr>
                <w:p w:rsidR="007544CA" w:rsidRDefault="007544CA" w:rsidP="00133508">
                  <w:pPr>
                    <w:pStyle w:val="TableBodyText"/>
                    <w:spacing w:after="20"/>
                  </w:pPr>
                  <w:r>
                    <w:t>3.3</w:t>
                  </w:r>
                </w:p>
              </w:tc>
              <w:tc>
                <w:tcPr>
                  <w:tcW w:w="834" w:type="pct"/>
                  <w:vAlign w:val="center"/>
                </w:tcPr>
                <w:p w:rsidR="007544CA" w:rsidRDefault="007544CA" w:rsidP="00133508">
                  <w:pPr>
                    <w:pStyle w:val="TableBodyText"/>
                    <w:spacing w:after="20"/>
                  </w:pPr>
                  <w:r>
                    <w:t>16.3</w:t>
                  </w:r>
                </w:p>
              </w:tc>
              <w:tc>
                <w:tcPr>
                  <w:tcW w:w="834" w:type="pct"/>
                  <w:vAlign w:val="center"/>
                </w:tcPr>
                <w:p w:rsidR="007544CA" w:rsidRDefault="007544CA" w:rsidP="00133508">
                  <w:pPr>
                    <w:pStyle w:val="TableBodyText"/>
                    <w:spacing w:after="20"/>
                  </w:pPr>
                  <w:r>
                    <w:t>19.7</w:t>
                  </w:r>
                </w:p>
              </w:tc>
            </w:tr>
            <w:tr w:rsidR="007544CA" w:rsidTr="00133508">
              <w:tc>
                <w:tcPr>
                  <w:tcW w:w="2497" w:type="pct"/>
                </w:tcPr>
                <w:p w:rsidR="007544CA" w:rsidRPr="00284C93" w:rsidRDefault="007544CA" w:rsidP="00133508">
                  <w:pPr>
                    <w:pStyle w:val="TableBodyText"/>
                    <w:spacing w:after="20"/>
                    <w:jc w:val="left"/>
                  </w:pPr>
                  <w:r w:rsidRPr="00284C93">
                    <w:t>Unallocated primary production</w:t>
                  </w:r>
                  <w:r w:rsidRPr="00E61C77">
                    <w:rPr>
                      <w:rStyle w:val="NoteLabel"/>
                    </w:rPr>
                    <w:t>b</w:t>
                  </w:r>
                </w:p>
              </w:tc>
              <w:tc>
                <w:tcPr>
                  <w:tcW w:w="834" w:type="pct"/>
                  <w:vAlign w:val="center"/>
                </w:tcPr>
                <w:p w:rsidR="007544CA" w:rsidRDefault="007544CA" w:rsidP="00133508">
                  <w:pPr>
                    <w:pStyle w:val="TableBodyText"/>
                    <w:spacing w:after="30"/>
                  </w:pPr>
                  <w:r>
                    <w:t>214.8</w:t>
                  </w:r>
                </w:p>
              </w:tc>
              <w:tc>
                <w:tcPr>
                  <w:tcW w:w="834" w:type="pct"/>
                  <w:vAlign w:val="center"/>
                </w:tcPr>
                <w:p w:rsidR="007544CA" w:rsidRDefault="007544CA" w:rsidP="00133508">
                  <w:pPr>
                    <w:pStyle w:val="TableBodyText"/>
                    <w:spacing w:after="30"/>
                  </w:pPr>
                  <w:r>
                    <w:t>3.0</w:t>
                  </w:r>
                </w:p>
              </w:tc>
              <w:tc>
                <w:tcPr>
                  <w:tcW w:w="834" w:type="pct"/>
                  <w:vAlign w:val="center"/>
                </w:tcPr>
                <w:p w:rsidR="007544CA" w:rsidRDefault="007544CA" w:rsidP="00133508">
                  <w:pPr>
                    <w:pStyle w:val="TableBodyText"/>
                    <w:spacing w:after="30"/>
                  </w:pPr>
                  <w:r>
                    <w:t>217.8</w:t>
                  </w:r>
                </w:p>
              </w:tc>
            </w:tr>
            <w:tr w:rsidR="007544CA" w:rsidRPr="00A21AD0" w:rsidTr="00133508">
              <w:tc>
                <w:tcPr>
                  <w:tcW w:w="2497" w:type="pct"/>
                </w:tcPr>
                <w:p w:rsidR="007544CA" w:rsidRPr="00A21AD0" w:rsidRDefault="007544CA" w:rsidP="00133508">
                  <w:pPr>
                    <w:pStyle w:val="TableBodyText"/>
                    <w:spacing w:after="30"/>
                    <w:jc w:val="left"/>
                    <w:rPr>
                      <w:b/>
                    </w:rPr>
                  </w:pPr>
                  <w:r w:rsidRPr="00A21AD0">
                    <w:rPr>
                      <w:b/>
                    </w:rPr>
                    <w:t>Mining</w:t>
                  </w:r>
                </w:p>
              </w:tc>
              <w:tc>
                <w:tcPr>
                  <w:tcW w:w="834" w:type="pct"/>
                  <w:vAlign w:val="center"/>
                </w:tcPr>
                <w:p w:rsidR="007544CA" w:rsidRPr="00834DF3" w:rsidRDefault="007544CA" w:rsidP="00133508">
                  <w:pPr>
                    <w:pStyle w:val="TableBodyText"/>
                    <w:spacing w:after="30"/>
                    <w:rPr>
                      <w:b/>
                    </w:rPr>
                  </w:pPr>
                  <w:r w:rsidRPr="00834DF3">
                    <w:rPr>
                      <w:b/>
                    </w:rPr>
                    <w:t>263.8</w:t>
                  </w:r>
                </w:p>
              </w:tc>
              <w:tc>
                <w:tcPr>
                  <w:tcW w:w="834" w:type="pct"/>
                  <w:vAlign w:val="center"/>
                </w:tcPr>
                <w:p w:rsidR="007544CA" w:rsidRPr="00834DF3" w:rsidRDefault="007544CA" w:rsidP="00133508">
                  <w:pPr>
                    <w:pStyle w:val="TableBodyText"/>
                    <w:spacing w:after="30"/>
                    <w:rPr>
                      <w:b/>
                    </w:rPr>
                  </w:pPr>
                  <w:r w:rsidRPr="00834DF3">
                    <w:rPr>
                      <w:b/>
                    </w:rPr>
                    <w:t>288.3</w:t>
                  </w:r>
                </w:p>
              </w:tc>
              <w:tc>
                <w:tcPr>
                  <w:tcW w:w="834" w:type="pct"/>
                  <w:vAlign w:val="center"/>
                </w:tcPr>
                <w:p w:rsidR="007544CA" w:rsidRPr="00834DF3" w:rsidRDefault="007544CA" w:rsidP="00133508">
                  <w:pPr>
                    <w:pStyle w:val="TableBodyText"/>
                    <w:spacing w:after="30"/>
                    <w:rPr>
                      <w:b/>
                    </w:rPr>
                  </w:pPr>
                  <w:r w:rsidRPr="00834DF3">
                    <w:rPr>
                      <w:b/>
                    </w:rPr>
                    <w:t>552.0</w:t>
                  </w:r>
                </w:p>
              </w:tc>
            </w:tr>
            <w:tr w:rsidR="007544CA" w:rsidRPr="00A21AD0" w:rsidTr="00133508">
              <w:tc>
                <w:tcPr>
                  <w:tcW w:w="2497" w:type="pct"/>
                </w:tcPr>
                <w:p w:rsidR="007544CA" w:rsidRPr="00A21AD0" w:rsidRDefault="007544CA" w:rsidP="00133508">
                  <w:pPr>
                    <w:pStyle w:val="TableBodyText"/>
                    <w:spacing w:after="30"/>
                    <w:jc w:val="left"/>
                    <w:rPr>
                      <w:b/>
                    </w:rPr>
                  </w:pPr>
                  <w:r w:rsidRPr="00A21AD0">
                    <w:rPr>
                      <w:b/>
                    </w:rPr>
                    <w:t>Manufacturing</w:t>
                  </w:r>
                </w:p>
              </w:tc>
              <w:tc>
                <w:tcPr>
                  <w:tcW w:w="834" w:type="pct"/>
                  <w:vAlign w:val="center"/>
                </w:tcPr>
                <w:p w:rsidR="007544CA" w:rsidRPr="00834DF3" w:rsidRDefault="007544CA" w:rsidP="00133508">
                  <w:pPr>
                    <w:pStyle w:val="TableBodyText"/>
                    <w:spacing w:after="30"/>
                    <w:rPr>
                      <w:b/>
                    </w:rPr>
                  </w:pPr>
                  <w:r w:rsidRPr="00834DF3">
                    <w:rPr>
                      <w:b/>
                    </w:rPr>
                    <w:t>1</w:t>
                  </w:r>
                  <w:r>
                    <w:rPr>
                      <w:b/>
                    </w:rPr>
                    <w:t> </w:t>
                  </w:r>
                  <w:r w:rsidRPr="00834DF3">
                    <w:rPr>
                      <w:b/>
                    </w:rPr>
                    <w:t>091.7</w:t>
                  </w:r>
                </w:p>
              </w:tc>
              <w:tc>
                <w:tcPr>
                  <w:tcW w:w="834" w:type="pct"/>
                  <w:vAlign w:val="center"/>
                </w:tcPr>
                <w:p w:rsidR="007544CA" w:rsidRPr="00834DF3" w:rsidRDefault="007544CA" w:rsidP="00133508">
                  <w:pPr>
                    <w:pStyle w:val="TableBodyText"/>
                    <w:spacing w:after="30"/>
                    <w:rPr>
                      <w:b/>
                    </w:rPr>
                  </w:pPr>
                  <w:r w:rsidRPr="00834DF3">
                    <w:rPr>
                      <w:b/>
                    </w:rPr>
                    <w:t>392.7</w:t>
                  </w:r>
                </w:p>
              </w:tc>
              <w:tc>
                <w:tcPr>
                  <w:tcW w:w="834" w:type="pct"/>
                  <w:vAlign w:val="center"/>
                </w:tcPr>
                <w:p w:rsidR="007544CA" w:rsidRPr="00834DF3" w:rsidRDefault="007544CA" w:rsidP="00133508">
                  <w:pPr>
                    <w:pStyle w:val="TableBodyText"/>
                    <w:spacing w:after="30"/>
                    <w:rPr>
                      <w:b/>
                    </w:rPr>
                  </w:pPr>
                  <w:r w:rsidRPr="00834DF3">
                    <w:rPr>
                      <w:b/>
                    </w:rPr>
                    <w:t>1</w:t>
                  </w:r>
                  <w:r>
                    <w:rPr>
                      <w:b/>
                    </w:rPr>
                    <w:t> </w:t>
                  </w:r>
                  <w:r w:rsidRPr="00834DF3">
                    <w:rPr>
                      <w:b/>
                    </w:rPr>
                    <w:t>484.3</w:t>
                  </w:r>
                </w:p>
              </w:tc>
            </w:tr>
            <w:tr w:rsidR="007544CA" w:rsidTr="00133508">
              <w:tc>
                <w:tcPr>
                  <w:tcW w:w="2497" w:type="pct"/>
                </w:tcPr>
                <w:p w:rsidR="007544CA" w:rsidRPr="00F22AF1" w:rsidRDefault="007544CA" w:rsidP="00133508">
                  <w:pPr>
                    <w:pStyle w:val="TableBodyText"/>
                    <w:spacing w:after="20"/>
                    <w:jc w:val="left"/>
                  </w:pPr>
                  <w:r w:rsidRPr="00F22AF1">
                    <w:t>Food, beverages and tobacco</w:t>
                  </w:r>
                </w:p>
              </w:tc>
              <w:tc>
                <w:tcPr>
                  <w:tcW w:w="834" w:type="pct"/>
                  <w:vAlign w:val="center"/>
                </w:tcPr>
                <w:p w:rsidR="007544CA" w:rsidRDefault="007544CA" w:rsidP="00133508">
                  <w:pPr>
                    <w:pStyle w:val="TableBodyText"/>
                    <w:spacing w:after="20"/>
                  </w:pPr>
                  <w:r>
                    <w:t>72.0</w:t>
                  </w:r>
                </w:p>
              </w:tc>
              <w:tc>
                <w:tcPr>
                  <w:tcW w:w="834" w:type="pct"/>
                  <w:vAlign w:val="center"/>
                </w:tcPr>
                <w:p w:rsidR="007544CA" w:rsidRDefault="007544CA" w:rsidP="00133508">
                  <w:pPr>
                    <w:pStyle w:val="TableBodyText"/>
                    <w:spacing w:after="20"/>
                  </w:pPr>
                  <w:r>
                    <w:t>47.9</w:t>
                  </w:r>
                </w:p>
              </w:tc>
              <w:tc>
                <w:tcPr>
                  <w:tcW w:w="834" w:type="pct"/>
                  <w:vAlign w:val="center"/>
                </w:tcPr>
                <w:p w:rsidR="007544CA" w:rsidRDefault="007544CA" w:rsidP="00133508">
                  <w:pPr>
                    <w:pStyle w:val="TableBodyText"/>
                    <w:spacing w:after="20"/>
                  </w:pPr>
                  <w:r>
                    <w:t>120.0</w:t>
                  </w:r>
                </w:p>
              </w:tc>
            </w:tr>
            <w:tr w:rsidR="007544CA" w:rsidTr="00133508">
              <w:tc>
                <w:tcPr>
                  <w:tcW w:w="2497" w:type="pct"/>
                </w:tcPr>
                <w:p w:rsidR="007544CA" w:rsidRPr="00F22AF1" w:rsidRDefault="007544CA" w:rsidP="00133508">
                  <w:pPr>
                    <w:pStyle w:val="TableBodyText"/>
                    <w:spacing w:after="20"/>
                    <w:jc w:val="left"/>
                  </w:pPr>
                  <w:r w:rsidRPr="00F22AF1">
                    <w:t>Textile</w:t>
                  </w:r>
                  <w:r>
                    <w:t>s</w:t>
                  </w:r>
                  <w:r w:rsidRPr="00F22AF1">
                    <w:t>, leather, clothing and footwear</w:t>
                  </w:r>
                </w:p>
              </w:tc>
              <w:tc>
                <w:tcPr>
                  <w:tcW w:w="834" w:type="pct"/>
                  <w:vAlign w:val="center"/>
                </w:tcPr>
                <w:p w:rsidR="007544CA" w:rsidRDefault="007544CA" w:rsidP="00133508">
                  <w:pPr>
                    <w:pStyle w:val="TableBodyText"/>
                    <w:spacing w:after="20"/>
                  </w:pPr>
                  <w:r>
                    <w:t>48.4</w:t>
                  </w:r>
                </w:p>
              </w:tc>
              <w:tc>
                <w:tcPr>
                  <w:tcW w:w="834" w:type="pct"/>
                  <w:vAlign w:val="center"/>
                </w:tcPr>
                <w:p w:rsidR="007544CA" w:rsidRDefault="007544CA" w:rsidP="00133508">
                  <w:pPr>
                    <w:pStyle w:val="TableBodyText"/>
                    <w:spacing w:after="20"/>
                  </w:pPr>
                  <w:r>
                    <w:t>4.4</w:t>
                  </w:r>
                </w:p>
              </w:tc>
              <w:tc>
                <w:tcPr>
                  <w:tcW w:w="834" w:type="pct"/>
                  <w:vAlign w:val="center"/>
                </w:tcPr>
                <w:p w:rsidR="007544CA" w:rsidRDefault="007544CA" w:rsidP="00133508">
                  <w:pPr>
                    <w:pStyle w:val="TableBodyText"/>
                    <w:spacing w:after="20"/>
                  </w:pPr>
                  <w:r>
                    <w:t>52.8</w:t>
                  </w:r>
                </w:p>
              </w:tc>
            </w:tr>
            <w:tr w:rsidR="007544CA" w:rsidTr="00133508">
              <w:tc>
                <w:tcPr>
                  <w:tcW w:w="2497" w:type="pct"/>
                </w:tcPr>
                <w:p w:rsidR="007544CA" w:rsidRPr="00F22AF1" w:rsidRDefault="007544CA" w:rsidP="00133508">
                  <w:pPr>
                    <w:pStyle w:val="TableBodyText"/>
                    <w:spacing w:after="20"/>
                    <w:jc w:val="left"/>
                  </w:pPr>
                  <w:r w:rsidRPr="00F22AF1">
                    <w:t>Wood and paper products</w:t>
                  </w:r>
                </w:p>
              </w:tc>
              <w:tc>
                <w:tcPr>
                  <w:tcW w:w="834" w:type="pct"/>
                  <w:vAlign w:val="center"/>
                </w:tcPr>
                <w:p w:rsidR="007544CA" w:rsidRDefault="007544CA" w:rsidP="00133508">
                  <w:pPr>
                    <w:pStyle w:val="TableBodyText"/>
                    <w:spacing w:after="20"/>
                  </w:pPr>
                  <w:r>
                    <w:t>11.5</w:t>
                  </w:r>
                </w:p>
              </w:tc>
              <w:tc>
                <w:tcPr>
                  <w:tcW w:w="834" w:type="pct"/>
                  <w:vAlign w:val="center"/>
                </w:tcPr>
                <w:p w:rsidR="007544CA" w:rsidRDefault="007544CA" w:rsidP="00133508">
                  <w:pPr>
                    <w:pStyle w:val="TableBodyText"/>
                    <w:spacing w:after="20"/>
                  </w:pPr>
                  <w:r>
                    <w:t>5.0</w:t>
                  </w:r>
                </w:p>
              </w:tc>
              <w:tc>
                <w:tcPr>
                  <w:tcW w:w="834" w:type="pct"/>
                  <w:vAlign w:val="center"/>
                </w:tcPr>
                <w:p w:rsidR="007544CA" w:rsidRDefault="007544CA" w:rsidP="00133508">
                  <w:pPr>
                    <w:pStyle w:val="TableBodyText"/>
                    <w:spacing w:after="20"/>
                  </w:pPr>
                  <w:r>
                    <w:t>16.5</w:t>
                  </w:r>
                </w:p>
              </w:tc>
            </w:tr>
            <w:tr w:rsidR="007544CA" w:rsidTr="00133508">
              <w:tc>
                <w:tcPr>
                  <w:tcW w:w="2497" w:type="pct"/>
                </w:tcPr>
                <w:p w:rsidR="007544CA" w:rsidRPr="00F22AF1" w:rsidRDefault="007544CA" w:rsidP="00133508">
                  <w:pPr>
                    <w:pStyle w:val="TableBodyText"/>
                    <w:spacing w:after="20"/>
                    <w:jc w:val="left"/>
                  </w:pPr>
                  <w:r w:rsidRPr="00F22AF1">
                    <w:t>Printing and recorded media</w:t>
                  </w:r>
                </w:p>
              </w:tc>
              <w:tc>
                <w:tcPr>
                  <w:tcW w:w="834" w:type="pct"/>
                  <w:vAlign w:val="center"/>
                </w:tcPr>
                <w:p w:rsidR="007544CA" w:rsidRDefault="007544CA" w:rsidP="00133508">
                  <w:pPr>
                    <w:pStyle w:val="TableBodyText"/>
                    <w:spacing w:after="20"/>
                  </w:pPr>
                  <w:r>
                    <w:t>6.3</w:t>
                  </w:r>
                </w:p>
              </w:tc>
              <w:tc>
                <w:tcPr>
                  <w:tcW w:w="834" w:type="pct"/>
                  <w:vAlign w:val="center"/>
                </w:tcPr>
                <w:p w:rsidR="007544CA" w:rsidRDefault="007544CA" w:rsidP="00133508">
                  <w:pPr>
                    <w:pStyle w:val="TableBodyText"/>
                    <w:spacing w:after="20"/>
                  </w:pPr>
                  <w:r>
                    <w:t>3.6</w:t>
                  </w:r>
                </w:p>
              </w:tc>
              <w:tc>
                <w:tcPr>
                  <w:tcW w:w="834" w:type="pct"/>
                  <w:vAlign w:val="center"/>
                </w:tcPr>
                <w:p w:rsidR="007544CA" w:rsidRDefault="007544CA" w:rsidP="00133508">
                  <w:pPr>
                    <w:pStyle w:val="TableBodyText"/>
                    <w:spacing w:after="20"/>
                  </w:pPr>
                  <w:r>
                    <w:t>9.9</w:t>
                  </w:r>
                </w:p>
              </w:tc>
            </w:tr>
            <w:tr w:rsidR="007544CA" w:rsidTr="00133508">
              <w:tc>
                <w:tcPr>
                  <w:tcW w:w="2497" w:type="pct"/>
                </w:tcPr>
                <w:p w:rsidR="007544CA" w:rsidRPr="00F22AF1" w:rsidRDefault="007544CA" w:rsidP="00133508">
                  <w:pPr>
                    <w:pStyle w:val="TableBodyText"/>
                    <w:spacing w:after="20"/>
                    <w:jc w:val="left"/>
                  </w:pPr>
                  <w:r w:rsidRPr="00F22AF1">
                    <w:t>Petroleum, coal, chemical and rubber products</w:t>
                  </w:r>
                </w:p>
              </w:tc>
              <w:tc>
                <w:tcPr>
                  <w:tcW w:w="834" w:type="pct"/>
                  <w:vAlign w:val="center"/>
                </w:tcPr>
                <w:p w:rsidR="007544CA" w:rsidRDefault="007544CA" w:rsidP="00133508">
                  <w:pPr>
                    <w:pStyle w:val="TableBodyText"/>
                    <w:spacing w:after="20"/>
                  </w:pPr>
                  <w:r>
                    <w:t>269.3</w:t>
                  </w:r>
                </w:p>
              </w:tc>
              <w:tc>
                <w:tcPr>
                  <w:tcW w:w="834" w:type="pct"/>
                  <w:vAlign w:val="center"/>
                </w:tcPr>
                <w:p w:rsidR="007544CA" w:rsidRDefault="007544CA" w:rsidP="00133508">
                  <w:pPr>
                    <w:pStyle w:val="TableBodyText"/>
                    <w:spacing w:after="20"/>
                  </w:pPr>
                  <w:r>
                    <w:t>22.7</w:t>
                  </w:r>
                </w:p>
              </w:tc>
              <w:tc>
                <w:tcPr>
                  <w:tcW w:w="834" w:type="pct"/>
                  <w:vAlign w:val="center"/>
                </w:tcPr>
                <w:p w:rsidR="007544CA" w:rsidRDefault="007544CA" w:rsidP="00133508">
                  <w:pPr>
                    <w:pStyle w:val="TableBodyText"/>
                    <w:spacing w:after="20"/>
                  </w:pPr>
                  <w:r>
                    <w:t>291.9</w:t>
                  </w:r>
                </w:p>
              </w:tc>
            </w:tr>
            <w:tr w:rsidR="007544CA" w:rsidTr="00133508">
              <w:tc>
                <w:tcPr>
                  <w:tcW w:w="2497" w:type="pct"/>
                </w:tcPr>
                <w:p w:rsidR="007544CA" w:rsidRPr="00F22AF1" w:rsidRDefault="007544CA" w:rsidP="00133508">
                  <w:pPr>
                    <w:pStyle w:val="TableBodyText"/>
                    <w:spacing w:after="20"/>
                    <w:jc w:val="left"/>
                  </w:pPr>
                  <w:r w:rsidRPr="00F22AF1">
                    <w:t>Non</w:t>
                  </w:r>
                  <w:r>
                    <w:noBreakHyphen/>
                  </w:r>
                  <w:r w:rsidRPr="00F22AF1">
                    <w:t>metallic mineral products</w:t>
                  </w:r>
                </w:p>
              </w:tc>
              <w:tc>
                <w:tcPr>
                  <w:tcW w:w="834" w:type="pct"/>
                  <w:vAlign w:val="center"/>
                </w:tcPr>
                <w:p w:rsidR="007544CA" w:rsidRDefault="007544CA" w:rsidP="00133508">
                  <w:pPr>
                    <w:pStyle w:val="TableBodyText"/>
                    <w:spacing w:after="20"/>
                  </w:pPr>
                  <w:r>
                    <w:t>21.4</w:t>
                  </w:r>
                </w:p>
              </w:tc>
              <w:tc>
                <w:tcPr>
                  <w:tcW w:w="834" w:type="pct"/>
                  <w:vAlign w:val="center"/>
                </w:tcPr>
                <w:p w:rsidR="007544CA" w:rsidRDefault="007544CA" w:rsidP="00133508">
                  <w:pPr>
                    <w:pStyle w:val="TableBodyText"/>
                    <w:spacing w:after="20"/>
                  </w:pPr>
                  <w:r>
                    <w:noBreakHyphen/>
                    <w:t>1.9</w:t>
                  </w:r>
                </w:p>
              </w:tc>
              <w:tc>
                <w:tcPr>
                  <w:tcW w:w="834" w:type="pct"/>
                  <w:vAlign w:val="center"/>
                </w:tcPr>
                <w:p w:rsidR="007544CA" w:rsidRDefault="007544CA" w:rsidP="00133508">
                  <w:pPr>
                    <w:pStyle w:val="TableBodyText"/>
                    <w:spacing w:after="20"/>
                  </w:pPr>
                  <w:r>
                    <w:t>19.5</w:t>
                  </w:r>
                </w:p>
              </w:tc>
            </w:tr>
            <w:tr w:rsidR="007544CA" w:rsidTr="00133508">
              <w:tc>
                <w:tcPr>
                  <w:tcW w:w="2497" w:type="pct"/>
                </w:tcPr>
                <w:p w:rsidR="007544CA" w:rsidRPr="00F22AF1" w:rsidRDefault="007544CA" w:rsidP="00133508">
                  <w:pPr>
                    <w:pStyle w:val="TableBodyText"/>
                    <w:spacing w:after="20"/>
                    <w:jc w:val="left"/>
                  </w:pPr>
                  <w:r w:rsidRPr="00F22AF1">
                    <w:t>Metal and fabricated metal products</w:t>
                  </w:r>
                </w:p>
              </w:tc>
              <w:tc>
                <w:tcPr>
                  <w:tcW w:w="834" w:type="pct"/>
                  <w:vAlign w:val="center"/>
                </w:tcPr>
                <w:p w:rsidR="007544CA" w:rsidRDefault="007544CA" w:rsidP="00133508">
                  <w:pPr>
                    <w:pStyle w:val="TableBodyText"/>
                    <w:spacing w:after="20"/>
                  </w:pPr>
                  <w:r>
                    <w:t>60.1</w:t>
                  </w:r>
                </w:p>
              </w:tc>
              <w:tc>
                <w:tcPr>
                  <w:tcW w:w="834" w:type="pct"/>
                  <w:vAlign w:val="center"/>
                </w:tcPr>
                <w:p w:rsidR="007544CA" w:rsidRDefault="007544CA" w:rsidP="00133508">
                  <w:pPr>
                    <w:pStyle w:val="TableBodyText"/>
                    <w:spacing w:after="20"/>
                  </w:pPr>
                  <w:r>
                    <w:t>197.5</w:t>
                  </w:r>
                </w:p>
              </w:tc>
              <w:tc>
                <w:tcPr>
                  <w:tcW w:w="834" w:type="pct"/>
                  <w:vAlign w:val="center"/>
                </w:tcPr>
                <w:p w:rsidR="007544CA" w:rsidRDefault="007544CA" w:rsidP="00133508">
                  <w:pPr>
                    <w:pStyle w:val="TableBodyText"/>
                    <w:spacing w:after="20"/>
                  </w:pPr>
                  <w:r>
                    <w:t>257.6</w:t>
                  </w:r>
                </w:p>
              </w:tc>
            </w:tr>
            <w:tr w:rsidR="007544CA" w:rsidTr="00133508">
              <w:tc>
                <w:tcPr>
                  <w:tcW w:w="2497" w:type="pct"/>
                </w:tcPr>
                <w:p w:rsidR="007544CA" w:rsidRPr="00F22AF1" w:rsidRDefault="007544CA" w:rsidP="00133508">
                  <w:pPr>
                    <w:pStyle w:val="TableBodyText"/>
                    <w:spacing w:after="20"/>
                    <w:jc w:val="left"/>
                  </w:pPr>
                  <w:r w:rsidRPr="00F22AF1">
                    <w:t>Motor vehicle</w:t>
                  </w:r>
                  <w:r>
                    <w:t>s</w:t>
                  </w:r>
                  <w:r w:rsidRPr="00F22AF1">
                    <w:t xml:space="preserve"> and parts</w:t>
                  </w:r>
                </w:p>
              </w:tc>
              <w:tc>
                <w:tcPr>
                  <w:tcW w:w="834" w:type="pct"/>
                  <w:vAlign w:val="center"/>
                </w:tcPr>
                <w:p w:rsidR="007544CA" w:rsidRDefault="007544CA" w:rsidP="00133508">
                  <w:pPr>
                    <w:pStyle w:val="TableBodyText"/>
                    <w:spacing w:after="20"/>
                  </w:pPr>
                  <w:r>
                    <w:t>291.9</w:t>
                  </w:r>
                </w:p>
              </w:tc>
              <w:tc>
                <w:tcPr>
                  <w:tcW w:w="834" w:type="pct"/>
                  <w:vAlign w:val="center"/>
                </w:tcPr>
                <w:p w:rsidR="007544CA" w:rsidRDefault="007544CA" w:rsidP="00133508">
                  <w:pPr>
                    <w:pStyle w:val="TableBodyText"/>
                    <w:spacing w:after="20"/>
                  </w:pPr>
                  <w:r>
                    <w:t>27.7</w:t>
                  </w:r>
                </w:p>
              </w:tc>
              <w:tc>
                <w:tcPr>
                  <w:tcW w:w="834" w:type="pct"/>
                  <w:vAlign w:val="center"/>
                </w:tcPr>
                <w:p w:rsidR="007544CA" w:rsidRDefault="007544CA" w:rsidP="00133508">
                  <w:pPr>
                    <w:pStyle w:val="TableBodyText"/>
                    <w:spacing w:after="20"/>
                  </w:pPr>
                  <w:r>
                    <w:t>319.7</w:t>
                  </w:r>
                </w:p>
              </w:tc>
            </w:tr>
            <w:tr w:rsidR="007544CA" w:rsidTr="00133508">
              <w:tc>
                <w:tcPr>
                  <w:tcW w:w="2497" w:type="pct"/>
                </w:tcPr>
                <w:p w:rsidR="007544CA" w:rsidRPr="00F22AF1" w:rsidRDefault="007544CA" w:rsidP="00133508">
                  <w:pPr>
                    <w:pStyle w:val="TableBodyText"/>
                    <w:spacing w:after="20"/>
                    <w:jc w:val="left"/>
                  </w:pPr>
                  <w:r w:rsidRPr="00F22AF1">
                    <w:t>Other transport equipment</w:t>
                  </w:r>
                </w:p>
              </w:tc>
              <w:tc>
                <w:tcPr>
                  <w:tcW w:w="834" w:type="pct"/>
                  <w:vAlign w:val="center"/>
                </w:tcPr>
                <w:p w:rsidR="007544CA" w:rsidRDefault="007544CA" w:rsidP="00133508">
                  <w:pPr>
                    <w:pStyle w:val="TableBodyText"/>
                    <w:spacing w:after="20"/>
                  </w:pPr>
                  <w:r>
                    <w:t>18.2</w:t>
                  </w:r>
                </w:p>
              </w:tc>
              <w:tc>
                <w:tcPr>
                  <w:tcW w:w="834" w:type="pct"/>
                  <w:vAlign w:val="center"/>
                </w:tcPr>
                <w:p w:rsidR="007544CA" w:rsidRDefault="007544CA" w:rsidP="00133508">
                  <w:pPr>
                    <w:pStyle w:val="TableBodyText"/>
                    <w:spacing w:after="20"/>
                  </w:pPr>
                  <w:r>
                    <w:noBreakHyphen/>
                    <w:t>0.1</w:t>
                  </w:r>
                </w:p>
              </w:tc>
              <w:tc>
                <w:tcPr>
                  <w:tcW w:w="834" w:type="pct"/>
                  <w:vAlign w:val="center"/>
                </w:tcPr>
                <w:p w:rsidR="007544CA" w:rsidRDefault="007544CA" w:rsidP="00133508">
                  <w:pPr>
                    <w:pStyle w:val="TableBodyText"/>
                    <w:spacing w:after="20"/>
                  </w:pPr>
                  <w:r>
                    <w:t>18.1</w:t>
                  </w:r>
                </w:p>
              </w:tc>
            </w:tr>
            <w:tr w:rsidR="007544CA" w:rsidTr="00133508">
              <w:tc>
                <w:tcPr>
                  <w:tcW w:w="2497" w:type="pct"/>
                </w:tcPr>
                <w:p w:rsidR="007544CA" w:rsidRPr="00F22AF1" w:rsidRDefault="007544CA" w:rsidP="00133508">
                  <w:pPr>
                    <w:pStyle w:val="TableBodyText"/>
                    <w:spacing w:after="20"/>
                    <w:jc w:val="left"/>
                  </w:pPr>
                  <w:r w:rsidRPr="00F22AF1">
                    <w:t>Machinery and equipment manufacturing</w:t>
                  </w:r>
                </w:p>
              </w:tc>
              <w:tc>
                <w:tcPr>
                  <w:tcW w:w="834" w:type="pct"/>
                  <w:vAlign w:val="center"/>
                </w:tcPr>
                <w:p w:rsidR="007544CA" w:rsidRDefault="007544CA" w:rsidP="00133508">
                  <w:pPr>
                    <w:pStyle w:val="TableBodyText"/>
                    <w:spacing w:after="20"/>
                  </w:pPr>
                  <w:r>
                    <w:t>132.5</w:t>
                  </w:r>
                </w:p>
              </w:tc>
              <w:tc>
                <w:tcPr>
                  <w:tcW w:w="834" w:type="pct"/>
                  <w:vAlign w:val="center"/>
                </w:tcPr>
                <w:p w:rsidR="007544CA" w:rsidRDefault="007544CA" w:rsidP="00133508">
                  <w:pPr>
                    <w:pStyle w:val="TableBodyText"/>
                    <w:spacing w:after="20"/>
                  </w:pPr>
                  <w:r>
                    <w:noBreakHyphen/>
                    <w:t>5.6</w:t>
                  </w:r>
                </w:p>
              </w:tc>
              <w:tc>
                <w:tcPr>
                  <w:tcW w:w="834" w:type="pct"/>
                  <w:vAlign w:val="center"/>
                </w:tcPr>
                <w:p w:rsidR="007544CA" w:rsidRDefault="007544CA" w:rsidP="00133508">
                  <w:pPr>
                    <w:pStyle w:val="TableBodyText"/>
                    <w:spacing w:after="20"/>
                  </w:pPr>
                  <w:r>
                    <w:t>126.9</w:t>
                  </w:r>
                </w:p>
              </w:tc>
            </w:tr>
            <w:tr w:rsidR="007544CA" w:rsidTr="00133508">
              <w:tc>
                <w:tcPr>
                  <w:tcW w:w="2497" w:type="pct"/>
                </w:tcPr>
                <w:p w:rsidR="007544CA" w:rsidRPr="00F22AF1" w:rsidRDefault="007544CA" w:rsidP="00133508">
                  <w:pPr>
                    <w:pStyle w:val="TableBodyText"/>
                    <w:spacing w:after="20"/>
                    <w:jc w:val="left"/>
                  </w:pPr>
                  <w:r w:rsidRPr="00F22AF1">
                    <w:t>Furniture and other manufacturing</w:t>
                  </w:r>
                </w:p>
              </w:tc>
              <w:tc>
                <w:tcPr>
                  <w:tcW w:w="834" w:type="pct"/>
                  <w:vAlign w:val="center"/>
                </w:tcPr>
                <w:p w:rsidR="007544CA" w:rsidRDefault="007544CA" w:rsidP="00133508">
                  <w:pPr>
                    <w:pStyle w:val="TableBodyText"/>
                    <w:spacing w:after="20"/>
                  </w:pPr>
                  <w:r>
                    <w:t>15.8</w:t>
                  </w:r>
                </w:p>
              </w:tc>
              <w:tc>
                <w:tcPr>
                  <w:tcW w:w="834" w:type="pct"/>
                  <w:vAlign w:val="center"/>
                </w:tcPr>
                <w:p w:rsidR="007544CA" w:rsidRDefault="007544CA" w:rsidP="00133508">
                  <w:pPr>
                    <w:pStyle w:val="TableBodyText"/>
                    <w:spacing w:after="20"/>
                  </w:pPr>
                  <w:r>
                    <w:noBreakHyphen/>
                    <w:t>0.1</w:t>
                  </w:r>
                </w:p>
              </w:tc>
              <w:tc>
                <w:tcPr>
                  <w:tcW w:w="834" w:type="pct"/>
                  <w:vAlign w:val="center"/>
                </w:tcPr>
                <w:p w:rsidR="007544CA" w:rsidRDefault="007544CA" w:rsidP="00133508">
                  <w:pPr>
                    <w:pStyle w:val="TableBodyText"/>
                    <w:spacing w:after="20"/>
                  </w:pPr>
                  <w:r>
                    <w:t>15.7</w:t>
                  </w:r>
                </w:p>
              </w:tc>
            </w:tr>
            <w:tr w:rsidR="007544CA" w:rsidTr="00133508">
              <w:tc>
                <w:tcPr>
                  <w:tcW w:w="2497" w:type="pct"/>
                </w:tcPr>
                <w:p w:rsidR="007544CA" w:rsidRPr="00F22AF1" w:rsidRDefault="007544CA" w:rsidP="00133508">
                  <w:pPr>
                    <w:pStyle w:val="TableBodyText"/>
                    <w:spacing w:after="20"/>
                    <w:jc w:val="left"/>
                  </w:pPr>
                  <w:r w:rsidRPr="00F22AF1">
                    <w:t>Unallocated manufacturing</w:t>
                  </w:r>
                  <w:r w:rsidRPr="00E61C77">
                    <w:rPr>
                      <w:rStyle w:val="NoteLabel"/>
                    </w:rPr>
                    <w:t>b</w:t>
                  </w:r>
                </w:p>
              </w:tc>
              <w:tc>
                <w:tcPr>
                  <w:tcW w:w="834" w:type="pct"/>
                  <w:vAlign w:val="center"/>
                </w:tcPr>
                <w:p w:rsidR="007544CA" w:rsidRDefault="007544CA" w:rsidP="00133508">
                  <w:pPr>
                    <w:pStyle w:val="TableBodyText"/>
                    <w:spacing w:after="30"/>
                  </w:pPr>
                  <w:r>
                    <w:t>144.3</w:t>
                  </w:r>
                </w:p>
              </w:tc>
              <w:tc>
                <w:tcPr>
                  <w:tcW w:w="834" w:type="pct"/>
                  <w:vAlign w:val="center"/>
                </w:tcPr>
                <w:p w:rsidR="007544CA" w:rsidRDefault="007544CA" w:rsidP="00133508">
                  <w:pPr>
                    <w:pStyle w:val="TableBodyText"/>
                    <w:spacing w:after="30"/>
                  </w:pPr>
                  <w:r>
                    <w:t>91.4</w:t>
                  </w:r>
                </w:p>
              </w:tc>
              <w:tc>
                <w:tcPr>
                  <w:tcW w:w="834" w:type="pct"/>
                  <w:vAlign w:val="center"/>
                </w:tcPr>
                <w:p w:rsidR="007544CA" w:rsidRDefault="007544CA" w:rsidP="00133508">
                  <w:pPr>
                    <w:pStyle w:val="TableBodyText"/>
                    <w:spacing w:after="30"/>
                  </w:pPr>
                  <w:r>
                    <w:t>235.8</w:t>
                  </w:r>
                </w:p>
              </w:tc>
            </w:tr>
            <w:tr w:rsidR="007544CA" w:rsidRPr="00A21AD0" w:rsidTr="00133508">
              <w:tc>
                <w:tcPr>
                  <w:tcW w:w="2497" w:type="pct"/>
                </w:tcPr>
                <w:p w:rsidR="007544CA" w:rsidRPr="00A21AD0" w:rsidRDefault="007544CA" w:rsidP="00133508">
                  <w:pPr>
                    <w:pStyle w:val="TableBodyText"/>
                    <w:spacing w:after="30"/>
                    <w:jc w:val="left"/>
                    <w:rPr>
                      <w:b/>
                    </w:rPr>
                  </w:pPr>
                  <w:r w:rsidRPr="00A21AD0">
                    <w:rPr>
                      <w:b/>
                    </w:rPr>
                    <w:t>Services</w:t>
                  </w:r>
                </w:p>
              </w:tc>
              <w:tc>
                <w:tcPr>
                  <w:tcW w:w="834" w:type="pct"/>
                  <w:vAlign w:val="center"/>
                </w:tcPr>
                <w:p w:rsidR="007544CA" w:rsidRPr="00834DF3" w:rsidRDefault="007544CA" w:rsidP="00133508">
                  <w:pPr>
                    <w:pStyle w:val="TableBodyText"/>
                    <w:spacing w:after="30"/>
                    <w:rPr>
                      <w:b/>
                    </w:rPr>
                  </w:pPr>
                  <w:r w:rsidRPr="00834DF3">
                    <w:rPr>
                      <w:b/>
                    </w:rPr>
                    <w:t>1</w:t>
                  </w:r>
                  <w:r>
                    <w:rPr>
                      <w:b/>
                    </w:rPr>
                    <w:t> </w:t>
                  </w:r>
                  <w:r w:rsidRPr="00834DF3">
                    <w:rPr>
                      <w:b/>
                    </w:rPr>
                    <w:t>754.3</w:t>
                  </w:r>
                </w:p>
              </w:tc>
              <w:tc>
                <w:tcPr>
                  <w:tcW w:w="834" w:type="pct"/>
                  <w:vAlign w:val="center"/>
                </w:tcPr>
                <w:p w:rsidR="007544CA" w:rsidRPr="00834DF3" w:rsidRDefault="007544CA" w:rsidP="00133508">
                  <w:pPr>
                    <w:pStyle w:val="TableBodyText"/>
                    <w:spacing w:after="30"/>
                    <w:rPr>
                      <w:b/>
                    </w:rPr>
                  </w:pPr>
                  <w:r w:rsidRPr="00834DF3">
                    <w:rPr>
                      <w:b/>
                    </w:rPr>
                    <w:t>1</w:t>
                  </w:r>
                  <w:r>
                    <w:rPr>
                      <w:b/>
                    </w:rPr>
                    <w:t> </w:t>
                  </w:r>
                  <w:r w:rsidRPr="00834DF3">
                    <w:rPr>
                      <w:b/>
                    </w:rPr>
                    <w:t>677.1</w:t>
                  </w:r>
                </w:p>
              </w:tc>
              <w:tc>
                <w:tcPr>
                  <w:tcW w:w="834" w:type="pct"/>
                  <w:vAlign w:val="center"/>
                </w:tcPr>
                <w:p w:rsidR="007544CA" w:rsidRPr="00834DF3" w:rsidRDefault="007544CA" w:rsidP="00133508">
                  <w:pPr>
                    <w:pStyle w:val="TableBodyText"/>
                    <w:spacing w:after="30"/>
                    <w:rPr>
                      <w:b/>
                    </w:rPr>
                  </w:pPr>
                  <w:r w:rsidRPr="00834DF3">
                    <w:rPr>
                      <w:b/>
                    </w:rPr>
                    <w:t>3</w:t>
                  </w:r>
                  <w:r>
                    <w:rPr>
                      <w:b/>
                    </w:rPr>
                    <w:t> </w:t>
                  </w:r>
                  <w:r w:rsidRPr="00834DF3">
                    <w:rPr>
                      <w:b/>
                    </w:rPr>
                    <w:t>431.4</w:t>
                  </w:r>
                </w:p>
              </w:tc>
            </w:tr>
            <w:tr w:rsidR="007544CA" w:rsidTr="00133508">
              <w:tc>
                <w:tcPr>
                  <w:tcW w:w="2497" w:type="pct"/>
                </w:tcPr>
                <w:p w:rsidR="007544CA" w:rsidRPr="00F22AF1" w:rsidRDefault="007544CA" w:rsidP="00133508">
                  <w:pPr>
                    <w:pStyle w:val="TableBodyText"/>
                    <w:spacing w:after="20"/>
                    <w:jc w:val="left"/>
                  </w:pPr>
                  <w:r w:rsidRPr="00F22AF1">
                    <w:t>Electricity, gas, water and waste services</w:t>
                  </w:r>
                </w:p>
              </w:tc>
              <w:tc>
                <w:tcPr>
                  <w:tcW w:w="834" w:type="pct"/>
                  <w:vAlign w:val="center"/>
                </w:tcPr>
                <w:p w:rsidR="007544CA" w:rsidRDefault="007544CA" w:rsidP="00133508">
                  <w:pPr>
                    <w:pStyle w:val="TableBodyText"/>
                    <w:spacing w:after="20"/>
                  </w:pPr>
                  <w:r>
                    <w:t>196.4</w:t>
                  </w:r>
                </w:p>
              </w:tc>
              <w:tc>
                <w:tcPr>
                  <w:tcW w:w="834" w:type="pct"/>
                  <w:vAlign w:val="center"/>
                </w:tcPr>
                <w:p w:rsidR="007544CA" w:rsidRDefault="007544CA" w:rsidP="00133508">
                  <w:pPr>
                    <w:pStyle w:val="TableBodyText"/>
                    <w:spacing w:after="20"/>
                  </w:pPr>
                  <w:r>
                    <w:t>13.6</w:t>
                  </w:r>
                </w:p>
              </w:tc>
              <w:tc>
                <w:tcPr>
                  <w:tcW w:w="834" w:type="pct"/>
                  <w:vAlign w:val="center"/>
                </w:tcPr>
                <w:p w:rsidR="007544CA" w:rsidRDefault="007544CA" w:rsidP="00133508">
                  <w:pPr>
                    <w:pStyle w:val="TableBodyText"/>
                    <w:spacing w:after="20"/>
                  </w:pPr>
                  <w:r>
                    <w:t>210.0</w:t>
                  </w:r>
                </w:p>
              </w:tc>
            </w:tr>
            <w:tr w:rsidR="007544CA" w:rsidTr="00133508">
              <w:tc>
                <w:tcPr>
                  <w:tcW w:w="2497" w:type="pct"/>
                </w:tcPr>
                <w:p w:rsidR="007544CA" w:rsidRPr="00F22AF1" w:rsidRDefault="007544CA" w:rsidP="00133508">
                  <w:pPr>
                    <w:pStyle w:val="TableBodyText"/>
                    <w:spacing w:after="20"/>
                    <w:jc w:val="left"/>
                  </w:pPr>
                  <w:r w:rsidRPr="00F22AF1">
                    <w:t>Construction</w:t>
                  </w:r>
                </w:p>
              </w:tc>
              <w:tc>
                <w:tcPr>
                  <w:tcW w:w="834" w:type="pct"/>
                  <w:vAlign w:val="center"/>
                </w:tcPr>
                <w:p w:rsidR="007544CA" w:rsidRDefault="007544CA" w:rsidP="00133508">
                  <w:pPr>
                    <w:pStyle w:val="TableBodyText"/>
                    <w:spacing w:after="20"/>
                  </w:pPr>
                  <w:r>
                    <w:t>40.6</w:t>
                  </w:r>
                </w:p>
              </w:tc>
              <w:tc>
                <w:tcPr>
                  <w:tcW w:w="834" w:type="pct"/>
                  <w:vAlign w:val="center"/>
                </w:tcPr>
                <w:p w:rsidR="007544CA" w:rsidRDefault="007544CA" w:rsidP="00133508">
                  <w:pPr>
                    <w:pStyle w:val="TableBodyText"/>
                    <w:spacing w:after="20"/>
                  </w:pPr>
                  <w:r>
                    <w:t>34.0</w:t>
                  </w:r>
                </w:p>
              </w:tc>
              <w:tc>
                <w:tcPr>
                  <w:tcW w:w="834" w:type="pct"/>
                  <w:vAlign w:val="center"/>
                </w:tcPr>
                <w:p w:rsidR="007544CA" w:rsidRDefault="007544CA" w:rsidP="00133508">
                  <w:pPr>
                    <w:pStyle w:val="TableBodyText"/>
                    <w:spacing w:after="20"/>
                  </w:pPr>
                  <w:r>
                    <w:t>74.7</w:t>
                  </w:r>
                </w:p>
              </w:tc>
            </w:tr>
            <w:tr w:rsidR="007544CA" w:rsidTr="00133508">
              <w:tc>
                <w:tcPr>
                  <w:tcW w:w="2497" w:type="pct"/>
                </w:tcPr>
                <w:p w:rsidR="007544CA" w:rsidRPr="00F22AF1" w:rsidRDefault="007544CA" w:rsidP="00133508">
                  <w:pPr>
                    <w:pStyle w:val="TableBodyText"/>
                    <w:spacing w:after="20"/>
                    <w:jc w:val="left"/>
                  </w:pPr>
                  <w:r w:rsidRPr="00F22AF1">
                    <w:t>Wholesale trade</w:t>
                  </w:r>
                </w:p>
              </w:tc>
              <w:tc>
                <w:tcPr>
                  <w:tcW w:w="834" w:type="pct"/>
                  <w:vAlign w:val="center"/>
                </w:tcPr>
                <w:p w:rsidR="007544CA" w:rsidRDefault="007544CA" w:rsidP="00133508">
                  <w:pPr>
                    <w:pStyle w:val="TableBodyText"/>
                    <w:spacing w:after="20"/>
                  </w:pPr>
                  <w:r>
                    <w:t>63.7</w:t>
                  </w:r>
                </w:p>
              </w:tc>
              <w:tc>
                <w:tcPr>
                  <w:tcW w:w="834" w:type="pct"/>
                  <w:vAlign w:val="center"/>
                </w:tcPr>
                <w:p w:rsidR="007544CA" w:rsidRDefault="007544CA" w:rsidP="00133508">
                  <w:pPr>
                    <w:pStyle w:val="TableBodyText"/>
                    <w:spacing w:after="20"/>
                  </w:pPr>
                  <w:r>
                    <w:t>76.7</w:t>
                  </w:r>
                </w:p>
              </w:tc>
              <w:tc>
                <w:tcPr>
                  <w:tcW w:w="834" w:type="pct"/>
                  <w:vAlign w:val="center"/>
                </w:tcPr>
                <w:p w:rsidR="007544CA" w:rsidRDefault="007544CA" w:rsidP="00133508">
                  <w:pPr>
                    <w:pStyle w:val="TableBodyText"/>
                    <w:spacing w:after="20"/>
                  </w:pPr>
                  <w:r>
                    <w:t>140.4</w:t>
                  </w:r>
                </w:p>
              </w:tc>
            </w:tr>
            <w:tr w:rsidR="007544CA" w:rsidTr="00133508">
              <w:tc>
                <w:tcPr>
                  <w:tcW w:w="2497" w:type="pct"/>
                </w:tcPr>
                <w:p w:rsidR="007544CA" w:rsidRPr="00F22AF1" w:rsidRDefault="007544CA" w:rsidP="00133508">
                  <w:pPr>
                    <w:pStyle w:val="TableBodyText"/>
                    <w:spacing w:after="20"/>
                    <w:jc w:val="left"/>
                  </w:pPr>
                  <w:r w:rsidRPr="00F22AF1">
                    <w:t>Retail trade</w:t>
                  </w:r>
                </w:p>
              </w:tc>
              <w:tc>
                <w:tcPr>
                  <w:tcW w:w="834" w:type="pct"/>
                  <w:vAlign w:val="center"/>
                </w:tcPr>
                <w:p w:rsidR="007544CA" w:rsidRDefault="007544CA" w:rsidP="00133508">
                  <w:pPr>
                    <w:pStyle w:val="TableBodyText"/>
                    <w:spacing w:after="20"/>
                  </w:pPr>
                  <w:r>
                    <w:t>26.8</w:t>
                  </w:r>
                </w:p>
              </w:tc>
              <w:tc>
                <w:tcPr>
                  <w:tcW w:w="834" w:type="pct"/>
                  <w:vAlign w:val="center"/>
                </w:tcPr>
                <w:p w:rsidR="007544CA" w:rsidRDefault="007544CA" w:rsidP="00133508">
                  <w:pPr>
                    <w:pStyle w:val="TableBodyText"/>
                    <w:spacing w:after="20"/>
                  </w:pPr>
                  <w:r>
                    <w:t>67.0</w:t>
                  </w:r>
                </w:p>
              </w:tc>
              <w:tc>
                <w:tcPr>
                  <w:tcW w:w="834" w:type="pct"/>
                  <w:vAlign w:val="center"/>
                </w:tcPr>
                <w:p w:rsidR="007544CA" w:rsidRDefault="007544CA" w:rsidP="00133508">
                  <w:pPr>
                    <w:pStyle w:val="TableBodyText"/>
                    <w:spacing w:after="20"/>
                  </w:pPr>
                  <w:r>
                    <w:t>93.8</w:t>
                  </w:r>
                </w:p>
              </w:tc>
            </w:tr>
            <w:tr w:rsidR="007544CA" w:rsidTr="00133508">
              <w:tc>
                <w:tcPr>
                  <w:tcW w:w="2497" w:type="pct"/>
                </w:tcPr>
                <w:p w:rsidR="007544CA" w:rsidRPr="00F22AF1" w:rsidRDefault="007544CA" w:rsidP="00133508">
                  <w:pPr>
                    <w:pStyle w:val="TableBodyText"/>
                    <w:spacing w:after="20"/>
                    <w:jc w:val="left"/>
                  </w:pPr>
                  <w:r w:rsidRPr="00F22AF1">
                    <w:t>Accommodation and food services</w:t>
                  </w:r>
                </w:p>
              </w:tc>
              <w:tc>
                <w:tcPr>
                  <w:tcW w:w="834" w:type="pct"/>
                  <w:vAlign w:val="center"/>
                </w:tcPr>
                <w:p w:rsidR="007544CA" w:rsidRDefault="007544CA" w:rsidP="00133508">
                  <w:pPr>
                    <w:pStyle w:val="TableBodyText"/>
                    <w:spacing w:after="20"/>
                  </w:pPr>
                  <w:r>
                    <w:t>6.4</w:t>
                  </w:r>
                </w:p>
              </w:tc>
              <w:tc>
                <w:tcPr>
                  <w:tcW w:w="834" w:type="pct"/>
                  <w:vAlign w:val="center"/>
                </w:tcPr>
                <w:p w:rsidR="007544CA" w:rsidRDefault="007544CA" w:rsidP="00133508">
                  <w:pPr>
                    <w:pStyle w:val="TableBodyText"/>
                    <w:spacing w:after="20"/>
                  </w:pPr>
                  <w:r>
                    <w:t>66.7</w:t>
                  </w:r>
                </w:p>
              </w:tc>
              <w:tc>
                <w:tcPr>
                  <w:tcW w:w="834" w:type="pct"/>
                  <w:vAlign w:val="center"/>
                </w:tcPr>
                <w:p w:rsidR="007544CA" w:rsidRDefault="007544CA" w:rsidP="00133508">
                  <w:pPr>
                    <w:pStyle w:val="TableBodyText"/>
                    <w:spacing w:after="20"/>
                  </w:pPr>
                  <w:r>
                    <w:t>73.1</w:t>
                  </w:r>
                </w:p>
              </w:tc>
            </w:tr>
            <w:tr w:rsidR="007544CA" w:rsidTr="00133508">
              <w:tc>
                <w:tcPr>
                  <w:tcW w:w="2497" w:type="pct"/>
                </w:tcPr>
                <w:p w:rsidR="007544CA" w:rsidRPr="00F22AF1" w:rsidRDefault="007544CA" w:rsidP="00133508">
                  <w:pPr>
                    <w:pStyle w:val="TableBodyText"/>
                    <w:spacing w:after="20"/>
                    <w:jc w:val="left"/>
                  </w:pPr>
                  <w:r w:rsidRPr="00F22AF1">
                    <w:t>Transport, postal and warehousing</w:t>
                  </w:r>
                </w:p>
              </w:tc>
              <w:tc>
                <w:tcPr>
                  <w:tcW w:w="834" w:type="pct"/>
                  <w:vAlign w:val="center"/>
                </w:tcPr>
                <w:p w:rsidR="007544CA" w:rsidRDefault="007544CA" w:rsidP="00133508">
                  <w:pPr>
                    <w:pStyle w:val="TableBodyText"/>
                    <w:spacing w:after="20"/>
                  </w:pPr>
                  <w:r>
                    <w:t>57.9</w:t>
                  </w:r>
                </w:p>
              </w:tc>
              <w:tc>
                <w:tcPr>
                  <w:tcW w:w="834" w:type="pct"/>
                  <w:vAlign w:val="center"/>
                </w:tcPr>
                <w:p w:rsidR="007544CA" w:rsidRDefault="007544CA" w:rsidP="00133508">
                  <w:pPr>
                    <w:pStyle w:val="TableBodyText"/>
                    <w:spacing w:after="20"/>
                  </w:pPr>
                  <w:r>
                    <w:t>34.4</w:t>
                  </w:r>
                </w:p>
              </w:tc>
              <w:tc>
                <w:tcPr>
                  <w:tcW w:w="834" w:type="pct"/>
                  <w:vAlign w:val="center"/>
                </w:tcPr>
                <w:p w:rsidR="007544CA" w:rsidRDefault="007544CA" w:rsidP="00133508">
                  <w:pPr>
                    <w:pStyle w:val="TableBodyText"/>
                    <w:spacing w:after="20"/>
                  </w:pPr>
                  <w:r>
                    <w:t>92.4</w:t>
                  </w:r>
                </w:p>
              </w:tc>
            </w:tr>
            <w:tr w:rsidR="007544CA" w:rsidTr="00133508">
              <w:tc>
                <w:tcPr>
                  <w:tcW w:w="2497" w:type="pct"/>
                </w:tcPr>
                <w:p w:rsidR="007544CA" w:rsidRPr="00F22AF1" w:rsidRDefault="007544CA" w:rsidP="00133508">
                  <w:pPr>
                    <w:pStyle w:val="TableBodyText"/>
                    <w:spacing w:after="20"/>
                    <w:jc w:val="left"/>
                  </w:pPr>
                  <w:r w:rsidRPr="00F22AF1">
                    <w:t>Information, media and telecommunications</w:t>
                  </w:r>
                </w:p>
              </w:tc>
              <w:tc>
                <w:tcPr>
                  <w:tcW w:w="834" w:type="pct"/>
                  <w:vAlign w:val="center"/>
                </w:tcPr>
                <w:p w:rsidR="007544CA" w:rsidRDefault="007544CA" w:rsidP="00133508">
                  <w:pPr>
                    <w:pStyle w:val="TableBodyText"/>
                    <w:spacing w:after="20"/>
                  </w:pPr>
                  <w:r>
                    <w:t>112.6</w:t>
                  </w:r>
                </w:p>
              </w:tc>
              <w:tc>
                <w:tcPr>
                  <w:tcW w:w="834" w:type="pct"/>
                  <w:vAlign w:val="center"/>
                </w:tcPr>
                <w:p w:rsidR="007544CA" w:rsidRDefault="007544CA" w:rsidP="00133508">
                  <w:pPr>
                    <w:pStyle w:val="TableBodyText"/>
                    <w:spacing w:after="20"/>
                  </w:pPr>
                  <w:r>
                    <w:t>5.5</w:t>
                  </w:r>
                </w:p>
              </w:tc>
              <w:tc>
                <w:tcPr>
                  <w:tcW w:w="834" w:type="pct"/>
                  <w:vAlign w:val="center"/>
                </w:tcPr>
                <w:p w:rsidR="007544CA" w:rsidRDefault="007544CA" w:rsidP="00133508">
                  <w:pPr>
                    <w:pStyle w:val="TableBodyText"/>
                    <w:spacing w:after="20"/>
                  </w:pPr>
                  <w:r>
                    <w:t>118.1</w:t>
                  </w:r>
                </w:p>
              </w:tc>
            </w:tr>
            <w:tr w:rsidR="007544CA" w:rsidTr="00133508">
              <w:tc>
                <w:tcPr>
                  <w:tcW w:w="2497" w:type="pct"/>
                </w:tcPr>
                <w:p w:rsidR="007544CA" w:rsidRPr="00F22AF1" w:rsidRDefault="007544CA" w:rsidP="00133508">
                  <w:pPr>
                    <w:pStyle w:val="TableBodyText"/>
                    <w:spacing w:after="20"/>
                    <w:jc w:val="left"/>
                  </w:pPr>
                  <w:r w:rsidRPr="00F22AF1">
                    <w:t>Financial and insurance services</w:t>
                  </w:r>
                </w:p>
              </w:tc>
              <w:tc>
                <w:tcPr>
                  <w:tcW w:w="834" w:type="pct"/>
                  <w:vAlign w:val="center"/>
                </w:tcPr>
                <w:p w:rsidR="007544CA" w:rsidRDefault="007544CA" w:rsidP="00133508">
                  <w:pPr>
                    <w:pStyle w:val="TableBodyText"/>
                    <w:spacing w:after="20"/>
                  </w:pPr>
                  <w:r>
                    <w:t>278.6</w:t>
                  </w:r>
                </w:p>
              </w:tc>
              <w:tc>
                <w:tcPr>
                  <w:tcW w:w="834" w:type="pct"/>
                  <w:vAlign w:val="center"/>
                </w:tcPr>
                <w:p w:rsidR="007544CA" w:rsidRDefault="007544CA" w:rsidP="00133508">
                  <w:pPr>
                    <w:pStyle w:val="TableBodyText"/>
                    <w:spacing w:after="20"/>
                  </w:pPr>
                  <w:r>
                    <w:t>937.0</w:t>
                  </w:r>
                </w:p>
              </w:tc>
              <w:tc>
                <w:tcPr>
                  <w:tcW w:w="834" w:type="pct"/>
                  <w:vAlign w:val="center"/>
                </w:tcPr>
                <w:p w:rsidR="007544CA" w:rsidRDefault="007544CA" w:rsidP="00133508">
                  <w:pPr>
                    <w:pStyle w:val="TableBodyText"/>
                    <w:spacing w:after="20"/>
                  </w:pPr>
                  <w:r>
                    <w:t>1 215.7</w:t>
                  </w:r>
                </w:p>
              </w:tc>
            </w:tr>
            <w:tr w:rsidR="007544CA" w:rsidTr="00133508">
              <w:tc>
                <w:tcPr>
                  <w:tcW w:w="2497" w:type="pct"/>
                </w:tcPr>
                <w:p w:rsidR="007544CA" w:rsidRPr="00F22AF1" w:rsidRDefault="007544CA" w:rsidP="00133508">
                  <w:pPr>
                    <w:pStyle w:val="TableBodyText"/>
                    <w:spacing w:after="20"/>
                    <w:jc w:val="left"/>
                  </w:pPr>
                  <w:r w:rsidRPr="00F22AF1">
                    <w:t>Property, professional and admin. services</w:t>
                  </w:r>
                </w:p>
              </w:tc>
              <w:tc>
                <w:tcPr>
                  <w:tcW w:w="834" w:type="pct"/>
                  <w:vAlign w:val="center"/>
                </w:tcPr>
                <w:p w:rsidR="007544CA" w:rsidRDefault="007544CA" w:rsidP="00133508">
                  <w:pPr>
                    <w:pStyle w:val="TableBodyText"/>
                    <w:spacing w:after="20"/>
                  </w:pPr>
                  <w:r>
                    <w:t>587.3</w:t>
                  </w:r>
                </w:p>
              </w:tc>
              <w:tc>
                <w:tcPr>
                  <w:tcW w:w="834" w:type="pct"/>
                  <w:vAlign w:val="center"/>
                </w:tcPr>
                <w:p w:rsidR="007544CA" w:rsidRDefault="007544CA" w:rsidP="00133508">
                  <w:pPr>
                    <w:pStyle w:val="TableBodyText"/>
                    <w:spacing w:after="20"/>
                  </w:pPr>
                  <w:r>
                    <w:t>132.2</w:t>
                  </w:r>
                </w:p>
              </w:tc>
              <w:tc>
                <w:tcPr>
                  <w:tcW w:w="834" w:type="pct"/>
                  <w:vAlign w:val="center"/>
                </w:tcPr>
                <w:p w:rsidR="007544CA" w:rsidRDefault="007544CA" w:rsidP="00133508">
                  <w:pPr>
                    <w:pStyle w:val="TableBodyText"/>
                    <w:spacing w:after="20"/>
                  </w:pPr>
                  <w:r>
                    <w:t>719.5</w:t>
                  </w:r>
                </w:p>
              </w:tc>
            </w:tr>
            <w:tr w:rsidR="007544CA" w:rsidTr="00133508">
              <w:tc>
                <w:tcPr>
                  <w:tcW w:w="2497" w:type="pct"/>
                </w:tcPr>
                <w:p w:rsidR="007544CA" w:rsidRPr="00F22AF1" w:rsidRDefault="007544CA" w:rsidP="00133508">
                  <w:pPr>
                    <w:pStyle w:val="TableBodyText"/>
                    <w:spacing w:after="20"/>
                    <w:jc w:val="left"/>
                  </w:pPr>
                  <w:r w:rsidRPr="00F22AF1">
                    <w:t>Public administration and safety</w:t>
                  </w:r>
                </w:p>
              </w:tc>
              <w:tc>
                <w:tcPr>
                  <w:tcW w:w="834" w:type="pct"/>
                  <w:vAlign w:val="center"/>
                </w:tcPr>
                <w:p w:rsidR="007544CA" w:rsidRDefault="007544CA" w:rsidP="00133508">
                  <w:pPr>
                    <w:pStyle w:val="TableBodyText"/>
                    <w:spacing w:after="20"/>
                  </w:pPr>
                  <w:r>
                    <w:t>13.5</w:t>
                  </w:r>
                </w:p>
              </w:tc>
              <w:tc>
                <w:tcPr>
                  <w:tcW w:w="834" w:type="pct"/>
                  <w:vAlign w:val="center"/>
                </w:tcPr>
                <w:p w:rsidR="007544CA" w:rsidRDefault="007544CA" w:rsidP="00133508">
                  <w:pPr>
                    <w:pStyle w:val="TableBodyText"/>
                    <w:spacing w:after="20"/>
                  </w:pPr>
                  <w:r>
                    <w:t>0.2</w:t>
                  </w:r>
                </w:p>
              </w:tc>
              <w:tc>
                <w:tcPr>
                  <w:tcW w:w="834" w:type="pct"/>
                  <w:vAlign w:val="center"/>
                </w:tcPr>
                <w:p w:rsidR="007544CA" w:rsidRDefault="007544CA" w:rsidP="00133508">
                  <w:pPr>
                    <w:pStyle w:val="TableBodyText"/>
                    <w:spacing w:after="20"/>
                  </w:pPr>
                  <w:r>
                    <w:t>13.6</w:t>
                  </w:r>
                </w:p>
              </w:tc>
            </w:tr>
            <w:tr w:rsidR="007544CA" w:rsidTr="00133508">
              <w:tc>
                <w:tcPr>
                  <w:tcW w:w="2497" w:type="pct"/>
                </w:tcPr>
                <w:p w:rsidR="007544CA" w:rsidRPr="00F22AF1" w:rsidRDefault="007544CA" w:rsidP="00133508">
                  <w:pPr>
                    <w:pStyle w:val="TableBodyText"/>
                    <w:spacing w:after="20"/>
                    <w:jc w:val="left"/>
                  </w:pPr>
                  <w:r w:rsidRPr="00F22AF1">
                    <w:t>Education and training</w:t>
                  </w:r>
                </w:p>
              </w:tc>
              <w:tc>
                <w:tcPr>
                  <w:tcW w:w="834" w:type="pct"/>
                  <w:vAlign w:val="center"/>
                </w:tcPr>
                <w:p w:rsidR="007544CA" w:rsidRDefault="007544CA" w:rsidP="00133508">
                  <w:pPr>
                    <w:pStyle w:val="TableBodyText"/>
                    <w:spacing w:after="20"/>
                  </w:pPr>
                  <w:r>
                    <w:t>18.0</w:t>
                  </w:r>
                </w:p>
              </w:tc>
              <w:tc>
                <w:tcPr>
                  <w:tcW w:w="834" w:type="pct"/>
                  <w:vAlign w:val="center"/>
                </w:tcPr>
                <w:p w:rsidR="007544CA" w:rsidRDefault="007544CA" w:rsidP="00133508">
                  <w:pPr>
                    <w:pStyle w:val="TableBodyText"/>
                    <w:spacing w:after="20"/>
                  </w:pPr>
                  <w:r>
                    <w:t>5.9</w:t>
                  </w:r>
                </w:p>
              </w:tc>
              <w:tc>
                <w:tcPr>
                  <w:tcW w:w="834" w:type="pct"/>
                  <w:vAlign w:val="center"/>
                </w:tcPr>
                <w:p w:rsidR="007544CA" w:rsidRDefault="007544CA" w:rsidP="00133508">
                  <w:pPr>
                    <w:pStyle w:val="TableBodyText"/>
                    <w:spacing w:after="20"/>
                  </w:pPr>
                  <w:r>
                    <w:t>23.9</w:t>
                  </w:r>
                </w:p>
              </w:tc>
            </w:tr>
            <w:tr w:rsidR="007544CA" w:rsidTr="00133508">
              <w:tc>
                <w:tcPr>
                  <w:tcW w:w="2497" w:type="pct"/>
                </w:tcPr>
                <w:p w:rsidR="007544CA" w:rsidRPr="0008512F" w:rsidRDefault="007544CA" w:rsidP="00133508">
                  <w:pPr>
                    <w:pStyle w:val="TableBodyText"/>
                    <w:spacing w:after="20"/>
                    <w:jc w:val="left"/>
                  </w:pPr>
                  <w:r w:rsidRPr="0008512F">
                    <w:t>Health care and social assistance</w:t>
                  </w:r>
                </w:p>
              </w:tc>
              <w:tc>
                <w:tcPr>
                  <w:tcW w:w="834" w:type="pct"/>
                  <w:vAlign w:val="center"/>
                </w:tcPr>
                <w:p w:rsidR="007544CA" w:rsidRDefault="007544CA" w:rsidP="00133508">
                  <w:pPr>
                    <w:pStyle w:val="TableBodyText"/>
                    <w:spacing w:after="20"/>
                  </w:pPr>
                  <w:r>
                    <w:t>98.1</w:t>
                  </w:r>
                </w:p>
              </w:tc>
              <w:tc>
                <w:tcPr>
                  <w:tcW w:w="834" w:type="pct"/>
                  <w:vAlign w:val="center"/>
                </w:tcPr>
                <w:p w:rsidR="007544CA" w:rsidRDefault="007544CA" w:rsidP="00133508">
                  <w:pPr>
                    <w:pStyle w:val="TableBodyText"/>
                    <w:spacing w:after="20"/>
                  </w:pPr>
                  <w:r>
                    <w:t>75.8</w:t>
                  </w:r>
                </w:p>
              </w:tc>
              <w:tc>
                <w:tcPr>
                  <w:tcW w:w="834" w:type="pct"/>
                  <w:vAlign w:val="center"/>
                </w:tcPr>
                <w:p w:rsidR="007544CA" w:rsidRDefault="007544CA" w:rsidP="00133508">
                  <w:pPr>
                    <w:pStyle w:val="TableBodyText"/>
                    <w:spacing w:after="20"/>
                  </w:pPr>
                  <w:r>
                    <w:t>174.0</w:t>
                  </w:r>
                </w:p>
              </w:tc>
            </w:tr>
            <w:tr w:rsidR="007544CA" w:rsidTr="00133508">
              <w:tc>
                <w:tcPr>
                  <w:tcW w:w="2497" w:type="pct"/>
                </w:tcPr>
                <w:p w:rsidR="007544CA" w:rsidRPr="0008512F" w:rsidRDefault="007544CA" w:rsidP="00133508">
                  <w:pPr>
                    <w:pStyle w:val="TableBodyText"/>
                    <w:spacing w:after="20"/>
                    <w:jc w:val="left"/>
                  </w:pPr>
                  <w:r w:rsidRPr="0008512F">
                    <w:t>Arts and recreation services</w:t>
                  </w:r>
                </w:p>
              </w:tc>
              <w:tc>
                <w:tcPr>
                  <w:tcW w:w="834" w:type="pct"/>
                  <w:vAlign w:val="center"/>
                </w:tcPr>
                <w:p w:rsidR="007544CA" w:rsidRDefault="007544CA" w:rsidP="00133508">
                  <w:pPr>
                    <w:pStyle w:val="TableBodyText"/>
                    <w:spacing w:after="20"/>
                  </w:pPr>
                  <w:r>
                    <w:t>100.6</w:t>
                  </w:r>
                </w:p>
              </w:tc>
              <w:tc>
                <w:tcPr>
                  <w:tcW w:w="834" w:type="pct"/>
                  <w:vAlign w:val="center"/>
                </w:tcPr>
                <w:p w:rsidR="007544CA" w:rsidRDefault="007544CA" w:rsidP="00133508">
                  <w:pPr>
                    <w:pStyle w:val="TableBodyText"/>
                    <w:spacing w:after="20"/>
                  </w:pPr>
                  <w:r>
                    <w:t>211.6</w:t>
                  </w:r>
                </w:p>
              </w:tc>
              <w:tc>
                <w:tcPr>
                  <w:tcW w:w="834" w:type="pct"/>
                  <w:vAlign w:val="center"/>
                </w:tcPr>
                <w:p w:rsidR="007544CA" w:rsidRDefault="007544CA" w:rsidP="00133508">
                  <w:pPr>
                    <w:pStyle w:val="TableBodyText"/>
                    <w:spacing w:after="20"/>
                  </w:pPr>
                  <w:r>
                    <w:t>312.2</w:t>
                  </w:r>
                </w:p>
              </w:tc>
            </w:tr>
            <w:tr w:rsidR="007544CA" w:rsidTr="00133508">
              <w:tc>
                <w:tcPr>
                  <w:tcW w:w="2497" w:type="pct"/>
                </w:tcPr>
                <w:p w:rsidR="007544CA" w:rsidRPr="0008512F" w:rsidRDefault="007544CA" w:rsidP="00133508">
                  <w:pPr>
                    <w:pStyle w:val="TableBodyText"/>
                    <w:spacing w:after="20"/>
                    <w:jc w:val="left"/>
                  </w:pPr>
                  <w:r w:rsidRPr="0008512F">
                    <w:t>Other services</w:t>
                  </w:r>
                </w:p>
              </w:tc>
              <w:tc>
                <w:tcPr>
                  <w:tcW w:w="834" w:type="pct"/>
                  <w:vAlign w:val="center"/>
                </w:tcPr>
                <w:p w:rsidR="007544CA" w:rsidRDefault="007544CA" w:rsidP="00133508">
                  <w:pPr>
                    <w:pStyle w:val="TableBodyText"/>
                    <w:spacing w:after="20"/>
                  </w:pPr>
                  <w:r>
                    <w:t>14.8</w:t>
                  </w:r>
                </w:p>
              </w:tc>
              <w:tc>
                <w:tcPr>
                  <w:tcW w:w="834" w:type="pct"/>
                  <w:vAlign w:val="center"/>
                </w:tcPr>
                <w:p w:rsidR="007544CA" w:rsidRDefault="007544CA" w:rsidP="00133508">
                  <w:pPr>
                    <w:pStyle w:val="TableBodyText"/>
                    <w:spacing w:after="20"/>
                  </w:pPr>
                  <w:r>
                    <w:t>16.4</w:t>
                  </w:r>
                </w:p>
              </w:tc>
              <w:tc>
                <w:tcPr>
                  <w:tcW w:w="834" w:type="pct"/>
                  <w:vAlign w:val="center"/>
                </w:tcPr>
                <w:p w:rsidR="007544CA" w:rsidRDefault="007544CA" w:rsidP="00133508">
                  <w:pPr>
                    <w:pStyle w:val="TableBodyText"/>
                    <w:spacing w:after="20"/>
                  </w:pPr>
                  <w:r>
                    <w:t>31.2</w:t>
                  </w:r>
                </w:p>
              </w:tc>
            </w:tr>
            <w:tr w:rsidR="007544CA" w:rsidTr="00133508">
              <w:tc>
                <w:tcPr>
                  <w:tcW w:w="2497" w:type="pct"/>
                </w:tcPr>
                <w:p w:rsidR="007544CA" w:rsidRPr="0008512F" w:rsidRDefault="007544CA" w:rsidP="00133508">
                  <w:pPr>
                    <w:pStyle w:val="TableBodyText"/>
                    <w:spacing w:after="20"/>
                    <w:jc w:val="left"/>
                  </w:pPr>
                  <w:r w:rsidRPr="0008512F">
                    <w:t>Unallocated services</w:t>
                  </w:r>
                  <w:r w:rsidRPr="00E61C77">
                    <w:rPr>
                      <w:rStyle w:val="NoteLabel"/>
                    </w:rPr>
                    <w:t>b</w:t>
                  </w:r>
                </w:p>
              </w:tc>
              <w:tc>
                <w:tcPr>
                  <w:tcW w:w="834" w:type="pct"/>
                  <w:vAlign w:val="center"/>
                </w:tcPr>
                <w:p w:rsidR="007544CA" w:rsidRDefault="007544CA" w:rsidP="00133508">
                  <w:pPr>
                    <w:pStyle w:val="TableBodyText"/>
                  </w:pPr>
                  <w:r>
                    <w:t>138.9</w:t>
                  </w:r>
                </w:p>
              </w:tc>
              <w:tc>
                <w:tcPr>
                  <w:tcW w:w="834" w:type="pct"/>
                  <w:vAlign w:val="center"/>
                </w:tcPr>
                <w:p w:rsidR="007544CA" w:rsidRDefault="007544CA" w:rsidP="00133508">
                  <w:pPr>
                    <w:pStyle w:val="TableBodyText"/>
                  </w:pPr>
                  <w:r>
                    <w:t>0.0</w:t>
                  </w:r>
                </w:p>
              </w:tc>
              <w:tc>
                <w:tcPr>
                  <w:tcW w:w="834" w:type="pct"/>
                  <w:vAlign w:val="center"/>
                </w:tcPr>
                <w:p w:rsidR="007544CA" w:rsidRDefault="007544CA" w:rsidP="00133508">
                  <w:pPr>
                    <w:pStyle w:val="TableBodyText"/>
                  </w:pPr>
                  <w:r>
                    <w:t>138.9</w:t>
                  </w:r>
                </w:p>
              </w:tc>
            </w:tr>
            <w:tr w:rsidR="007544CA" w:rsidRPr="00A21AD0" w:rsidTr="00133508">
              <w:tc>
                <w:tcPr>
                  <w:tcW w:w="2497" w:type="pct"/>
                </w:tcPr>
                <w:p w:rsidR="007544CA" w:rsidRPr="00A21AD0" w:rsidRDefault="007544CA" w:rsidP="00133508">
                  <w:pPr>
                    <w:pStyle w:val="TableBodyText"/>
                    <w:spacing w:after="30"/>
                    <w:jc w:val="left"/>
                    <w:rPr>
                      <w:b/>
                    </w:rPr>
                  </w:pPr>
                  <w:r w:rsidRPr="00A21AD0">
                    <w:rPr>
                      <w:b/>
                    </w:rPr>
                    <w:t>Unallocated other</w:t>
                  </w:r>
                  <w:r w:rsidRPr="00E61C77">
                    <w:rPr>
                      <w:rStyle w:val="NoteLabel"/>
                    </w:rPr>
                    <w:t>b</w:t>
                  </w:r>
                </w:p>
              </w:tc>
              <w:tc>
                <w:tcPr>
                  <w:tcW w:w="834" w:type="pct"/>
                  <w:vAlign w:val="center"/>
                </w:tcPr>
                <w:p w:rsidR="007544CA" w:rsidRPr="00834DF3" w:rsidRDefault="007544CA" w:rsidP="00133508">
                  <w:pPr>
                    <w:pStyle w:val="TableBodyText"/>
                    <w:spacing w:after="30"/>
                    <w:rPr>
                      <w:b/>
                    </w:rPr>
                  </w:pPr>
                  <w:r w:rsidRPr="00834DF3">
                    <w:rPr>
                      <w:b/>
                    </w:rPr>
                    <w:t>399.1</w:t>
                  </w:r>
                </w:p>
              </w:tc>
              <w:tc>
                <w:tcPr>
                  <w:tcW w:w="834" w:type="pct"/>
                  <w:vAlign w:val="center"/>
                </w:tcPr>
                <w:p w:rsidR="007544CA" w:rsidRPr="00834DF3" w:rsidRDefault="007544CA" w:rsidP="00133508">
                  <w:pPr>
                    <w:pStyle w:val="TableBodyText"/>
                    <w:spacing w:after="30"/>
                    <w:rPr>
                      <w:b/>
                    </w:rPr>
                  </w:pPr>
                  <w:r w:rsidRPr="00834DF3">
                    <w:rPr>
                      <w:b/>
                    </w:rPr>
                    <w:t>271.0</w:t>
                  </w:r>
                </w:p>
              </w:tc>
              <w:tc>
                <w:tcPr>
                  <w:tcW w:w="834" w:type="pct"/>
                  <w:vAlign w:val="center"/>
                </w:tcPr>
                <w:p w:rsidR="007544CA" w:rsidRPr="00834DF3" w:rsidRDefault="007544CA" w:rsidP="00133508">
                  <w:pPr>
                    <w:pStyle w:val="TableBodyText"/>
                    <w:spacing w:after="30"/>
                    <w:rPr>
                      <w:b/>
                    </w:rPr>
                  </w:pPr>
                  <w:r w:rsidRPr="00834DF3">
                    <w:rPr>
                      <w:b/>
                    </w:rPr>
                    <w:t>670.2</w:t>
                  </w:r>
                </w:p>
              </w:tc>
            </w:tr>
            <w:tr w:rsidR="007544CA" w:rsidRPr="00A21AD0" w:rsidTr="00133508">
              <w:tc>
                <w:tcPr>
                  <w:tcW w:w="2497" w:type="pct"/>
                  <w:tcBorders>
                    <w:bottom w:val="single" w:sz="6" w:space="0" w:color="BFBFBF"/>
                  </w:tcBorders>
                  <w:shd w:val="clear" w:color="auto" w:fill="auto"/>
                </w:tcPr>
                <w:p w:rsidR="007544CA" w:rsidRPr="00A21AD0" w:rsidRDefault="007544CA" w:rsidP="00133508">
                  <w:pPr>
                    <w:pStyle w:val="TableBodyText"/>
                    <w:spacing w:after="30"/>
                    <w:jc w:val="left"/>
                    <w:rPr>
                      <w:b/>
                      <w:szCs w:val="18"/>
                    </w:rPr>
                  </w:pPr>
                  <w:r w:rsidRPr="00A21AD0">
                    <w:rPr>
                      <w:b/>
                      <w:szCs w:val="18"/>
                    </w:rPr>
                    <w:t>Total</w:t>
                  </w:r>
                </w:p>
              </w:tc>
              <w:tc>
                <w:tcPr>
                  <w:tcW w:w="834" w:type="pct"/>
                  <w:tcBorders>
                    <w:bottom w:val="single" w:sz="6" w:space="0" w:color="BFBFBF"/>
                  </w:tcBorders>
                  <w:vAlign w:val="center"/>
                </w:tcPr>
                <w:p w:rsidR="007544CA" w:rsidRPr="00834DF3" w:rsidRDefault="007544CA" w:rsidP="00133508">
                  <w:pPr>
                    <w:pStyle w:val="TableBodyText"/>
                    <w:spacing w:after="30"/>
                    <w:rPr>
                      <w:b/>
                      <w:sz w:val="20"/>
                    </w:rPr>
                  </w:pPr>
                  <w:r w:rsidRPr="00834DF3">
                    <w:rPr>
                      <w:b/>
                      <w:sz w:val="20"/>
                    </w:rPr>
                    <w:t>4</w:t>
                  </w:r>
                  <w:r>
                    <w:rPr>
                      <w:b/>
                      <w:sz w:val="20"/>
                    </w:rPr>
                    <w:t> </w:t>
                  </w:r>
                  <w:r w:rsidRPr="00834DF3">
                    <w:rPr>
                      <w:b/>
                      <w:sz w:val="20"/>
                    </w:rPr>
                    <w:t>255.7</w:t>
                  </w:r>
                </w:p>
              </w:tc>
              <w:tc>
                <w:tcPr>
                  <w:tcW w:w="834" w:type="pct"/>
                  <w:tcBorders>
                    <w:bottom w:val="single" w:sz="6" w:space="0" w:color="BFBFBF"/>
                  </w:tcBorders>
                  <w:shd w:val="clear" w:color="auto" w:fill="auto"/>
                  <w:vAlign w:val="center"/>
                </w:tcPr>
                <w:p w:rsidR="007544CA" w:rsidRPr="00834DF3" w:rsidRDefault="007544CA" w:rsidP="00133508">
                  <w:pPr>
                    <w:pStyle w:val="TableBodyText"/>
                    <w:spacing w:after="30"/>
                    <w:rPr>
                      <w:b/>
                      <w:sz w:val="20"/>
                    </w:rPr>
                  </w:pPr>
                  <w:r w:rsidRPr="00834DF3">
                    <w:rPr>
                      <w:b/>
                      <w:sz w:val="20"/>
                    </w:rPr>
                    <w:t>3</w:t>
                  </w:r>
                  <w:r>
                    <w:rPr>
                      <w:b/>
                      <w:sz w:val="20"/>
                    </w:rPr>
                    <w:t> </w:t>
                  </w:r>
                  <w:r w:rsidRPr="00834DF3">
                    <w:rPr>
                      <w:b/>
                      <w:sz w:val="20"/>
                    </w:rPr>
                    <w:t>079.9</w:t>
                  </w:r>
                </w:p>
              </w:tc>
              <w:tc>
                <w:tcPr>
                  <w:tcW w:w="834" w:type="pct"/>
                  <w:tcBorders>
                    <w:bottom w:val="single" w:sz="6" w:space="0" w:color="BFBFBF"/>
                  </w:tcBorders>
                  <w:shd w:val="clear" w:color="auto" w:fill="auto"/>
                  <w:vAlign w:val="center"/>
                </w:tcPr>
                <w:p w:rsidR="007544CA" w:rsidRPr="00834DF3" w:rsidRDefault="007544CA" w:rsidP="00133508">
                  <w:pPr>
                    <w:pStyle w:val="TableBodyText"/>
                    <w:spacing w:after="30"/>
                    <w:rPr>
                      <w:b/>
                      <w:sz w:val="20"/>
                    </w:rPr>
                  </w:pPr>
                  <w:r w:rsidRPr="00834DF3">
                    <w:rPr>
                      <w:b/>
                      <w:sz w:val="20"/>
                    </w:rPr>
                    <w:t>7</w:t>
                  </w:r>
                  <w:r>
                    <w:rPr>
                      <w:b/>
                      <w:sz w:val="20"/>
                    </w:rPr>
                    <w:t> </w:t>
                  </w:r>
                  <w:r w:rsidRPr="00834DF3">
                    <w:rPr>
                      <w:b/>
                      <w:sz w:val="20"/>
                    </w:rPr>
                    <w:t>335.6</w:t>
                  </w:r>
                </w:p>
              </w:tc>
            </w:tr>
          </w:tbl>
          <w:p w:rsidR="007544CA" w:rsidRDefault="007544CA" w:rsidP="00133508">
            <w:pPr>
              <w:pStyle w:val="Box"/>
            </w:pPr>
          </w:p>
        </w:tc>
      </w:tr>
      <w:tr w:rsidR="007544CA" w:rsidTr="00133508">
        <w:tblPrEx>
          <w:tblBorders>
            <w:top w:val="single" w:sz="6" w:space="0" w:color="auto"/>
            <w:left w:val="single" w:sz="6" w:space="0" w:color="auto"/>
            <w:bottom w:val="single" w:sz="6" w:space="0" w:color="auto"/>
            <w:right w:val="single" w:sz="6" w:space="0" w:color="auto"/>
          </w:tblBorders>
        </w:tblPrEx>
        <w:trPr>
          <w:cantSplit/>
        </w:trPr>
        <w:tc>
          <w:tcPr>
            <w:tcW w:w="8771" w:type="dxa"/>
            <w:tcBorders>
              <w:top w:val="nil"/>
              <w:left w:val="nil"/>
              <w:bottom w:val="nil"/>
              <w:right w:val="nil"/>
            </w:tcBorders>
            <w:shd w:val="clear" w:color="auto" w:fill="auto"/>
          </w:tcPr>
          <w:p w:rsidR="007544CA" w:rsidRDefault="007544CA" w:rsidP="00133508">
            <w:pPr>
              <w:pStyle w:val="Note"/>
              <w:spacing w:before="40"/>
              <w:rPr>
                <w:i/>
              </w:rPr>
            </w:pPr>
            <w:r>
              <w:t xml:space="preserve">– Nil. </w:t>
            </w:r>
            <w:r w:rsidRPr="008E77FE">
              <w:rPr>
                <w:rStyle w:val="NoteLabel"/>
              </w:rPr>
              <w:t>a</w:t>
            </w:r>
            <w:r>
              <w:t> </w:t>
            </w:r>
            <w:r w:rsidRPr="009B3029">
              <w:rPr>
                <w:i/>
              </w:rPr>
              <w:t>Aquaculture and fishing</w:t>
            </w:r>
            <w:r w:rsidRPr="009C0A1F">
              <w:t xml:space="preserve"> </w:t>
            </w:r>
            <w:r w:rsidRPr="007E3E60">
              <w:t xml:space="preserve">includes </w:t>
            </w:r>
            <w:r w:rsidRPr="009C0A1F">
              <w:rPr>
                <w:i/>
              </w:rPr>
              <w:t xml:space="preserve">Hunting </w:t>
            </w:r>
            <w:r>
              <w:rPr>
                <w:i/>
              </w:rPr>
              <w:t>and</w:t>
            </w:r>
            <w:r w:rsidRPr="009C0A1F">
              <w:rPr>
                <w:i/>
              </w:rPr>
              <w:t xml:space="preserve"> trapping</w:t>
            </w:r>
            <w:r>
              <w:t xml:space="preserve">.  </w:t>
            </w:r>
            <w:r>
              <w:rPr>
                <w:rStyle w:val="NoteLabel"/>
              </w:rPr>
              <w:t>b</w:t>
            </w:r>
            <w:r>
              <w:t> </w:t>
            </w:r>
            <w:r w:rsidRPr="00E61C77">
              <w:t>Unallocated includes programs for which details of the initial benefiting industry cannot be readily identified</w:t>
            </w:r>
            <w:r>
              <w:t>.</w:t>
            </w:r>
            <w:r w:rsidRPr="00E61C77">
              <w:t xml:space="preserve"> </w:t>
            </w:r>
          </w:p>
        </w:tc>
      </w:tr>
      <w:tr w:rsidR="007544CA" w:rsidTr="00133508">
        <w:tblPrEx>
          <w:tblBorders>
            <w:top w:val="single" w:sz="6" w:space="0" w:color="auto"/>
            <w:left w:val="single" w:sz="6" w:space="0" w:color="auto"/>
            <w:bottom w:val="single" w:sz="6" w:space="0" w:color="auto"/>
            <w:right w:val="single" w:sz="6" w:space="0" w:color="auto"/>
          </w:tblBorders>
        </w:tblPrEx>
        <w:trPr>
          <w:cantSplit/>
        </w:trPr>
        <w:tc>
          <w:tcPr>
            <w:tcW w:w="8771" w:type="dxa"/>
            <w:tcBorders>
              <w:top w:val="nil"/>
              <w:left w:val="nil"/>
              <w:bottom w:val="nil"/>
              <w:right w:val="nil"/>
            </w:tcBorders>
            <w:shd w:val="clear" w:color="auto" w:fill="auto"/>
          </w:tcPr>
          <w:p w:rsidR="007544CA" w:rsidRDefault="007544CA" w:rsidP="00133508">
            <w:pPr>
              <w:pStyle w:val="Source"/>
              <w:spacing w:before="40"/>
            </w:pPr>
            <w:r>
              <w:rPr>
                <w:i/>
              </w:rPr>
              <w:t>Source</w:t>
            </w:r>
            <w:r w:rsidRPr="00167F06">
              <w:t xml:space="preserve">: </w:t>
            </w:r>
            <w:r>
              <w:t>Commission estimates.</w:t>
            </w:r>
          </w:p>
        </w:tc>
      </w:tr>
      <w:tr w:rsidR="007544CA" w:rsidTr="00133508">
        <w:tblPrEx>
          <w:tblBorders>
            <w:top w:val="single" w:sz="6" w:space="0" w:color="auto"/>
            <w:left w:val="single" w:sz="6" w:space="0" w:color="auto"/>
            <w:bottom w:val="single" w:sz="6" w:space="0" w:color="auto"/>
            <w:right w:val="single" w:sz="6" w:space="0" w:color="auto"/>
          </w:tblBorders>
        </w:tblPrEx>
        <w:trPr>
          <w:cantSplit/>
        </w:trPr>
        <w:tc>
          <w:tcPr>
            <w:tcW w:w="8771" w:type="dxa"/>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bl>
    <w:p w:rsidR="007544CA" w:rsidRDefault="007544CA" w:rsidP="00133508">
      <w:pPr>
        <w:pStyle w:val="Heading3"/>
      </w:pPr>
      <w:r>
        <w:lastRenderedPageBreak/>
        <w:t>Categories of budgetary assistance</w:t>
      </w:r>
    </w:p>
    <w:p w:rsidR="007544CA" w:rsidRDefault="007544CA" w:rsidP="00133508">
      <w:pPr>
        <w:pStyle w:val="BodyText"/>
        <w:spacing w:before="200"/>
      </w:pPr>
      <w:r>
        <w:t xml:space="preserve">Budgetary assistance is often designed to encourage particular activities (such as R&amp;D or exports) or to support particular firms, industries or sectors. To facilitate more detailed assessments of changes in the composition and nature of assistance, the Commission categorises its estimates of Australian Government budgetary assistance into: </w:t>
      </w:r>
    </w:p>
    <w:p w:rsidR="007544CA" w:rsidRDefault="007544CA" w:rsidP="00133508">
      <w:pPr>
        <w:pStyle w:val="ListBullet"/>
        <w:spacing w:before="100"/>
      </w:pPr>
      <w:r w:rsidRPr="004F4DF9">
        <w:rPr>
          <w:i/>
        </w:rPr>
        <w:t>R&amp;D</w:t>
      </w:r>
      <w:r>
        <w:t xml:space="preserve"> measures, including that undertaken by CSIRO, Cooperative Research Centres and rural R&amp;D corporations, as well as R&amp;D taxation concessions</w:t>
      </w:r>
      <w:r w:rsidDel="00B475CD">
        <w:rPr>
          <w:rStyle w:val="FootnoteReference"/>
        </w:rPr>
        <w:t xml:space="preserve"> </w:t>
      </w:r>
    </w:p>
    <w:p w:rsidR="007544CA" w:rsidRDefault="007544CA" w:rsidP="00133508">
      <w:pPr>
        <w:pStyle w:val="ListBullet"/>
        <w:spacing w:before="100"/>
      </w:pPr>
      <w:r w:rsidRPr="004F4DF9">
        <w:rPr>
          <w:i/>
        </w:rPr>
        <w:t>Export</w:t>
      </w:r>
      <w:r>
        <w:t xml:space="preserve"> measures, including through Export Market Development Grants, import duty drawback, </w:t>
      </w:r>
      <w:proofErr w:type="spellStart"/>
      <w:r>
        <w:t>TRADEX</w:t>
      </w:r>
      <w:proofErr w:type="spellEnd"/>
      <w:r>
        <w:t xml:space="preserve"> and Austrade </w:t>
      </w:r>
    </w:p>
    <w:p w:rsidR="007544CA" w:rsidRDefault="007544CA" w:rsidP="00133508">
      <w:pPr>
        <w:pStyle w:val="ListBullet"/>
        <w:spacing w:before="100"/>
      </w:pPr>
      <w:r w:rsidRPr="004F4DF9">
        <w:rPr>
          <w:i/>
        </w:rPr>
        <w:t>Investment</w:t>
      </w:r>
      <w:r>
        <w:t xml:space="preserve"> measures, including development allowances and several former investment attraction packages </w:t>
      </w:r>
    </w:p>
    <w:p w:rsidR="007544CA" w:rsidRDefault="007544CA" w:rsidP="00133508">
      <w:pPr>
        <w:pStyle w:val="ListBullet"/>
        <w:spacing w:before="100"/>
      </w:pPr>
      <w:r w:rsidRPr="004F4DF9">
        <w:rPr>
          <w:i/>
        </w:rPr>
        <w:t>Industry</w:t>
      </w:r>
      <w:r>
        <w:rPr>
          <w:i/>
        </w:rPr>
        <w:noBreakHyphen/>
      </w:r>
      <w:r w:rsidRPr="004F4DF9">
        <w:rPr>
          <w:i/>
        </w:rPr>
        <w:t>specific</w:t>
      </w:r>
      <w:r>
        <w:t xml:space="preserve"> measures, including the Automotive Transformation Scheme, the Clothing and Household Textile Building Innovative Capability Program, Film industry offsets scheme and the Offshore Banking Unit Taxation Concession </w:t>
      </w:r>
    </w:p>
    <w:p w:rsidR="007544CA" w:rsidRDefault="007544CA" w:rsidP="00133508">
      <w:pPr>
        <w:pStyle w:val="ListBullet"/>
        <w:spacing w:before="100"/>
      </w:pPr>
      <w:r w:rsidRPr="004F4DF9">
        <w:rPr>
          <w:i/>
        </w:rPr>
        <w:t>Sector</w:t>
      </w:r>
      <w:r>
        <w:rPr>
          <w:i/>
        </w:rPr>
        <w:noBreakHyphen/>
      </w:r>
      <w:r w:rsidRPr="004F4DF9">
        <w:rPr>
          <w:i/>
        </w:rPr>
        <w:t>wide</w:t>
      </w:r>
      <w:r>
        <w:t xml:space="preserve"> measures, such as drought relief assistance and the tax concessions under the Farm Management Deposits Scheme, in the case of the primary sector </w:t>
      </w:r>
    </w:p>
    <w:p w:rsidR="007544CA" w:rsidRDefault="007544CA" w:rsidP="00133508">
      <w:pPr>
        <w:pStyle w:val="ListBullet"/>
        <w:spacing w:before="100"/>
      </w:pPr>
      <w:r w:rsidRPr="004F4DF9">
        <w:rPr>
          <w:i/>
        </w:rPr>
        <w:t>Small business</w:t>
      </w:r>
      <w:r>
        <w:t xml:space="preserve"> programs, such as the small business capital gains tax concessions and the Small Business Simplified depreciation rules scheme </w:t>
      </w:r>
    </w:p>
    <w:p w:rsidR="007544CA" w:rsidRDefault="007544CA" w:rsidP="00133508">
      <w:pPr>
        <w:pStyle w:val="ListBullet"/>
        <w:spacing w:before="100"/>
      </w:pPr>
      <w:r w:rsidRPr="004F4DF9">
        <w:rPr>
          <w:i/>
        </w:rPr>
        <w:t>Regional</w:t>
      </w:r>
      <w:r>
        <w:t xml:space="preserve"> assistance, including the Tasmanian Freight Equalisation Scheme, </w:t>
      </w:r>
      <w:r w:rsidRPr="00F73E1D">
        <w:t>Tasmanian Jobs and Growth Package</w:t>
      </w:r>
      <w:r>
        <w:t xml:space="preserve"> and various structural adjustment programs with a regional focus </w:t>
      </w:r>
    </w:p>
    <w:p w:rsidR="007544CA" w:rsidRDefault="007544CA" w:rsidP="00133508">
      <w:pPr>
        <w:pStyle w:val="ListBullet"/>
        <w:spacing w:before="100"/>
      </w:pPr>
      <w:r>
        <w:t>a residual ‘</w:t>
      </w:r>
      <w:r w:rsidRPr="004F4DF9">
        <w:rPr>
          <w:i/>
        </w:rPr>
        <w:t>Other</w:t>
      </w:r>
      <w:r>
        <w:t xml:space="preserve">’ category, including the Textiles, Leather, Clothing and Footwear Corporate Wear Program, the Pooled Development Funds initiative, and the Enterprise Connect Innovation Centres Initiative. </w:t>
      </w:r>
    </w:p>
    <w:p w:rsidR="007544CA" w:rsidRDefault="007544CA" w:rsidP="00133508">
      <w:pPr>
        <w:pStyle w:val="BodyText"/>
        <w:spacing w:before="200"/>
      </w:pPr>
      <w:r>
        <w:t>The majority of budgetary assistance in 2014</w:t>
      </w:r>
      <w:r>
        <w:noBreakHyphen/>
        <w:t>15 was directed to:</w:t>
      </w:r>
    </w:p>
    <w:p w:rsidR="007544CA" w:rsidRDefault="007544CA" w:rsidP="00133508">
      <w:pPr>
        <w:pStyle w:val="ListBullet"/>
        <w:spacing w:before="100"/>
      </w:pPr>
      <w:r>
        <w:t xml:space="preserve">R&amp;D ($3.1 billion or 42 per cent) — including $2.3 billion via the R&amp;D Tax Incentive, $521 million for CSIRO research with most assistance going to the primary production sector ($193 million) (of which </w:t>
      </w:r>
      <w:r w:rsidRPr="00744891">
        <w:t xml:space="preserve">around </w:t>
      </w:r>
      <w:r w:rsidRPr="00804382">
        <w:t xml:space="preserve">half of this allocated to the </w:t>
      </w:r>
      <w:r w:rsidRPr="00935FC1">
        <w:rPr>
          <w:i/>
        </w:rPr>
        <w:t>Sheep, beef cattle and grain farming</w:t>
      </w:r>
      <w:r w:rsidRPr="00804382">
        <w:t xml:space="preserve"> industry) followed by the </w:t>
      </w:r>
      <w:r w:rsidRPr="00744891">
        <w:t xml:space="preserve">manufacturing sector ($134 million), and </w:t>
      </w:r>
      <w:r w:rsidRPr="00804382">
        <w:t>$1</w:t>
      </w:r>
      <w:r w:rsidRPr="00744891">
        <w:t>08</w:t>
      </w:r>
      <w:r w:rsidRPr="00804382">
        <w:t> million for the Cooperative Research Centres program where over half was directed towards services</w:t>
      </w:r>
      <w:r>
        <w:t xml:space="preserve"> </w:t>
      </w:r>
    </w:p>
    <w:p w:rsidR="007544CA" w:rsidRDefault="007544CA" w:rsidP="00133508">
      <w:pPr>
        <w:pStyle w:val="ListBullet"/>
        <w:spacing w:before="100"/>
      </w:pPr>
      <w:r>
        <w:t xml:space="preserve">specific industries ($1.3 billion or 18 per cent) — including $269 million for the Automotive Transformation Scheme (allocated to </w:t>
      </w:r>
      <w:r w:rsidRPr="00A17C73">
        <w:rPr>
          <w:i/>
        </w:rPr>
        <w:t>Motor vehicles and parts</w:t>
      </w:r>
      <w:r>
        <w:t xml:space="preserve">), $235 million for the Offshore Banking Unit Tax Concession (allocated to </w:t>
      </w:r>
      <w:r w:rsidRPr="00A17C73">
        <w:rPr>
          <w:i/>
        </w:rPr>
        <w:t>Financial and insurance services</w:t>
      </w:r>
      <w:r>
        <w:t>),</w:t>
      </w:r>
      <w:r w:rsidRPr="00EC7EB1">
        <w:t xml:space="preserve"> </w:t>
      </w:r>
      <w:r>
        <w:t xml:space="preserve">$143 million for the Film industry offsets scheme (allocated to </w:t>
      </w:r>
      <w:r w:rsidRPr="00A17C73">
        <w:rPr>
          <w:i/>
        </w:rPr>
        <w:t>Arts and recreation services</w:t>
      </w:r>
      <w:r>
        <w:t xml:space="preserve">), and $122 million for the Ethanol production subsidy (allocated to </w:t>
      </w:r>
      <w:r w:rsidRPr="00A17C73">
        <w:rPr>
          <w:i/>
        </w:rPr>
        <w:t>Petroleum, coal, chemical and rubber products</w:t>
      </w:r>
      <w:r>
        <w:t xml:space="preserve">) </w:t>
      </w:r>
    </w:p>
    <w:p w:rsidR="007544CA" w:rsidRDefault="007544CA" w:rsidP="00133508">
      <w:pPr>
        <w:pStyle w:val="ListBullet"/>
        <w:spacing w:before="100"/>
      </w:pPr>
      <w:r>
        <w:t xml:space="preserve">small business ($1.2 billion or 16 per cent) — </w:t>
      </w:r>
      <w:r w:rsidRPr="00C12785">
        <w:t xml:space="preserve">including $1.4 billion for the Small Business </w:t>
      </w:r>
      <w:r w:rsidRPr="00BF6882">
        <w:t>Capital Gains Tax schemes</w:t>
      </w:r>
      <w:r w:rsidRPr="00C12785">
        <w:t xml:space="preserve">, where </w:t>
      </w:r>
      <w:r w:rsidRPr="00BF6882">
        <w:t xml:space="preserve">around two thirds </w:t>
      </w:r>
      <w:r w:rsidRPr="00C12785">
        <w:t>of the concession</w:t>
      </w:r>
      <w:r w:rsidRPr="00BF6882">
        <w:t>s</w:t>
      </w:r>
      <w:r w:rsidRPr="00C12785">
        <w:t xml:space="preserve"> </w:t>
      </w:r>
      <w:r w:rsidRPr="00BF6882">
        <w:t xml:space="preserve">are </w:t>
      </w:r>
      <w:r>
        <w:lastRenderedPageBreak/>
        <w:t xml:space="preserve">claimed by </w:t>
      </w:r>
      <w:r w:rsidRPr="00C12785">
        <w:t xml:space="preserve">the services sector with the </w:t>
      </w:r>
      <w:r w:rsidRPr="00C12785">
        <w:rPr>
          <w:i/>
        </w:rPr>
        <w:t>Financial and insurance services</w:t>
      </w:r>
      <w:r w:rsidRPr="00BF6882">
        <w:rPr>
          <w:i/>
        </w:rPr>
        <w:t xml:space="preserve"> </w:t>
      </w:r>
      <w:r w:rsidRPr="00C12785">
        <w:t xml:space="preserve">industry being the single largest recipient </w:t>
      </w:r>
      <w:r w:rsidRPr="00BF6882">
        <w:t xml:space="preserve">of the schemes </w:t>
      </w:r>
      <w:r w:rsidRPr="00C12785">
        <w:t>($</w:t>
      </w:r>
      <w:r w:rsidRPr="00BF6882">
        <w:t>229</w:t>
      </w:r>
      <w:r w:rsidRPr="00C12785">
        <w:t> million)</w:t>
      </w:r>
      <w:r>
        <w:t xml:space="preserve"> (figure 2.5). </w:t>
      </w:r>
    </w:p>
    <w:p w:rsidR="007544CA" w:rsidRDefault="007544CA" w:rsidP="0013350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Default="007544CA" w:rsidP="00133508">
            <w:pPr>
              <w:pStyle w:val="FigureTitle"/>
            </w:pPr>
            <w:r w:rsidRPr="00784A05">
              <w:rPr>
                <w:b w:val="0"/>
              </w:rPr>
              <w:t xml:space="preserve">Figure </w:t>
            </w:r>
            <w:bookmarkStart w:id="9" w:name="OLE_LINK3"/>
            <w:r w:rsidRPr="00784A05">
              <w:rPr>
                <w:b w:val="0"/>
              </w:rPr>
              <w:fldChar w:fldCharType="begin" w:fldLock="1"/>
            </w:r>
            <w:r w:rsidRPr="00784A05">
              <w:rPr>
                <w:b w:val="0"/>
              </w:rPr>
              <w:instrText xml:space="preserve"> COMMENTS  \* MERGEFORMAT </w:instrText>
            </w:r>
            <w:r w:rsidRPr="00784A05">
              <w:rPr>
                <w:b w:val="0"/>
              </w:rPr>
              <w:fldChar w:fldCharType="separate"/>
            </w:r>
            <w:r>
              <w:rPr>
                <w:b w:val="0"/>
              </w:rPr>
              <w:t>2.</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5</w:t>
            </w:r>
            <w:r w:rsidRPr="00784A05">
              <w:rPr>
                <w:b w:val="0"/>
              </w:rPr>
              <w:fldChar w:fldCharType="end"/>
            </w:r>
            <w:bookmarkEnd w:id="9"/>
            <w:r>
              <w:tab/>
              <w:t>Budgetary assistance by category, 2009</w:t>
            </w:r>
            <w:r>
              <w:noBreakHyphen/>
              <w:t>10 to 2014</w:t>
            </w:r>
            <w:r>
              <w:noBreakHyphen/>
              <w:t>15</w:t>
            </w:r>
          </w:p>
          <w:p w:rsidR="007544CA" w:rsidRPr="00176D3F" w:rsidRDefault="007544CA" w:rsidP="00133508">
            <w:pPr>
              <w:pStyle w:val="Subtitle"/>
            </w:pPr>
            <w:r>
              <w:t>$ billion (nominal)</w:t>
            </w:r>
          </w:p>
        </w:tc>
      </w:tr>
      <w:tr w:rsidR="007544CA" w:rsidTr="0013350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7544CA" w:rsidTr="00133508">
              <w:trPr>
                <w:jc w:val="center"/>
              </w:trPr>
              <w:tc>
                <w:tcPr>
                  <w:tcW w:w="8504" w:type="dxa"/>
                  <w:tcBorders>
                    <w:top w:val="nil"/>
                    <w:bottom w:val="nil"/>
                  </w:tcBorders>
                </w:tcPr>
                <w:p w:rsidR="007544CA" w:rsidRPr="00F07C1D" w:rsidRDefault="007544CA" w:rsidP="00133508">
                  <w:pPr>
                    <w:pStyle w:val="Figure"/>
                    <w:spacing w:before="0" w:after="0"/>
                    <w:rPr>
                      <w:rStyle w:val="NoteLabel"/>
                    </w:rPr>
                  </w:pPr>
                  <w:r>
                    <w:rPr>
                      <w:rFonts w:ascii="Arial" w:hAnsi="Arial"/>
                      <w:b/>
                      <w:noProof/>
                      <w:position w:val="6"/>
                      <w:sz w:val="18"/>
                    </w:rPr>
                    <w:drawing>
                      <wp:inline distT="0" distB="0" distL="0" distR="0" wp14:anchorId="3D14822E" wp14:editId="56D304C3">
                        <wp:extent cx="5381625" cy="2867025"/>
                        <wp:effectExtent l="0" t="0" r="9525" b="9525"/>
                        <wp:docPr id="12" name="Picture 12" descr="More details can be found within the text immediately before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81625" cy="2867025"/>
                                </a:xfrm>
                                <a:prstGeom prst="rect">
                                  <a:avLst/>
                                </a:prstGeom>
                                <a:noFill/>
                                <a:ln>
                                  <a:noFill/>
                                </a:ln>
                              </pic:spPr>
                            </pic:pic>
                          </a:graphicData>
                        </a:graphic>
                      </wp:inline>
                    </w:drawing>
                  </w:r>
                </w:p>
              </w:tc>
            </w:tr>
          </w:tbl>
          <w:p w:rsidR="007544CA" w:rsidRDefault="007544CA" w:rsidP="00133508">
            <w:pPr>
              <w:pStyle w:val="Figure"/>
              <w:spacing w:before="0" w:after="0"/>
            </w:pPr>
          </w:p>
        </w:tc>
      </w:tr>
      <w:tr w:rsidR="007544CA" w:rsidRPr="00176D3F" w:rsidTr="00133508">
        <w:tc>
          <w:tcPr>
            <w:tcW w:w="8771" w:type="dxa"/>
            <w:tcBorders>
              <w:top w:val="nil"/>
              <w:left w:val="nil"/>
              <w:bottom w:val="nil"/>
              <w:right w:val="nil"/>
            </w:tcBorders>
            <w:shd w:val="clear" w:color="auto" w:fill="auto"/>
          </w:tcPr>
          <w:p w:rsidR="007544CA" w:rsidRPr="00176D3F" w:rsidRDefault="007544CA" w:rsidP="00133508">
            <w:pPr>
              <w:pStyle w:val="Note"/>
            </w:pPr>
            <w:r>
              <w:rPr>
                <w:rStyle w:val="NoteLabel"/>
              </w:rPr>
              <w:t>a</w:t>
            </w:r>
            <w:r>
              <w:t xml:space="preserve"> Includes investment measures. </w:t>
            </w:r>
          </w:p>
        </w:tc>
      </w:tr>
      <w:tr w:rsidR="007544CA" w:rsidRPr="00176D3F" w:rsidTr="00133508">
        <w:tc>
          <w:tcPr>
            <w:tcW w:w="8771" w:type="dxa"/>
            <w:tcBorders>
              <w:top w:val="nil"/>
              <w:left w:val="nil"/>
              <w:bottom w:val="nil"/>
              <w:right w:val="nil"/>
            </w:tcBorders>
            <w:shd w:val="clear" w:color="auto" w:fill="auto"/>
          </w:tcPr>
          <w:p w:rsidR="007544CA" w:rsidRPr="00176D3F" w:rsidRDefault="007544CA" w:rsidP="00133508">
            <w:pPr>
              <w:pStyle w:val="Source"/>
            </w:pPr>
            <w:r>
              <w:rPr>
                <w:i/>
              </w:rPr>
              <w:t>S</w:t>
            </w:r>
            <w:r w:rsidRPr="00784A05">
              <w:rPr>
                <w:i/>
              </w:rPr>
              <w:t>ource</w:t>
            </w:r>
            <w:r w:rsidRPr="00176D3F">
              <w:t xml:space="preserve">: </w:t>
            </w:r>
            <w:r>
              <w:t xml:space="preserve">Commission estimates. </w:t>
            </w:r>
          </w:p>
        </w:tc>
      </w:tr>
      <w:tr w:rsidR="007544CA" w:rsidTr="00133508">
        <w:tc>
          <w:tcPr>
            <w:tcW w:w="8771" w:type="dxa"/>
            <w:tcBorders>
              <w:top w:val="nil"/>
              <w:left w:val="nil"/>
              <w:bottom w:val="single" w:sz="6" w:space="0" w:color="78A22F"/>
              <w:right w:val="nil"/>
            </w:tcBorders>
            <w:shd w:val="clear" w:color="auto" w:fill="auto"/>
          </w:tcPr>
          <w:p w:rsidR="007544CA" w:rsidRDefault="007544CA" w:rsidP="00133508">
            <w:pPr>
              <w:pStyle w:val="Figurespace"/>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BodyText"/>
        <w:spacing w:before="200"/>
      </w:pPr>
      <w:r w:rsidRPr="00A46197">
        <w:t>Over the six</w:t>
      </w:r>
      <w:r>
        <w:noBreakHyphen/>
      </w:r>
      <w:r w:rsidRPr="00A46197">
        <w:t>year period 200</w:t>
      </w:r>
      <w:r>
        <w:t>9</w:t>
      </w:r>
      <w:r w:rsidRPr="00A46197">
        <w:noBreakHyphen/>
      </w:r>
      <w:r>
        <w:t>10</w:t>
      </w:r>
      <w:r w:rsidRPr="00A46197">
        <w:t xml:space="preserve"> to 201</w:t>
      </w:r>
      <w:r>
        <w:t>4</w:t>
      </w:r>
      <w:r w:rsidRPr="00A46197">
        <w:noBreakHyphen/>
        <w:t>1</w:t>
      </w:r>
      <w:r>
        <w:t>5</w:t>
      </w:r>
      <w:r w:rsidRPr="00A46197">
        <w:t>, changes in the shares of budgetary assistance to different activities are largely accounted for by</w:t>
      </w:r>
      <w:r>
        <w:t>:</w:t>
      </w:r>
      <w:r w:rsidRPr="00A46197">
        <w:t xml:space="preserve"> </w:t>
      </w:r>
    </w:p>
    <w:p w:rsidR="007544CA" w:rsidRPr="00AC24BD" w:rsidRDefault="007544CA" w:rsidP="00133508">
      <w:pPr>
        <w:pStyle w:val="ListBullet"/>
        <w:spacing w:before="100"/>
      </w:pPr>
      <w:r w:rsidRPr="00AC24BD">
        <w:t>significant increases in concessions under the Small Business and General Business Tax Break up to 2010</w:t>
      </w:r>
      <w:r w:rsidRPr="00AC24BD">
        <w:noBreakHyphen/>
        <w:t>11 followed by sharp decreases in 2011</w:t>
      </w:r>
      <w:r w:rsidRPr="00AC24BD">
        <w:noBreakHyphen/>
        <w:t xml:space="preserve">12 </w:t>
      </w:r>
      <w:r w:rsidRPr="00BF6882">
        <w:t xml:space="preserve">to </w:t>
      </w:r>
      <w:r w:rsidRPr="00AC24BD">
        <w:t>201</w:t>
      </w:r>
      <w:r w:rsidRPr="00BF6882">
        <w:t>3</w:t>
      </w:r>
      <w:r w:rsidRPr="00AC24BD">
        <w:noBreakHyphen/>
        <w:t>1</w:t>
      </w:r>
      <w:r w:rsidRPr="00BF6882">
        <w:t>4</w:t>
      </w:r>
      <w:r w:rsidRPr="00AC24BD">
        <w:t xml:space="preserve"> </w:t>
      </w:r>
    </w:p>
    <w:p w:rsidR="007544CA" w:rsidRPr="00C12785" w:rsidRDefault="007544CA" w:rsidP="00133508">
      <w:pPr>
        <w:pStyle w:val="ListBullet"/>
        <w:spacing w:before="100"/>
      </w:pPr>
      <w:r w:rsidRPr="00C12785">
        <w:t>an overall reduction in assistance from drought related programs over the period to 2012</w:t>
      </w:r>
      <w:r w:rsidRPr="00C12785">
        <w:noBreakHyphen/>
        <w:t xml:space="preserve">13 </w:t>
      </w:r>
      <w:r w:rsidRPr="008951E2">
        <w:t xml:space="preserve">following an easing in drought conditions, although </w:t>
      </w:r>
      <w:r w:rsidRPr="0000424E">
        <w:t xml:space="preserve">in February 2014 </w:t>
      </w:r>
      <w:r w:rsidRPr="00C12785">
        <w:t xml:space="preserve">the Government announced an expanded drought assistance package leading to an increase in drought related assistance </w:t>
      </w:r>
      <w:r w:rsidRPr="00BF6882">
        <w:t>from</w:t>
      </w:r>
      <w:r w:rsidRPr="00C12785">
        <w:t xml:space="preserve"> 2013</w:t>
      </w:r>
      <w:r w:rsidRPr="00C12785">
        <w:noBreakHyphen/>
        <w:t>14</w:t>
      </w:r>
      <w:r w:rsidRPr="00C12785">
        <w:rPr>
          <w:rStyle w:val="FootnoteReference"/>
        </w:rPr>
        <w:footnoteReference w:id="10"/>
      </w:r>
      <w:r w:rsidRPr="00C12785">
        <w:t xml:space="preserve"> </w:t>
      </w:r>
    </w:p>
    <w:p w:rsidR="007544CA" w:rsidRPr="00AC24BD" w:rsidRDefault="007544CA" w:rsidP="00133508">
      <w:pPr>
        <w:pStyle w:val="ListBullet"/>
        <w:spacing w:before="100"/>
      </w:pPr>
      <w:r w:rsidRPr="00AC24BD">
        <w:t>a significant increase in transitional assistance in relation to the carbon pricing mechanism in 2011</w:t>
      </w:r>
      <w:r w:rsidRPr="00AC24BD">
        <w:noBreakHyphen/>
        <w:t>12 and its subsequent winding down in 2012</w:t>
      </w:r>
      <w:r w:rsidRPr="00AC24BD">
        <w:noBreakHyphen/>
        <w:t xml:space="preserve">13 </w:t>
      </w:r>
    </w:p>
    <w:p w:rsidR="007544CA" w:rsidRPr="00AC24BD" w:rsidRDefault="007544CA" w:rsidP="00133508">
      <w:pPr>
        <w:pStyle w:val="ListBullet"/>
        <w:spacing w:before="100"/>
      </w:pPr>
      <w:r w:rsidRPr="00BF6882">
        <w:t xml:space="preserve">the maintenance of </w:t>
      </w:r>
      <w:r w:rsidRPr="00AC24BD">
        <w:t>funding for R&amp;D activities over the period</w:t>
      </w:r>
      <w:r w:rsidRPr="00BF6882">
        <w:t xml:space="preserve"> while funding for the other significant categories</w:t>
      </w:r>
      <w:r>
        <w:t xml:space="preserve"> including </w:t>
      </w:r>
      <w:r w:rsidRPr="00BF6882">
        <w:t>industry</w:t>
      </w:r>
      <w:r>
        <w:noBreakHyphen/>
      </w:r>
      <w:r w:rsidRPr="00BF6882">
        <w:t>specific, sector</w:t>
      </w:r>
      <w:r>
        <w:noBreakHyphen/>
      </w:r>
      <w:r w:rsidRPr="00BF6882">
        <w:t>specific and small business measures have fallen</w:t>
      </w:r>
      <w:r w:rsidRPr="00AC24BD">
        <w:t xml:space="preserve"> </w:t>
      </w:r>
    </w:p>
    <w:p w:rsidR="007544CA" w:rsidRPr="00017E22" w:rsidRDefault="007544CA" w:rsidP="00133508">
      <w:pPr>
        <w:pStyle w:val="ListBullet"/>
        <w:spacing w:before="100"/>
      </w:pPr>
      <w:r w:rsidRPr="00AC24BD">
        <w:lastRenderedPageBreak/>
        <w:t>a</w:t>
      </w:r>
      <w:r w:rsidRPr="00BF6882">
        <w:t xml:space="preserve">n </w:t>
      </w:r>
      <w:r w:rsidRPr="00017E22">
        <w:t>increase in concessions provided under the Small Business Depreciation Rules scheme in 2013</w:t>
      </w:r>
      <w:r w:rsidRPr="00017E22">
        <w:noBreakHyphen/>
        <w:t>14</w:t>
      </w:r>
      <w:r w:rsidRPr="00BF6882">
        <w:t>, followed by a subsequent fall in concessions in 2014</w:t>
      </w:r>
      <w:r w:rsidRPr="00BF6882">
        <w:noBreakHyphen/>
        <w:t>15</w:t>
      </w:r>
      <w:r w:rsidRPr="00AC24BD">
        <w:t xml:space="preserve">. </w:t>
      </w:r>
    </w:p>
    <w:p w:rsidR="007544CA" w:rsidRDefault="007544CA" w:rsidP="00133508">
      <w:pPr>
        <w:pStyle w:val="BodyText"/>
        <w:spacing w:before="200"/>
      </w:pPr>
      <w:r>
        <w:t>Some caution is required when comparing categories over time as changing shares do not necessarily reflect a conscious effort on the part of government to emphasis or increase one category relative to any other. While assistance programs have been allocated to the industry to which the assistance first accrues based on the nature of the support and main activities assessed as receiving that support (the ‘initial benefiting industry’), some have characteristics that relate to more than one category. For example, the R&amp;D category includes rural R&amp;D, which could also be considered sector</w:t>
      </w:r>
      <w:r>
        <w:noBreakHyphen/>
        <w:t xml:space="preserve">specific as it relates to agriculture or agricultural product processing activities. </w:t>
      </w:r>
    </w:p>
    <w:p w:rsidR="007544CA" w:rsidRDefault="007544CA" w:rsidP="00133508">
      <w:pPr>
        <w:pStyle w:val="BodyText"/>
        <w:spacing w:before="200"/>
      </w:pPr>
      <w:r>
        <w:t>Although there is no separate category, a number of budgetary measures included in the estimates also relate to carbon emissions reduction, renewable energy, and energy supply and use goals. These measures support a range of activities that span R&amp;D, industry</w:t>
      </w:r>
      <w:r>
        <w:noBreakHyphen/>
        <w:t>specific, sector</w:t>
      </w:r>
      <w:r>
        <w:noBreakHyphen/>
        <w:t>specific and other measures. These measures amounted to around $637 million (9 per cent) of estimated budgetary assistance in 2014</w:t>
      </w:r>
      <w:r>
        <w:noBreakHyphen/>
        <w:t>15, about $42</w:t>
      </w:r>
      <w:r w:rsidR="009E08E1">
        <w:t>.</w:t>
      </w:r>
      <w:r>
        <w:t>7 million lower than in 2013</w:t>
      </w:r>
      <w:r>
        <w:noBreakHyphen/>
        <w:t>14.</w:t>
      </w:r>
    </w:p>
    <w:p w:rsidR="007544CA" w:rsidRDefault="00366344" w:rsidP="00133508">
      <w:pPr>
        <w:pStyle w:val="Heading2"/>
        <w:spacing w:before="480"/>
      </w:pPr>
      <w:r>
        <w:fldChar w:fldCharType="begin" w:fldLock="1"/>
      </w:r>
      <w:r>
        <w:instrText xml:space="preserve"> COMMENTS  \* MERGEFORMAT </w:instrText>
      </w:r>
      <w:r>
        <w:fldChar w:fldCharType="separate"/>
      </w:r>
      <w:r w:rsidR="007544CA">
        <w:t>2.</w:t>
      </w:r>
      <w:r>
        <w:fldChar w:fldCharType="end"/>
      </w:r>
      <w:r>
        <w:fldChar w:fldCharType="begin" w:fldLock="1"/>
      </w:r>
      <w:r>
        <w:instrText xml:space="preserve"> SEQ Heading2 </w:instrText>
      </w:r>
      <w:r>
        <w:fldChar w:fldCharType="separate"/>
      </w:r>
      <w:r w:rsidR="007544CA">
        <w:rPr>
          <w:noProof/>
        </w:rPr>
        <w:t>3</w:t>
      </w:r>
      <w:r>
        <w:rPr>
          <w:noProof/>
        </w:rPr>
        <w:fldChar w:fldCharType="end"/>
      </w:r>
      <w:r w:rsidR="007544CA">
        <w:tab/>
        <w:t xml:space="preserve">Combined assistance and effective rates of assistance </w:t>
      </w:r>
    </w:p>
    <w:p w:rsidR="007544CA" w:rsidRDefault="007544CA" w:rsidP="00133508">
      <w:pPr>
        <w:pStyle w:val="BodyText"/>
        <w:spacing w:before="200"/>
      </w:pPr>
      <w:r>
        <w:t xml:space="preserve">This section presents the results for combined tariff, budgetary </w:t>
      </w:r>
      <w:r w:rsidRPr="00D8715F">
        <w:t>and agricultural pricing assistance by industry group</w:t>
      </w:r>
      <w:r>
        <w:t xml:space="preserve">. Combined assistance is reported in terms of the net value of assistance and its components (reported for broad industries in figure 2.1) and the effective rate of assistance. </w:t>
      </w:r>
    </w:p>
    <w:p w:rsidR="007544CA" w:rsidRDefault="007544CA" w:rsidP="00133508">
      <w:pPr>
        <w:pStyle w:val="Heading3"/>
        <w:spacing w:before="360"/>
      </w:pPr>
      <w:r>
        <w:t>Combined assistance by industry grouping</w:t>
      </w:r>
    </w:p>
    <w:p w:rsidR="007544CA" w:rsidRDefault="007544CA" w:rsidP="00133508">
      <w:pPr>
        <w:pStyle w:val="BodyText"/>
        <w:spacing w:before="200"/>
      </w:pPr>
      <w:r w:rsidRPr="00884618">
        <w:t>Table</w:t>
      </w:r>
      <w:r>
        <w:t> 2.5</w:t>
      </w:r>
      <w:r w:rsidRPr="00884618">
        <w:t xml:space="preserve"> summarises</w:t>
      </w:r>
      <w:r>
        <w:t xml:space="preserve"> </w:t>
      </w:r>
      <w:r w:rsidRPr="00884618">
        <w:t>tariff and budgetary assistance</w:t>
      </w:r>
      <w:r>
        <w:t xml:space="preserve"> at the industry level</w:t>
      </w:r>
      <w:r w:rsidRPr="00884618">
        <w:t xml:space="preserve"> for 201</w:t>
      </w:r>
      <w:r>
        <w:t>4</w:t>
      </w:r>
      <w:r>
        <w:noBreakHyphen/>
      </w:r>
      <w:r w:rsidRPr="00884618">
        <w:t>1</w:t>
      </w:r>
      <w:r>
        <w:t>5</w:t>
      </w:r>
      <w:r w:rsidRPr="00884618">
        <w:t>.</w:t>
      </w:r>
      <w:r>
        <w:t xml:space="preserve"> The manufacturing division receives the highest level of net combined assistance because of tariff assistance on its outputs. Although services industries receive the most budgetary assistance (around $3.4 billion in identifiable support), such assistance is outweighed by the estimated input tariff penalty (around $5.1 billion). The primary production division received the majority of its support from budgetary assistance, although some tariff protection continues to be afforded to a range of horticultural, crop and forestry products. By value, the highest level of combined assistance is afforded to the manufacturing industries </w:t>
      </w:r>
      <w:r w:rsidRPr="00DB2E16">
        <w:rPr>
          <w:i/>
        </w:rPr>
        <w:t>Metal and fabricated products</w:t>
      </w:r>
      <w:r>
        <w:t xml:space="preserve"> and </w:t>
      </w:r>
      <w:r w:rsidRPr="00DB2E16">
        <w:rPr>
          <w:i/>
        </w:rPr>
        <w:t>Food, beverages and tobacco</w:t>
      </w:r>
      <w:r>
        <w:t xml:space="preserve"> industries mainly due to tariff assistance, while the highest tariff penalty on inputs is born by the </w:t>
      </w:r>
      <w:r w:rsidRPr="00DB2E16">
        <w:rPr>
          <w:i/>
        </w:rPr>
        <w:t>Construction</w:t>
      </w:r>
      <w:r>
        <w:t xml:space="preserve"> and </w:t>
      </w:r>
      <w:r w:rsidRPr="00DB2E16">
        <w:rPr>
          <w:i/>
        </w:rPr>
        <w:t>Property, professional and administration</w:t>
      </w:r>
      <w:r>
        <w:t xml:space="preserve"> industries. </w:t>
      </w:r>
      <w:r w:rsidRPr="00884618">
        <w:t>A time series of net combined assistance (table</w:t>
      </w:r>
      <w:r>
        <w:t> 2.5,</w:t>
      </w:r>
      <w:r w:rsidRPr="00884618">
        <w:t xml:space="preserve"> </w:t>
      </w:r>
      <w:r>
        <w:t xml:space="preserve">right hand </w:t>
      </w:r>
      <w:r w:rsidRPr="00884618">
        <w:t>column) by industry grouping for the period 200</w:t>
      </w:r>
      <w:r>
        <w:t>9</w:t>
      </w:r>
      <w:r>
        <w:noBreakHyphen/>
        <w:t>10</w:t>
      </w:r>
      <w:r w:rsidRPr="00884618">
        <w:t xml:space="preserve"> to 201</w:t>
      </w:r>
      <w:r>
        <w:t>4</w:t>
      </w:r>
      <w:r>
        <w:noBreakHyphen/>
      </w:r>
      <w:r w:rsidRPr="00884618">
        <w:t>1</w:t>
      </w:r>
      <w:r>
        <w:t>5</w:t>
      </w:r>
      <w:r w:rsidRPr="00884618">
        <w:t xml:space="preserve"> is presented in appendix</w:t>
      </w:r>
      <w:r>
        <w:t> </w:t>
      </w:r>
      <w:r w:rsidRPr="00884618">
        <w:t>A.</w:t>
      </w:r>
      <w:r>
        <w:t xml:space="preserve"> </w:t>
      </w:r>
    </w:p>
    <w:p w:rsidR="007544CA" w:rsidRDefault="007544CA" w:rsidP="0013350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Default="007544CA" w:rsidP="00133508">
            <w:pPr>
              <w:pStyle w:val="TableTitle"/>
              <w:spacing w:after="40"/>
            </w:pPr>
            <w:r>
              <w:rPr>
                <w:b w:val="0"/>
              </w:rPr>
              <w:t xml:space="preserve">Table </w:t>
            </w:r>
            <w:bookmarkStart w:id="10" w:name="OLE_LINK14"/>
            <w:r>
              <w:rPr>
                <w:b w:val="0"/>
              </w:rPr>
              <w:fldChar w:fldCharType="begin" w:fldLock="1"/>
            </w:r>
            <w:r>
              <w:rPr>
                <w:b w:val="0"/>
              </w:rPr>
              <w:instrText xml:space="preserve"> COMMENTS  \* MERGEFORMAT </w:instrText>
            </w:r>
            <w:r>
              <w:rPr>
                <w:b w:val="0"/>
              </w:rPr>
              <w:fldChar w:fldCharType="separate"/>
            </w:r>
            <w:r>
              <w:rPr>
                <w:b w:val="0"/>
              </w:rPr>
              <w:t>2.</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5</w:t>
            </w:r>
            <w:r>
              <w:rPr>
                <w:b w:val="0"/>
              </w:rPr>
              <w:fldChar w:fldCharType="end"/>
            </w:r>
            <w:bookmarkEnd w:id="10"/>
            <w:r>
              <w:tab/>
              <w:t>Combined assistance by industry grouping, 2014</w:t>
            </w:r>
            <w:r>
              <w:noBreakHyphen/>
              <w:t>15</w:t>
            </w:r>
            <w:r w:rsidRPr="0096472F">
              <w:rPr>
                <w:rStyle w:val="NoteLabel"/>
                <w:rFonts w:ascii="Arial Bold" w:hAnsi="Arial Bold"/>
                <w:b/>
                <w:position w:val="10"/>
              </w:rPr>
              <w:t>a</w:t>
            </w:r>
          </w:p>
          <w:p w:rsidR="007544CA" w:rsidRPr="00784A05" w:rsidRDefault="007544CA" w:rsidP="00133508">
            <w:pPr>
              <w:pStyle w:val="Subtitle"/>
              <w:spacing w:after="40"/>
            </w:pPr>
            <w:r>
              <w:t>$ million (nominal)</w:t>
            </w:r>
          </w:p>
        </w:tc>
      </w:tr>
      <w:tr w:rsidR="007544CA" w:rsidTr="00133508">
        <w:trPr>
          <w:cantSplit/>
        </w:trPr>
        <w:tc>
          <w:tcPr>
            <w:tcW w:w="8771" w:type="dxa"/>
            <w:tcBorders>
              <w:top w:val="nil"/>
              <w:left w:val="nil"/>
              <w:bottom w:val="nil"/>
              <w:right w:val="nil"/>
            </w:tcBorders>
            <w:shd w:val="clear" w:color="auto" w:fill="auto"/>
          </w:tcPr>
          <w:tbl>
            <w:tblPr>
              <w:tblW w:w="8561" w:type="dxa"/>
              <w:tblLayout w:type="fixed"/>
              <w:tblCellMar>
                <w:top w:w="28" w:type="dxa"/>
                <w:left w:w="0" w:type="dxa"/>
                <w:right w:w="0" w:type="dxa"/>
              </w:tblCellMar>
              <w:tblLook w:val="0000" w:firstRow="0" w:lastRow="0" w:firstColumn="0" w:lastColumn="0" w:noHBand="0" w:noVBand="0"/>
            </w:tblPr>
            <w:tblGrid>
              <w:gridCol w:w="2721"/>
              <w:gridCol w:w="964"/>
              <w:gridCol w:w="964"/>
              <w:gridCol w:w="1020"/>
              <w:gridCol w:w="964"/>
              <w:gridCol w:w="964"/>
              <w:gridCol w:w="964"/>
            </w:tblGrid>
            <w:tr w:rsidR="007544CA" w:rsidTr="00133508">
              <w:trPr>
                <w:trHeight w:val="122"/>
              </w:trPr>
              <w:tc>
                <w:tcPr>
                  <w:tcW w:w="2721" w:type="dxa"/>
                  <w:vMerge w:val="restart"/>
                  <w:tcBorders>
                    <w:top w:val="single" w:sz="6" w:space="0" w:color="BFBFBF"/>
                  </w:tcBorders>
                  <w:shd w:val="clear" w:color="auto" w:fill="auto"/>
                  <w:tcMar>
                    <w:top w:w="28" w:type="dxa"/>
                  </w:tcMar>
                </w:tcPr>
                <w:p w:rsidR="007544CA" w:rsidRDefault="007544CA" w:rsidP="00133508">
                  <w:pPr>
                    <w:pStyle w:val="TableColumnHeading"/>
                    <w:jc w:val="left"/>
                  </w:pPr>
                </w:p>
              </w:tc>
              <w:tc>
                <w:tcPr>
                  <w:tcW w:w="1928" w:type="dxa"/>
                  <w:gridSpan w:val="2"/>
                  <w:tcBorders>
                    <w:top w:val="single" w:sz="6" w:space="0" w:color="BFBFBF"/>
                    <w:bottom w:val="single" w:sz="6" w:space="0" w:color="BFBFBF"/>
                  </w:tcBorders>
                  <w:vAlign w:val="center"/>
                </w:tcPr>
                <w:p w:rsidR="007544CA" w:rsidRDefault="007544CA" w:rsidP="00133508">
                  <w:pPr>
                    <w:pStyle w:val="TableColumnHeading"/>
                    <w:spacing w:before="40" w:after="20"/>
                    <w:jc w:val="center"/>
                  </w:pPr>
                  <w:r>
                    <w:t>Tariffs</w:t>
                  </w:r>
                </w:p>
              </w:tc>
              <w:tc>
                <w:tcPr>
                  <w:tcW w:w="1020" w:type="dxa"/>
                  <w:vMerge w:val="restart"/>
                  <w:tcBorders>
                    <w:top w:val="single" w:sz="6" w:space="0" w:color="BFBFBF"/>
                  </w:tcBorders>
                  <w:shd w:val="clear" w:color="auto" w:fill="F2F2F2" w:themeFill="background1" w:themeFillShade="F2"/>
                  <w:vAlign w:val="bottom"/>
                </w:tcPr>
                <w:p w:rsidR="007544CA" w:rsidRDefault="007544CA" w:rsidP="00133508">
                  <w:pPr>
                    <w:pStyle w:val="TableColumnHeading"/>
                    <w:spacing w:before="40" w:after="40"/>
                  </w:pPr>
                  <w:r w:rsidRPr="00073FFB">
                    <w:t xml:space="preserve">Net </w:t>
                  </w:r>
                  <w:r w:rsidR="00133508">
                    <w:br/>
                  </w:r>
                  <w:r w:rsidRPr="00073FFB">
                    <w:t>tariff assistance</w:t>
                  </w:r>
                </w:p>
              </w:tc>
              <w:tc>
                <w:tcPr>
                  <w:tcW w:w="1928" w:type="dxa"/>
                  <w:gridSpan w:val="2"/>
                  <w:tcBorders>
                    <w:top w:val="single" w:sz="6" w:space="0" w:color="BFBFBF"/>
                    <w:bottom w:val="single" w:sz="6" w:space="0" w:color="BFBFBF"/>
                  </w:tcBorders>
                  <w:vAlign w:val="center"/>
                </w:tcPr>
                <w:p w:rsidR="007544CA" w:rsidRDefault="007544CA" w:rsidP="00133508">
                  <w:pPr>
                    <w:pStyle w:val="TableColumnHeading"/>
                    <w:spacing w:before="40" w:after="20"/>
                    <w:jc w:val="center"/>
                  </w:pPr>
                  <w:r>
                    <w:t>Budgetary</w:t>
                  </w:r>
                </w:p>
              </w:tc>
              <w:tc>
                <w:tcPr>
                  <w:tcW w:w="964" w:type="dxa"/>
                  <w:vMerge w:val="restart"/>
                  <w:tcBorders>
                    <w:top w:val="single" w:sz="6" w:space="0" w:color="BFBFBF"/>
                  </w:tcBorders>
                  <w:shd w:val="clear" w:color="auto" w:fill="F2F2F2" w:themeFill="background1" w:themeFillShade="F2"/>
                  <w:tcMar>
                    <w:top w:w="28" w:type="dxa"/>
                  </w:tcMar>
                  <w:vAlign w:val="bottom"/>
                </w:tcPr>
                <w:p w:rsidR="007544CA" w:rsidRDefault="007544CA" w:rsidP="00133508">
                  <w:pPr>
                    <w:pStyle w:val="TableColumnHeading"/>
                    <w:spacing w:before="40" w:after="40"/>
                    <w:ind w:right="28"/>
                  </w:pPr>
                  <w:r>
                    <w:t>Net combined assistance</w:t>
                  </w:r>
                </w:p>
              </w:tc>
            </w:tr>
            <w:tr w:rsidR="007544CA" w:rsidTr="00133508">
              <w:trPr>
                <w:trHeight w:val="121"/>
              </w:trPr>
              <w:tc>
                <w:tcPr>
                  <w:tcW w:w="2721" w:type="dxa"/>
                  <w:vMerge/>
                  <w:tcBorders>
                    <w:bottom w:val="single" w:sz="6" w:space="0" w:color="BFBFBF"/>
                  </w:tcBorders>
                  <w:shd w:val="clear" w:color="auto" w:fill="auto"/>
                  <w:tcMar>
                    <w:top w:w="28" w:type="dxa"/>
                  </w:tcMar>
                </w:tcPr>
                <w:p w:rsidR="007544CA" w:rsidRDefault="007544CA">
                  <w:pPr>
                    <w:pStyle w:val="TableColumnHeading"/>
                    <w:jc w:val="left"/>
                    <w:rPr>
                      <w:szCs w:val="24"/>
                    </w:rPr>
                  </w:pPr>
                </w:p>
              </w:tc>
              <w:tc>
                <w:tcPr>
                  <w:tcW w:w="964" w:type="dxa"/>
                  <w:tcBorders>
                    <w:top w:val="single" w:sz="6" w:space="0" w:color="BFBFBF"/>
                    <w:bottom w:val="single" w:sz="6" w:space="0" w:color="BFBFBF"/>
                  </w:tcBorders>
                  <w:vAlign w:val="bottom"/>
                </w:tcPr>
                <w:p w:rsidR="007544CA" w:rsidRDefault="007544CA" w:rsidP="00133508">
                  <w:pPr>
                    <w:pStyle w:val="TableColumnHeading"/>
                    <w:spacing w:before="20" w:after="20"/>
                    <w:rPr>
                      <w:b/>
                      <w:i w:val="0"/>
                    </w:rPr>
                  </w:pPr>
                  <w:r>
                    <w:t>Output</w:t>
                  </w:r>
                </w:p>
              </w:tc>
              <w:tc>
                <w:tcPr>
                  <w:tcW w:w="964" w:type="dxa"/>
                  <w:tcBorders>
                    <w:bottom w:val="single" w:sz="6" w:space="0" w:color="BFBFBF"/>
                  </w:tcBorders>
                  <w:vAlign w:val="bottom"/>
                </w:tcPr>
                <w:p w:rsidR="007544CA" w:rsidRDefault="007544CA" w:rsidP="00133508">
                  <w:pPr>
                    <w:pStyle w:val="TableColumnHeading"/>
                    <w:spacing w:before="20" w:after="20"/>
                    <w:rPr>
                      <w:b/>
                      <w:i w:val="0"/>
                    </w:rPr>
                  </w:pPr>
                  <w:r>
                    <w:t>Input penalty</w:t>
                  </w:r>
                </w:p>
              </w:tc>
              <w:tc>
                <w:tcPr>
                  <w:tcW w:w="1020" w:type="dxa"/>
                  <w:vMerge/>
                  <w:tcBorders>
                    <w:bottom w:val="single" w:sz="6" w:space="0" w:color="BFBFBF"/>
                  </w:tcBorders>
                  <w:shd w:val="clear" w:color="auto" w:fill="F2F2F2" w:themeFill="background1" w:themeFillShade="F2"/>
                </w:tcPr>
                <w:p w:rsidR="007544CA" w:rsidRDefault="007544CA">
                  <w:pPr>
                    <w:pStyle w:val="TableColumnHeading"/>
                    <w:rPr>
                      <w:szCs w:val="24"/>
                    </w:rPr>
                  </w:pPr>
                </w:p>
              </w:tc>
              <w:tc>
                <w:tcPr>
                  <w:tcW w:w="964" w:type="dxa"/>
                  <w:tcBorders>
                    <w:top w:val="single" w:sz="6" w:space="0" w:color="BFBFBF"/>
                    <w:bottom w:val="single" w:sz="6" w:space="0" w:color="BFBFBF"/>
                  </w:tcBorders>
                  <w:vAlign w:val="bottom"/>
                </w:tcPr>
                <w:p w:rsidR="007544CA" w:rsidRDefault="007544CA" w:rsidP="00133508">
                  <w:pPr>
                    <w:pStyle w:val="TableColumnHeading"/>
                    <w:spacing w:before="20" w:after="20"/>
                    <w:rPr>
                      <w:b/>
                      <w:i w:val="0"/>
                    </w:rPr>
                  </w:pPr>
                  <w:r>
                    <w:t>Outlays</w:t>
                  </w:r>
                </w:p>
              </w:tc>
              <w:tc>
                <w:tcPr>
                  <w:tcW w:w="964" w:type="dxa"/>
                  <w:tcBorders>
                    <w:top w:val="single" w:sz="6" w:space="0" w:color="BFBFBF"/>
                    <w:bottom w:val="single" w:sz="6" w:space="0" w:color="BFBFBF"/>
                  </w:tcBorders>
                  <w:shd w:val="clear" w:color="auto" w:fill="auto"/>
                  <w:tcMar>
                    <w:top w:w="28" w:type="dxa"/>
                  </w:tcMar>
                  <w:vAlign w:val="bottom"/>
                </w:tcPr>
                <w:p w:rsidR="007544CA" w:rsidRDefault="007544CA" w:rsidP="00133508">
                  <w:pPr>
                    <w:pStyle w:val="TableColumnHeading"/>
                    <w:spacing w:before="20" w:after="20"/>
                    <w:rPr>
                      <w:b/>
                      <w:i w:val="0"/>
                    </w:rPr>
                  </w:pPr>
                  <w:r>
                    <w:t xml:space="preserve">Tax </w:t>
                  </w:r>
                  <w:proofErr w:type="spellStart"/>
                  <w:r>
                    <w:t>concess</w:t>
                  </w:r>
                  <w:proofErr w:type="spellEnd"/>
                  <w:r>
                    <w:t>.</w:t>
                  </w:r>
                </w:p>
              </w:tc>
              <w:tc>
                <w:tcPr>
                  <w:tcW w:w="964" w:type="dxa"/>
                  <w:vMerge/>
                  <w:tcBorders>
                    <w:bottom w:val="single" w:sz="6" w:space="0" w:color="BFBFBF"/>
                  </w:tcBorders>
                  <w:shd w:val="clear" w:color="auto" w:fill="F2F2F2" w:themeFill="background1" w:themeFillShade="F2"/>
                  <w:tcMar>
                    <w:top w:w="28" w:type="dxa"/>
                  </w:tcMar>
                </w:tcPr>
                <w:p w:rsidR="007544CA" w:rsidRDefault="007544CA">
                  <w:pPr>
                    <w:pStyle w:val="TableColumnHeading"/>
                    <w:ind w:right="28"/>
                    <w:rPr>
                      <w:szCs w:val="24"/>
                    </w:rPr>
                  </w:pPr>
                </w:p>
              </w:tc>
            </w:tr>
            <w:tr w:rsidR="007544CA" w:rsidRPr="00450BD4" w:rsidTr="00133508">
              <w:tc>
                <w:tcPr>
                  <w:tcW w:w="2721" w:type="dxa"/>
                </w:tcPr>
                <w:p w:rsidR="007544CA" w:rsidRPr="00450BD4" w:rsidRDefault="007544CA" w:rsidP="00133508">
                  <w:pPr>
                    <w:pStyle w:val="TableBodyText"/>
                    <w:spacing w:before="30" w:after="30"/>
                    <w:jc w:val="left"/>
                    <w:rPr>
                      <w:b/>
                    </w:rPr>
                  </w:pPr>
                  <w:r w:rsidRPr="00450BD4">
                    <w:rPr>
                      <w:b/>
                    </w:rPr>
                    <w:t>Primary production</w:t>
                  </w:r>
                </w:p>
              </w:tc>
              <w:tc>
                <w:tcPr>
                  <w:tcW w:w="964" w:type="dxa"/>
                </w:tcPr>
                <w:p w:rsidR="007544CA" w:rsidRPr="00EB6AE1" w:rsidRDefault="007544CA" w:rsidP="00133508">
                  <w:pPr>
                    <w:pStyle w:val="TableBodyText"/>
                    <w:spacing w:before="30" w:after="30"/>
                    <w:rPr>
                      <w:b/>
                      <w:szCs w:val="18"/>
                    </w:rPr>
                  </w:pPr>
                  <w:r w:rsidRPr="00EB6AE1">
                    <w:rPr>
                      <w:b/>
                    </w:rPr>
                    <w:t>208.9</w:t>
                  </w:r>
                </w:p>
              </w:tc>
              <w:tc>
                <w:tcPr>
                  <w:tcW w:w="964" w:type="dxa"/>
                </w:tcPr>
                <w:p w:rsidR="007544CA" w:rsidRPr="00EB6AE1" w:rsidRDefault="007544CA" w:rsidP="00133508">
                  <w:pPr>
                    <w:pStyle w:val="TableBodyText"/>
                    <w:spacing w:before="30" w:after="30"/>
                    <w:rPr>
                      <w:b/>
                      <w:szCs w:val="18"/>
                    </w:rPr>
                  </w:pPr>
                  <w:r>
                    <w:rPr>
                      <w:b/>
                    </w:rPr>
                    <w:noBreakHyphen/>
                  </w:r>
                  <w:r w:rsidRPr="00EB6AE1">
                    <w:rPr>
                      <w:b/>
                    </w:rPr>
                    <w:t>84.2</w:t>
                  </w:r>
                </w:p>
              </w:tc>
              <w:tc>
                <w:tcPr>
                  <w:tcW w:w="1020" w:type="dxa"/>
                  <w:shd w:val="clear" w:color="auto" w:fill="F2F2F2" w:themeFill="background1" w:themeFillShade="F2"/>
                </w:tcPr>
                <w:p w:rsidR="007544CA" w:rsidRPr="00EB6AE1" w:rsidRDefault="007544CA" w:rsidP="00133508">
                  <w:pPr>
                    <w:pStyle w:val="TableBodyText"/>
                    <w:spacing w:before="30" w:after="30"/>
                    <w:rPr>
                      <w:b/>
                      <w:szCs w:val="18"/>
                    </w:rPr>
                  </w:pPr>
                  <w:r w:rsidRPr="00EB6AE1">
                    <w:rPr>
                      <w:b/>
                    </w:rPr>
                    <w:t>124.7</w:t>
                  </w:r>
                </w:p>
              </w:tc>
              <w:tc>
                <w:tcPr>
                  <w:tcW w:w="964" w:type="dxa"/>
                  <w:vAlign w:val="bottom"/>
                </w:tcPr>
                <w:p w:rsidR="007544CA" w:rsidRPr="007010D0" w:rsidRDefault="007544CA" w:rsidP="00133508">
                  <w:pPr>
                    <w:pStyle w:val="TableBodyText"/>
                    <w:spacing w:after="30"/>
                    <w:rPr>
                      <w:b/>
                    </w:rPr>
                  </w:pPr>
                  <w:r w:rsidRPr="007010D0">
                    <w:rPr>
                      <w:b/>
                    </w:rPr>
                    <w:t>746.9</w:t>
                  </w:r>
                </w:p>
              </w:tc>
              <w:tc>
                <w:tcPr>
                  <w:tcW w:w="964" w:type="dxa"/>
                  <w:vAlign w:val="bottom"/>
                </w:tcPr>
                <w:p w:rsidR="007544CA" w:rsidRPr="007010D0" w:rsidRDefault="007544CA" w:rsidP="00133508">
                  <w:pPr>
                    <w:pStyle w:val="TableBodyText"/>
                    <w:spacing w:after="30"/>
                    <w:rPr>
                      <w:b/>
                    </w:rPr>
                  </w:pPr>
                  <w:r w:rsidRPr="007010D0">
                    <w:rPr>
                      <w:b/>
                    </w:rPr>
                    <w:t>450.8</w:t>
                  </w:r>
                </w:p>
              </w:tc>
              <w:tc>
                <w:tcPr>
                  <w:tcW w:w="964" w:type="dxa"/>
                  <w:shd w:val="clear" w:color="auto" w:fill="F2F2F2" w:themeFill="background1" w:themeFillShade="F2"/>
                  <w:vAlign w:val="bottom"/>
                </w:tcPr>
                <w:p w:rsidR="007544CA" w:rsidRPr="007010D0" w:rsidRDefault="007544CA" w:rsidP="00133508">
                  <w:pPr>
                    <w:pStyle w:val="TableBodyText"/>
                    <w:spacing w:after="30"/>
                    <w:rPr>
                      <w:b/>
                    </w:rPr>
                  </w:pPr>
                  <w:r w:rsidRPr="007010D0">
                    <w:rPr>
                      <w:b/>
                    </w:rPr>
                    <w:t>1</w:t>
                  </w:r>
                  <w:r>
                    <w:rPr>
                      <w:b/>
                    </w:rPr>
                    <w:t> </w:t>
                  </w:r>
                  <w:r w:rsidRPr="007010D0">
                    <w:rPr>
                      <w:b/>
                    </w:rPr>
                    <w:t>322.4</w:t>
                  </w:r>
                </w:p>
              </w:tc>
            </w:tr>
            <w:tr w:rsidR="007544CA" w:rsidTr="00133508">
              <w:tc>
                <w:tcPr>
                  <w:tcW w:w="2721" w:type="dxa"/>
                </w:tcPr>
                <w:p w:rsidR="007544CA" w:rsidRPr="00284C93" w:rsidRDefault="007544CA" w:rsidP="00133508">
                  <w:pPr>
                    <w:pStyle w:val="TableBodyText"/>
                    <w:spacing w:after="20"/>
                    <w:jc w:val="left"/>
                  </w:pPr>
                  <w:r w:rsidRPr="00284C93">
                    <w:t>Horticulture and fruit growing</w:t>
                  </w:r>
                </w:p>
              </w:tc>
              <w:tc>
                <w:tcPr>
                  <w:tcW w:w="964" w:type="dxa"/>
                </w:tcPr>
                <w:p w:rsidR="007544CA" w:rsidRPr="00EE122A" w:rsidRDefault="007544CA" w:rsidP="00133508">
                  <w:pPr>
                    <w:pStyle w:val="TableBodyText"/>
                    <w:spacing w:after="20"/>
                    <w:rPr>
                      <w:szCs w:val="18"/>
                    </w:rPr>
                  </w:pPr>
                  <w:r w:rsidRPr="00E71008">
                    <w:t>138.2</w:t>
                  </w:r>
                </w:p>
              </w:tc>
              <w:tc>
                <w:tcPr>
                  <w:tcW w:w="964" w:type="dxa"/>
                </w:tcPr>
                <w:p w:rsidR="007544CA" w:rsidRPr="00EE122A" w:rsidRDefault="007544CA" w:rsidP="00133508">
                  <w:pPr>
                    <w:pStyle w:val="TableBodyText"/>
                    <w:spacing w:after="20"/>
                    <w:rPr>
                      <w:szCs w:val="18"/>
                    </w:rPr>
                  </w:pPr>
                  <w:r>
                    <w:noBreakHyphen/>
                  </w:r>
                  <w:r w:rsidRPr="00E71008">
                    <w:t>7.9</w:t>
                  </w:r>
                </w:p>
              </w:tc>
              <w:tc>
                <w:tcPr>
                  <w:tcW w:w="1020" w:type="dxa"/>
                  <w:shd w:val="clear" w:color="auto" w:fill="F2F2F2" w:themeFill="background1" w:themeFillShade="F2"/>
                </w:tcPr>
                <w:p w:rsidR="007544CA" w:rsidRPr="00EE122A" w:rsidRDefault="007544CA" w:rsidP="00133508">
                  <w:pPr>
                    <w:pStyle w:val="TableBodyText"/>
                    <w:spacing w:after="20"/>
                    <w:rPr>
                      <w:szCs w:val="18"/>
                    </w:rPr>
                  </w:pPr>
                  <w:r w:rsidRPr="00E71008">
                    <w:t>130.2</w:t>
                  </w:r>
                </w:p>
              </w:tc>
              <w:tc>
                <w:tcPr>
                  <w:tcW w:w="964" w:type="dxa"/>
                  <w:vAlign w:val="bottom"/>
                </w:tcPr>
                <w:p w:rsidR="007544CA" w:rsidRDefault="007544CA" w:rsidP="00133508">
                  <w:pPr>
                    <w:pStyle w:val="TableBodyText"/>
                    <w:spacing w:after="20"/>
                    <w:rPr>
                      <w:szCs w:val="18"/>
                    </w:rPr>
                  </w:pPr>
                  <w:r>
                    <w:rPr>
                      <w:szCs w:val="18"/>
                    </w:rPr>
                    <w:t>65.2</w:t>
                  </w:r>
                </w:p>
              </w:tc>
              <w:tc>
                <w:tcPr>
                  <w:tcW w:w="964" w:type="dxa"/>
                  <w:vAlign w:val="bottom"/>
                </w:tcPr>
                <w:p w:rsidR="007544CA" w:rsidRDefault="007544CA" w:rsidP="00133508">
                  <w:pPr>
                    <w:pStyle w:val="TableBodyText"/>
                    <w:spacing w:after="20"/>
                    <w:rPr>
                      <w:szCs w:val="18"/>
                    </w:rPr>
                  </w:pPr>
                  <w:r>
                    <w:rPr>
                      <w:szCs w:val="18"/>
                    </w:rPr>
                    <w:t>44.6</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240.0</w:t>
                  </w:r>
                </w:p>
              </w:tc>
            </w:tr>
            <w:tr w:rsidR="007544CA" w:rsidTr="00133508">
              <w:tc>
                <w:tcPr>
                  <w:tcW w:w="2721" w:type="dxa"/>
                </w:tcPr>
                <w:p w:rsidR="007544CA" w:rsidRPr="00284C93" w:rsidRDefault="007544CA" w:rsidP="00133508">
                  <w:pPr>
                    <w:pStyle w:val="TableBodyText"/>
                    <w:spacing w:after="20"/>
                    <w:jc w:val="left"/>
                  </w:pPr>
                  <w:r w:rsidRPr="00284C93">
                    <w:t>Sheep, cattle and grain farming</w:t>
                  </w:r>
                </w:p>
              </w:tc>
              <w:tc>
                <w:tcPr>
                  <w:tcW w:w="964" w:type="dxa"/>
                </w:tcPr>
                <w:p w:rsidR="007544CA" w:rsidRPr="00EE122A" w:rsidRDefault="007544CA" w:rsidP="00133508">
                  <w:pPr>
                    <w:pStyle w:val="TableBodyText"/>
                    <w:spacing w:after="20"/>
                    <w:rPr>
                      <w:szCs w:val="18"/>
                    </w:rPr>
                  </w:pPr>
                  <w:r w:rsidRPr="00E71008">
                    <w:t>0.2</w:t>
                  </w:r>
                </w:p>
              </w:tc>
              <w:tc>
                <w:tcPr>
                  <w:tcW w:w="964" w:type="dxa"/>
                </w:tcPr>
                <w:p w:rsidR="007544CA" w:rsidRPr="00EE122A" w:rsidRDefault="007544CA" w:rsidP="00133508">
                  <w:pPr>
                    <w:pStyle w:val="TableBodyText"/>
                    <w:spacing w:after="20"/>
                    <w:rPr>
                      <w:szCs w:val="18"/>
                    </w:rPr>
                  </w:pPr>
                  <w:r>
                    <w:noBreakHyphen/>
                  </w:r>
                  <w:r w:rsidRPr="00E71008">
                    <w:t>20.3</w:t>
                  </w:r>
                </w:p>
              </w:tc>
              <w:tc>
                <w:tcPr>
                  <w:tcW w:w="1020" w:type="dxa"/>
                  <w:shd w:val="clear" w:color="auto" w:fill="F2F2F2" w:themeFill="background1" w:themeFillShade="F2"/>
                </w:tcPr>
                <w:p w:rsidR="007544CA" w:rsidRPr="00EE122A" w:rsidRDefault="007544CA" w:rsidP="00133508">
                  <w:pPr>
                    <w:pStyle w:val="TableBodyText"/>
                    <w:spacing w:after="20"/>
                    <w:rPr>
                      <w:szCs w:val="18"/>
                    </w:rPr>
                  </w:pPr>
                  <w:r>
                    <w:noBreakHyphen/>
                  </w:r>
                  <w:r w:rsidRPr="00E71008">
                    <w:t>20.1</w:t>
                  </w:r>
                </w:p>
              </w:tc>
              <w:tc>
                <w:tcPr>
                  <w:tcW w:w="964" w:type="dxa"/>
                  <w:vAlign w:val="bottom"/>
                </w:tcPr>
                <w:p w:rsidR="007544CA" w:rsidRDefault="007544CA" w:rsidP="00133508">
                  <w:pPr>
                    <w:pStyle w:val="TableBodyText"/>
                    <w:spacing w:after="20"/>
                    <w:rPr>
                      <w:szCs w:val="18"/>
                    </w:rPr>
                  </w:pPr>
                  <w:r>
                    <w:rPr>
                      <w:szCs w:val="18"/>
                    </w:rPr>
                    <w:t>277.6</w:t>
                  </w:r>
                </w:p>
              </w:tc>
              <w:tc>
                <w:tcPr>
                  <w:tcW w:w="964" w:type="dxa"/>
                  <w:vAlign w:val="bottom"/>
                </w:tcPr>
                <w:p w:rsidR="007544CA" w:rsidRDefault="007544CA" w:rsidP="00133508">
                  <w:pPr>
                    <w:pStyle w:val="TableBodyText"/>
                    <w:spacing w:after="20"/>
                    <w:rPr>
                      <w:szCs w:val="18"/>
                    </w:rPr>
                  </w:pPr>
                  <w:r>
                    <w:rPr>
                      <w:szCs w:val="18"/>
                    </w:rPr>
                    <w:t>294.7</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552.3</w:t>
                  </w:r>
                </w:p>
              </w:tc>
            </w:tr>
            <w:tr w:rsidR="007544CA" w:rsidTr="00133508">
              <w:tc>
                <w:tcPr>
                  <w:tcW w:w="2721" w:type="dxa"/>
                </w:tcPr>
                <w:p w:rsidR="007544CA" w:rsidRPr="00284C93" w:rsidRDefault="007544CA" w:rsidP="00133508">
                  <w:pPr>
                    <w:pStyle w:val="TableBodyText"/>
                    <w:spacing w:after="20"/>
                    <w:jc w:val="left"/>
                  </w:pPr>
                  <w:r w:rsidRPr="00284C93">
                    <w:t>Other crop growing</w:t>
                  </w:r>
                </w:p>
              </w:tc>
              <w:tc>
                <w:tcPr>
                  <w:tcW w:w="964" w:type="dxa"/>
                </w:tcPr>
                <w:p w:rsidR="007544CA" w:rsidRPr="00EE122A" w:rsidRDefault="007544CA" w:rsidP="00133508">
                  <w:pPr>
                    <w:pStyle w:val="TableBodyText"/>
                    <w:spacing w:after="20"/>
                    <w:rPr>
                      <w:szCs w:val="18"/>
                    </w:rPr>
                  </w:pPr>
                  <w:r w:rsidRPr="00E71008">
                    <w:t>2.7</w:t>
                  </w:r>
                </w:p>
              </w:tc>
              <w:tc>
                <w:tcPr>
                  <w:tcW w:w="964" w:type="dxa"/>
                </w:tcPr>
                <w:p w:rsidR="007544CA" w:rsidRPr="00EE122A" w:rsidRDefault="007544CA" w:rsidP="00133508">
                  <w:pPr>
                    <w:pStyle w:val="TableBodyText"/>
                    <w:spacing w:after="20"/>
                    <w:rPr>
                      <w:szCs w:val="18"/>
                    </w:rPr>
                  </w:pPr>
                  <w:r>
                    <w:noBreakHyphen/>
                  </w:r>
                  <w:r w:rsidRPr="00E71008">
                    <w:t>5.2</w:t>
                  </w:r>
                </w:p>
              </w:tc>
              <w:tc>
                <w:tcPr>
                  <w:tcW w:w="1020" w:type="dxa"/>
                  <w:shd w:val="clear" w:color="auto" w:fill="F2F2F2" w:themeFill="background1" w:themeFillShade="F2"/>
                </w:tcPr>
                <w:p w:rsidR="007544CA" w:rsidRPr="00EE122A" w:rsidRDefault="007544CA" w:rsidP="00133508">
                  <w:pPr>
                    <w:pStyle w:val="TableBodyText"/>
                    <w:spacing w:after="20"/>
                    <w:rPr>
                      <w:szCs w:val="18"/>
                    </w:rPr>
                  </w:pPr>
                  <w:r>
                    <w:noBreakHyphen/>
                  </w:r>
                  <w:r w:rsidRPr="00E71008">
                    <w:t>2.5</w:t>
                  </w:r>
                </w:p>
              </w:tc>
              <w:tc>
                <w:tcPr>
                  <w:tcW w:w="964" w:type="dxa"/>
                  <w:vAlign w:val="bottom"/>
                </w:tcPr>
                <w:p w:rsidR="007544CA" w:rsidRDefault="007544CA" w:rsidP="00133508">
                  <w:pPr>
                    <w:pStyle w:val="TableBodyText"/>
                    <w:spacing w:after="20"/>
                    <w:rPr>
                      <w:szCs w:val="18"/>
                    </w:rPr>
                  </w:pPr>
                  <w:r>
                    <w:rPr>
                      <w:szCs w:val="18"/>
                    </w:rPr>
                    <w:t>51.7</w:t>
                  </w:r>
                </w:p>
              </w:tc>
              <w:tc>
                <w:tcPr>
                  <w:tcW w:w="964" w:type="dxa"/>
                  <w:vAlign w:val="bottom"/>
                </w:tcPr>
                <w:p w:rsidR="007544CA" w:rsidRDefault="007544CA" w:rsidP="00133508">
                  <w:pPr>
                    <w:pStyle w:val="TableBodyText"/>
                    <w:spacing w:after="20"/>
                    <w:rPr>
                      <w:szCs w:val="18"/>
                    </w:rPr>
                  </w:pPr>
                  <w:r>
                    <w:rPr>
                      <w:szCs w:val="18"/>
                    </w:rPr>
                    <w:t>22.0</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71.3</w:t>
                  </w:r>
                </w:p>
              </w:tc>
            </w:tr>
            <w:tr w:rsidR="007544CA" w:rsidTr="00133508">
              <w:tc>
                <w:tcPr>
                  <w:tcW w:w="2721" w:type="dxa"/>
                </w:tcPr>
                <w:p w:rsidR="007544CA" w:rsidRPr="00284C93" w:rsidRDefault="007544CA" w:rsidP="00133508">
                  <w:pPr>
                    <w:pStyle w:val="TableBodyText"/>
                    <w:spacing w:after="20"/>
                    <w:jc w:val="left"/>
                  </w:pPr>
                  <w:r w:rsidRPr="00284C93">
                    <w:t>Dairy cattle farming</w:t>
                  </w:r>
                </w:p>
              </w:tc>
              <w:tc>
                <w:tcPr>
                  <w:tcW w:w="964" w:type="dxa"/>
                  <w:vAlign w:val="bottom"/>
                </w:tcPr>
                <w:p w:rsidR="007544CA" w:rsidRPr="00EE122A" w:rsidRDefault="007544CA" w:rsidP="00133508">
                  <w:pPr>
                    <w:pStyle w:val="TableBodyText"/>
                    <w:spacing w:after="20"/>
                    <w:rPr>
                      <w:szCs w:val="18"/>
                    </w:rPr>
                  </w:pPr>
                  <w:r>
                    <w:t>–</w:t>
                  </w:r>
                </w:p>
              </w:tc>
              <w:tc>
                <w:tcPr>
                  <w:tcW w:w="964" w:type="dxa"/>
                </w:tcPr>
                <w:p w:rsidR="007544CA" w:rsidRPr="00E050F1" w:rsidRDefault="007544CA" w:rsidP="00133508">
                  <w:pPr>
                    <w:pStyle w:val="TableBodyText"/>
                    <w:spacing w:after="20"/>
                  </w:pPr>
                  <w:r>
                    <w:noBreakHyphen/>
                  </w:r>
                  <w:r w:rsidRPr="00E050F1">
                    <w:t>3.8</w:t>
                  </w:r>
                </w:p>
              </w:tc>
              <w:tc>
                <w:tcPr>
                  <w:tcW w:w="1020" w:type="dxa"/>
                  <w:shd w:val="clear" w:color="auto" w:fill="F2F2F2" w:themeFill="background1" w:themeFillShade="F2"/>
                </w:tcPr>
                <w:p w:rsidR="007544CA" w:rsidRPr="00E050F1" w:rsidRDefault="007544CA" w:rsidP="00133508">
                  <w:pPr>
                    <w:pStyle w:val="TableBodyText"/>
                    <w:spacing w:after="20"/>
                  </w:pPr>
                  <w:r>
                    <w:noBreakHyphen/>
                  </w:r>
                  <w:r w:rsidRPr="00E050F1">
                    <w:t>3.8</w:t>
                  </w:r>
                </w:p>
              </w:tc>
              <w:tc>
                <w:tcPr>
                  <w:tcW w:w="964" w:type="dxa"/>
                  <w:vAlign w:val="bottom"/>
                </w:tcPr>
                <w:p w:rsidR="007544CA" w:rsidRDefault="007544CA" w:rsidP="00133508">
                  <w:pPr>
                    <w:pStyle w:val="TableBodyText"/>
                    <w:spacing w:after="20"/>
                    <w:rPr>
                      <w:szCs w:val="18"/>
                    </w:rPr>
                  </w:pPr>
                  <w:r>
                    <w:rPr>
                      <w:szCs w:val="18"/>
                    </w:rPr>
                    <w:t>35.2</w:t>
                  </w:r>
                </w:p>
              </w:tc>
              <w:tc>
                <w:tcPr>
                  <w:tcW w:w="964" w:type="dxa"/>
                  <w:vAlign w:val="bottom"/>
                </w:tcPr>
                <w:p w:rsidR="007544CA" w:rsidRDefault="007544CA" w:rsidP="00133508">
                  <w:pPr>
                    <w:pStyle w:val="TableBodyText"/>
                    <w:spacing w:after="20"/>
                    <w:rPr>
                      <w:szCs w:val="18"/>
                    </w:rPr>
                  </w:pPr>
                  <w:r>
                    <w:rPr>
                      <w:szCs w:val="18"/>
                    </w:rPr>
                    <w:t>33.4</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64.8</w:t>
                  </w:r>
                </w:p>
              </w:tc>
            </w:tr>
            <w:tr w:rsidR="007544CA" w:rsidTr="00133508">
              <w:tc>
                <w:tcPr>
                  <w:tcW w:w="2721" w:type="dxa"/>
                </w:tcPr>
                <w:p w:rsidR="007544CA" w:rsidRPr="00284C93" w:rsidRDefault="007544CA" w:rsidP="00133508">
                  <w:pPr>
                    <w:pStyle w:val="TableBodyText"/>
                    <w:spacing w:after="20"/>
                    <w:jc w:val="left"/>
                  </w:pPr>
                  <w:r w:rsidRPr="00284C93">
                    <w:t>Other livestock farming</w:t>
                  </w:r>
                </w:p>
              </w:tc>
              <w:tc>
                <w:tcPr>
                  <w:tcW w:w="964" w:type="dxa"/>
                  <w:vAlign w:val="bottom"/>
                </w:tcPr>
                <w:p w:rsidR="007544CA" w:rsidRPr="00EE122A" w:rsidRDefault="007544CA" w:rsidP="00133508">
                  <w:pPr>
                    <w:pStyle w:val="TableBodyText"/>
                    <w:spacing w:after="20"/>
                    <w:rPr>
                      <w:szCs w:val="18"/>
                    </w:rPr>
                  </w:pPr>
                  <w:r>
                    <w:t>–</w:t>
                  </w:r>
                </w:p>
              </w:tc>
              <w:tc>
                <w:tcPr>
                  <w:tcW w:w="964" w:type="dxa"/>
                </w:tcPr>
                <w:p w:rsidR="007544CA" w:rsidRPr="00E050F1" w:rsidRDefault="007544CA" w:rsidP="00133508">
                  <w:pPr>
                    <w:pStyle w:val="TableBodyText"/>
                    <w:spacing w:after="20"/>
                  </w:pPr>
                  <w:r>
                    <w:noBreakHyphen/>
                  </w:r>
                  <w:r w:rsidRPr="00E050F1">
                    <w:t>4.3</w:t>
                  </w:r>
                </w:p>
              </w:tc>
              <w:tc>
                <w:tcPr>
                  <w:tcW w:w="1020" w:type="dxa"/>
                  <w:shd w:val="clear" w:color="auto" w:fill="F2F2F2" w:themeFill="background1" w:themeFillShade="F2"/>
                </w:tcPr>
                <w:p w:rsidR="007544CA" w:rsidRDefault="007544CA" w:rsidP="00133508">
                  <w:pPr>
                    <w:pStyle w:val="TableBodyText"/>
                    <w:spacing w:after="20"/>
                  </w:pPr>
                  <w:r>
                    <w:noBreakHyphen/>
                  </w:r>
                  <w:r w:rsidRPr="00E050F1">
                    <w:t>4.3</w:t>
                  </w:r>
                </w:p>
              </w:tc>
              <w:tc>
                <w:tcPr>
                  <w:tcW w:w="964" w:type="dxa"/>
                  <w:vAlign w:val="bottom"/>
                </w:tcPr>
                <w:p w:rsidR="007544CA" w:rsidRDefault="007544CA" w:rsidP="00133508">
                  <w:pPr>
                    <w:pStyle w:val="TableBodyText"/>
                    <w:spacing w:after="20"/>
                    <w:rPr>
                      <w:szCs w:val="18"/>
                    </w:rPr>
                  </w:pPr>
                  <w:r>
                    <w:rPr>
                      <w:szCs w:val="18"/>
                    </w:rPr>
                    <w:t>31.6</w:t>
                  </w:r>
                </w:p>
              </w:tc>
              <w:tc>
                <w:tcPr>
                  <w:tcW w:w="964" w:type="dxa"/>
                  <w:vAlign w:val="bottom"/>
                </w:tcPr>
                <w:p w:rsidR="007544CA" w:rsidRDefault="007544CA" w:rsidP="00133508">
                  <w:pPr>
                    <w:pStyle w:val="TableBodyText"/>
                    <w:spacing w:after="20"/>
                    <w:rPr>
                      <w:szCs w:val="18"/>
                    </w:rPr>
                  </w:pPr>
                  <w:r>
                    <w:rPr>
                      <w:szCs w:val="18"/>
                    </w:rPr>
                    <w:t>12.3</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39.6</w:t>
                  </w:r>
                </w:p>
              </w:tc>
            </w:tr>
            <w:tr w:rsidR="007544CA" w:rsidTr="00133508">
              <w:tc>
                <w:tcPr>
                  <w:tcW w:w="2721" w:type="dxa"/>
                </w:tcPr>
                <w:p w:rsidR="007544CA" w:rsidRPr="00284C93" w:rsidRDefault="007544CA" w:rsidP="00133508">
                  <w:pPr>
                    <w:pStyle w:val="TableBodyText"/>
                    <w:spacing w:after="20"/>
                    <w:jc w:val="left"/>
                  </w:pPr>
                  <w:r w:rsidRPr="00284C93">
                    <w:t>Aquaculture and fishing</w:t>
                  </w:r>
                </w:p>
              </w:tc>
              <w:tc>
                <w:tcPr>
                  <w:tcW w:w="964" w:type="dxa"/>
                </w:tcPr>
                <w:p w:rsidR="007544CA" w:rsidRPr="00F80AF1" w:rsidRDefault="007544CA" w:rsidP="00133508">
                  <w:pPr>
                    <w:pStyle w:val="TableBodyText"/>
                    <w:spacing w:after="20"/>
                  </w:pPr>
                  <w:r w:rsidRPr="00F80AF1">
                    <w:t>1.4</w:t>
                  </w:r>
                </w:p>
              </w:tc>
              <w:tc>
                <w:tcPr>
                  <w:tcW w:w="964" w:type="dxa"/>
                </w:tcPr>
                <w:p w:rsidR="007544CA" w:rsidRPr="00F80AF1" w:rsidRDefault="007544CA" w:rsidP="00133508">
                  <w:pPr>
                    <w:pStyle w:val="TableBodyText"/>
                    <w:spacing w:after="20"/>
                  </w:pPr>
                  <w:r>
                    <w:noBreakHyphen/>
                  </w:r>
                  <w:r w:rsidRPr="00F80AF1">
                    <w:t>19.8</w:t>
                  </w:r>
                </w:p>
              </w:tc>
              <w:tc>
                <w:tcPr>
                  <w:tcW w:w="1020" w:type="dxa"/>
                  <w:shd w:val="clear" w:color="auto" w:fill="F2F2F2" w:themeFill="background1" w:themeFillShade="F2"/>
                </w:tcPr>
                <w:p w:rsidR="007544CA" w:rsidRPr="00F80AF1" w:rsidRDefault="007544CA" w:rsidP="00133508">
                  <w:pPr>
                    <w:pStyle w:val="TableBodyText"/>
                    <w:spacing w:after="20"/>
                  </w:pPr>
                  <w:r>
                    <w:noBreakHyphen/>
                  </w:r>
                  <w:r w:rsidRPr="00F80AF1">
                    <w:t>18.4</w:t>
                  </w:r>
                </w:p>
              </w:tc>
              <w:tc>
                <w:tcPr>
                  <w:tcW w:w="964" w:type="dxa"/>
                  <w:vAlign w:val="bottom"/>
                </w:tcPr>
                <w:p w:rsidR="007544CA" w:rsidRDefault="007544CA" w:rsidP="00133508">
                  <w:pPr>
                    <w:pStyle w:val="TableBodyText"/>
                    <w:spacing w:after="20"/>
                    <w:rPr>
                      <w:szCs w:val="18"/>
                    </w:rPr>
                  </w:pPr>
                  <w:r>
                    <w:rPr>
                      <w:szCs w:val="18"/>
                    </w:rPr>
                    <w:t>54.9</w:t>
                  </w:r>
                </w:p>
              </w:tc>
              <w:tc>
                <w:tcPr>
                  <w:tcW w:w="964" w:type="dxa"/>
                  <w:vAlign w:val="bottom"/>
                </w:tcPr>
                <w:p w:rsidR="007544CA" w:rsidRDefault="007544CA" w:rsidP="00133508">
                  <w:pPr>
                    <w:pStyle w:val="TableBodyText"/>
                    <w:spacing w:after="20"/>
                    <w:rPr>
                      <w:szCs w:val="18"/>
                    </w:rPr>
                  </w:pPr>
                  <w:r>
                    <w:rPr>
                      <w:szCs w:val="18"/>
                    </w:rPr>
                    <w:t>11.8</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48.3</w:t>
                  </w:r>
                </w:p>
              </w:tc>
            </w:tr>
            <w:tr w:rsidR="007544CA" w:rsidTr="00133508">
              <w:tc>
                <w:tcPr>
                  <w:tcW w:w="2721" w:type="dxa"/>
                </w:tcPr>
                <w:p w:rsidR="007544CA" w:rsidRPr="00284C93" w:rsidRDefault="007544CA" w:rsidP="00133508">
                  <w:pPr>
                    <w:pStyle w:val="TableBodyText"/>
                    <w:spacing w:after="20"/>
                    <w:jc w:val="left"/>
                  </w:pPr>
                  <w:r w:rsidRPr="00284C93">
                    <w:t>Forestry and logging</w:t>
                  </w:r>
                </w:p>
              </w:tc>
              <w:tc>
                <w:tcPr>
                  <w:tcW w:w="964" w:type="dxa"/>
                </w:tcPr>
                <w:p w:rsidR="007544CA" w:rsidRPr="00F80AF1" w:rsidRDefault="007544CA" w:rsidP="00133508">
                  <w:pPr>
                    <w:pStyle w:val="TableBodyText"/>
                    <w:spacing w:after="20"/>
                  </w:pPr>
                  <w:r w:rsidRPr="00F80AF1">
                    <w:t>66.4</w:t>
                  </w:r>
                </w:p>
              </w:tc>
              <w:tc>
                <w:tcPr>
                  <w:tcW w:w="964" w:type="dxa"/>
                </w:tcPr>
                <w:p w:rsidR="007544CA" w:rsidRPr="00F80AF1" w:rsidRDefault="007544CA" w:rsidP="00133508">
                  <w:pPr>
                    <w:pStyle w:val="TableBodyText"/>
                    <w:spacing w:after="20"/>
                  </w:pPr>
                  <w:r>
                    <w:noBreakHyphen/>
                  </w:r>
                  <w:r w:rsidRPr="00F80AF1">
                    <w:t>13.0</w:t>
                  </w:r>
                </w:p>
              </w:tc>
              <w:tc>
                <w:tcPr>
                  <w:tcW w:w="1020" w:type="dxa"/>
                  <w:shd w:val="clear" w:color="auto" w:fill="F2F2F2" w:themeFill="background1" w:themeFillShade="F2"/>
                </w:tcPr>
                <w:p w:rsidR="007544CA" w:rsidRDefault="007544CA" w:rsidP="00133508">
                  <w:pPr>
                    <w:pStyle w:val="TableBodyText"/>
                    <w:spacing w:after="20"/>
                  </w:pPr>
                  <w:r w:rsidRPr="00F80AF1">
                    <w:t>53.4</w:t>
                  </w:r>
                </w:p>
              </w:tc>
              <w:tc>
                <w:tcPr>
                  <w:tcW w:w="964" w:type="dxa"/>
                  <w:vAlign w:val="bottom"/>
                </w:tcPr>
                <w:p w:rsidR="007544CA" w:rsidRDefault="007544CA" w:rsidP="00133508">
                  <w:pPr>
                    <w:pStyle w:val="TableBodyText"/>
                    <w:spacing w:after="20"/>
                    <w:rPr>
                      <w:szCs w:val="18"/>
                    </w:rPr>
                  </w:pPr>
                  <w:r>
                    <w:rPr>
                      <w:szCs w:val="18"/>
                    </w:rPr>
                    <w:t>12.6</w:t>
                  </w:r>
                </w:p>
              </w:tc>
              <w:tc>
                <w:tcPr>
                  <w:tcW w:w="964" w:type="dxa"/>
                  <w:vAlign w:val="bottom"/>
                </w:tcPr>
                <w:p w:rsidR="007544CA" w:rsidRDefault="007544CA" w:rsidP="00133508">
                  <w:pPr>
                    <w:pStyle w:val="TableBodyText"/>
                    <w:spacing w:after="20"/>
                    <w:rPr>
                      <w:szCs w:val="18"/>
                    </w:rPr>
                  </w:pPr>
                  <w:r>
                    <w:rPr>
                      <w:szCs w:val="18"/>
                    </w:rPr>
                    <w:t>12.5</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78.4</w:t>
                  </w:r>
                </w:p>
              </w:tc>
            </w:tr>
            <w:tr w:rsidR="007544CA" w:rsidTr="00133508">
              <w:tc>
                <w:tcPr>
                  <w:tcW w:w="2721" w:type="dxa"/>
                </w:tcPr>
                <w:p w:rsidR="007544CA" w:rsidRPr="00284C93" w:rsidRDefault="007544CA" w:rsidP="00133508">
                  <w:pPr>
                    <w:pStyle w:val="TableBodyText"/>
                    <w:spacing w:after="20"/>
                    <w:jc w:val="left"/>
                  </w:pPr>
                  <w:r w:rsidRPr="00284C93">
                    <w:t>Primary production services</w:t>
                  </w:r>
                </w:p>
              </w:tc>
              <w:tc>
                <w:tcPr>
                  <w:tcW w:w="964" w:type="dxa"/>
                  <w:vAlign w:val="bottom"/>
                </w:tcPr>
                <w:p w:rsidR="007544CA" w:rsidRPr="00EE122A" w:rsidRDefault="007544CA" w:rsidP="00133508">
                  <w:pPr>
                    <w:pStyle w:val="TableBodyText"/>
                    <w:spacing w:after="20"/>
                    <w:rPr>
                      <w:szCs w:val="18"/>
                    </w:rPr>
                  </w:pPr>
                  <w:r>
                    <w:t>–</w:t>
                  </w:r>
                </w:p>
              </w:tc>
              <w:tc>
                <w:tcPr>
                  <w:tcW w:w="964" w:type="dxa"/>
                </w:tcPr>
                <w:p w:rsidR="007544CA" w:rsidRPr="0070541C" w:rsidRDefault="007544CA" w:rsidP="00133508">
                  <w:pPr>
                    <w:pStyle w:val="TableBodyText"/>
                    <w:spacing w:after="20"/>
                  </w:pPr>
                  <w:r>
                    <w:noBreakHyphen/>
                  </w:r>
                  <w:r w:rsidRPr="0070541C">
                    <w:t>9.8</w:t>
                  </w:r>
                </w:p>
              </w:tc>
              <w:tc>
                <w:tcPr>
                  <w:tcW w:w="1020" w:type="dxa"/>
                  <w:shd w:val="clear" w:color="auto" w:fill="F2F2F2" w:themeFill="background1" w:themeFillShade="F2"/>
                </w:tcPr>
                <w:p w:rsidR="007544CA" w:rsidRDefault="007544CA" w:rsidP="00133508">
                  <w:pPr>
                    <w:pStyle w:val="TableBodyText"/>
                    <w:spacing w:after="20"/>
                  </w:pPr>
                  <w:r>
                    <w:noBreakHyphen/>
                  </w:r>
                  <w:r w:rsidRPr="0070541C">
                    <w:t>9.8</w:t>
                  </w:r>
                </w:p>
              </w:tc>
              <w:tc>
                <w:tcPr>
                  <w:tcW w:w="964" w:type="dxa"/>
                  <w:vAlign w:val="bottom"/>
                </w:tcPr>
                <w:p w:rsidR="007544CA" w:rsidRDefault="007544CA" w:rsidP="00133508">
                  <w:pPr>
                    <w:pStyle w:val="TableBodyText"/>
                    <w:spacing w:after="20"/>
                    <w:rPr>
                      <w:szCs w:val="18"/>
                    </w:rPr>
                  </w:pPr>
                  <w:r>
                    <w:rPr>
                      <w:szCs w:val="18"/>
                    </w:rPr>
                    <w:t>3.3</w:t>
                  </w:r>
                </w:p>
              </w:tc>
              <w:tc>
                <w:tcPr>
                  <w:tcW w:w="964" w:type="dxa"/>
                  <w:vAlign w:val="bottom"/>
                </w:tcPr>
                <w:p w:rsidR="007544CA" w:rsidRDefault="007544CA" w:rsidP="00133508">
                  <w:pPr>
                    <w:pStyle w:val="TableBodyText"/>
                    <w:spacing w:after="20"/>
                    <w:rPr>
                      <w:szCs w:val="18"/>
                    </w:rPr>
                  </w:pPr>
                  <w:r>
                    <w:rPr>
                      <w:szCs w:val="18"/>
                    </w:rPr>
                    <w:t>16.3</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9.8</w:t>
                  </w:r>
                </w:p>
              </w:tc>
            </w:tr>
            <w:tr w:rsidR="007544CA" w:rsidTr="00133508">
              <w:tc>
                <w:tcPr>
                  <w:tcW w:w="2721" w:type="dxa"/>
                </w:tcPr>
                <w:p w:rsidR="007544CA" w:rsidRPr="00284C93" w:rsidRDefault="007544CA" w:rsidP="00133508">
                  <w:pPr>
                    <w:pStyle w:val="TableBodyText"/>
                    <w:spacing w:after="20"/>
                    <w:jc w:val="left"/>
                  </w:pPr>
                  <w:r w:rsidRPr="00284C93">
                    <w:t>Unallocated primary production</w:t>
                  </w:r>
                </w:p>
              </w:tc>
              <w:tc>
                <w:tcPr>
                  <w:tcW w:w="964" w:type="dxa"/>
                  <w:vAlign w:val="bottom"/>
                </w:tcPr>
                <w:p w:rsidR="007544CA" w:rsidRPr="00EE122A" w:rsidRDefault="007544CA" w:rsidP="00133508">
                  <w:pPr>
                    <w:pStyle w:val="TableBodyText"/>
                    <w:spacing w:after="20"/>
                    <w:rPr>
                      <w:szCs w:val="18"/>
                    </w:rPr>
                  </w:pPr>
                  <w:r>
                    <w:t>–</w:t>
                  </w:r>
                </w:p>
              </w:tc>
              <w:tc>
                <w:tcPr>
                  <w:tcW w:w="964" w:type="dxa"/>
                  <w:vAlign w:val="bottom"/>
                </w:tcPr>
                <w:p w:rsidR="007544CA" w:rsidRPr="00EE122A" w:rsidRDefault="007544CA" w:rsidP="00133508">
                  <w:pPr>
                    <w:pStyle w:val="TableBodyText"/>
                    <w:spacing w:after="20"/>
                    <w:rPr>
                      <w:szCs w:val="18"/>
                    </w:rPr>
                  </w:pPr>
                  <w:r>
                    <w:t>–</w:t>
                  </w:r>
                </w:p>
              </w:tc>
              <w:tc>
                <w:tcPr>
                  <w:tcW w:w="1020" w:type="dxa"/>
                  <w:shd w:val="clear" w:color="auto" w:fill="F2F2F2" w:themeFill="background1" w:themeFillShade="F2"/>
                  <w:vAlign w:val="bottom"/>
                </w:tcPr>
                <w:p w:rsidR="007544CA" w:rsidRPr="00EE122A" w:rsidRDefault="007544CA" w:rsidP="00133508">
                  <w:pPr>
                    <w:pStyle w:val="TableBodyText"/>
                    <w:spacing w:after="20"/>
                    <w:rPr>
                      <w:szCs w:val="18"/>
                    </w:rPr>
                  </w:pPr>
                  <w:r>
                    <w:t>–</w:t>
                  </w:r>
                </w:p>
              </w:tc>
              <w:tc>
                <w:tcPr>
                  <w:tcW w:w="964" w:type="dxa"/>
                  <w:vAlign w:val="bottom"/>
                </w:tcPr>
                <w:p w:rsidR="007544CA" w:rsidRDefault="007544CA" w:rsidP="00133508">
                  <w:pPr>
                    <w:pStyle w:val="TableBodyText"/>
                    <w:spacing w:after="20"/>
                    <w:rPr>
                      <w:szCs w:val="18"/>
                    </w:rPr>
                  </w:pPr>
                  <w:r>
                    <w:rPr>
                      <w:szCs w:val="18"/>
                    </w:rPr>
                    <w:t>214.8</w:t>
                  </w:r>
                </w:p>
              </w:tc>
              <w:tc>
                <w:tcPr>
                  <w:tcW w:w="964" w:type="dxa"/>
                  <w:vAlign w:val="bottom"/>
                </w:tcPr>
                <w:p w:rsidR="007544CA" w:rsidRDefault="007544CA" w:rsidP="00133508">
                  <w:pPr>
                    <w:pStyle w:val="TableBodyText"/>
                    <w:spacing w:after="20"/>
                    <w:rPr>
                      <w:szCs w:val="18"/>
                    </w:rPr>
                  </w:pPr>
                  <w:r>
                    <w:rPr>
                      <w:szCs w:val="18"/>
                    </w:rPr>
                    <w:t>3.0</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217.8</w:t>
                  </w:r>
                </w:p>
              </w:tc>
            </w:tr>
            <w:tr w:rsidR="007544CA" w:rsidRPr="00450BD4" w:rsidTr="00133508">
              <w:tc>
                <w:tcPr>
                  <w:tcW w:w="2721" w:type="dxa"/>
                </w:tcPr>
                <w:p w:rsidR="007544CA" w:rsidRPr="00450BD4" w:rsidRDefault="007544CA" w:rsidP="00133508">
                  <w:pPr>
                    <w:pStyle w:val="TableBodyText"/>
                    <w:spacing w:after="30"/>
                    <w:jc w:val="left"/>
                    <w:rPr>
                      <w:b/>
                    </w:rPr>
                  </w:pPr>
                  <w:r w:rsidRPr="00450BD4">
                    <w:rPr>
                      <w:b/>
                    </w:rPr>
                    <w:t>Mining</w:t>
                  </w:r>
                </w:p>
              </w:tc>
              <w:tc>
                <w:tcPr>
                  <w:tcW w:w="964" w:type="dxa"/>
                </w:tcPr>
                <w:p w:rsidR="007544CA" w:rsidRPr="007010D0" w:rsidRDefault="007544CA" w:rsidP="00133508">
                  <w:pPr>
                    <w:pStyle w:val="TableBodyText"/>
                    <w:spacing w:after="30"/>
                    <w:rPr>
                      <w:b/>
                    </w:rPr>
                  </w:pPr>
                  <w:r w:rsidRPr="007010D0">
                    <w:rPr>
                      <w:b/>
                    </w:rPr>
                    <w:t>1.2</w:t>
                  </w:r>
                </w:p>
              </w:tc>
              <w:tc>
                <w:tcPr>
                  <w:tcW w:w="964" w:type="dxa"/>
                </w:tcPr>
                <w:p w:rsidR="007544CA" w:rsidRPr="007010D0" w:rsidRDefault="007544CA" w:rsidP="00133508">
                  <w:pPr>
                    <w:pStyle w:val="TableBodyText"/>
                    <w:spacing w:after="30"/>
                    <w:rPr>
                      <w:b/>
                    </w:rPr>
                  </w:pPr>
                  <w:r>
                    <w:rPr>
                      <w:b/>
                    </w:rPr>
                    <w:noBreakHyphen/>
                  </w:r>
                  <w:r w:rsidRPr="007010D0">
                    <w:rPr>
                      <w:b/>
                    </w:rPr>
                    <w:t>254.0</w:t>
                  </w:r>
                </w:p>
              </w:tc>
              <w:tc>
                <w:tcPr>
                  <w:tcW w:w="1020" w:type="dxa"/>
                  <w:shd w:val="clear" w:color="auto" w:fill="F2F2F2" w:themeFill="background1" w:themeFillShade="F2"/>
                </w:tcPr>
                <w:p w:rsidR="007544CA" w:rsidRPr="007010D0" w:rsidRDefault="007544CA" w:rsidP="00133508">
                  <w:pPr>
                    <w:pStyle w:val="TableBodyText"/>
                    <w:spacing w:after="30"/>
                    <w:rPr>
                      <w:b/>
                    </w:rPr>
                  </w:pPr>
                  <w:r>
                    <w:rPr>
                      <w:b/>
                    </w:rPr>
                    <w:noBreakHyphen/>
                  </w:r>
                  <w:r w:rsidRPr="007010D0">
                    <w:rPr>
                      <w:b/>
                    </w:rPr>
                    <w:t>252.9</w:t>
                  </w:r>
                </w:p>
              </w:tc>
              <w:tc>
                <w:tcPr>
                  <w:tcW w:w="964" w:type="dxa"/>
                  <w:vAlign w:val="bottom"/>
                </w:tcPr>
                <w:p w:rsidR="007544CA" w:rsidRPr="007010D0" w:rsidRDefault="007544CA" w:rsidP="00133508">
                  <w:pPr>
                    <w:pStyle w:val="TableBodyText"/>
                    <w:spacing w:after="30"/>
                    <w:rPr>
                      <w:b/>
                      <w:szCs w:val="18"/>
                    </w:rPr>
                  </w:pPr>
                  <w:r w:rsidRPr="007010D0">
                    <w:rPr>
                      <w:b/>
                      <w:szCs w:val="18"/>
                    </w:rPr>
                    <w:t>263.8</w:t>
                  </w:r>
                </w:p>
              </w:tc>
              <w:tc>
                <w:tcPr>
                  <w:tcW w:w="964" w:type="dxa"/>
                  <w:vAlign w:val="bottom"/>
                </w:tcPr>
                <w:p w:rsidR="007544CA" w:rsidRPr="007010D0" w:rsidRDefault="007544CA" w:rsidP="00133508">
                  <w:pPr>
                    <w:pStyle w:val="TableBodyText"/>
                    <w:spacing w:after="30"/>
                    <w:rPr>
                      <w:b/>
                      <w:szCs w:val="18"/>
                    </w:rPr>
                  </w:pPr>
                  <w:r w:rsidRPr="007010D0">
                    <w:rPr>
                      <w:b/>
                      <w:szCs w:val="18"/>
                    </w:rPr>
                    <w:t>288.3</w:t>
                  </w:r>
                </w:p>
              </w:tc>
              <w:tc>
                <w:tcPr>
                  <w:tcW w:w="964" w:type="dxa"/>
                  <w:shd w:val="clear" w:color="auto" w:fill="F2F2F2" w:themeFill="background1" w:themeFillShade="F2"/>
                  <w:vAlign w:val="bottom"/>
                </w:tcPr>
                <w:p w:rsidR="007544CA" w:rsidRPr="007010D0" w:rsidRDefault="007544CA" w:rsidP="00133508">
                  <w:pPr>
                    <w:pStyle w:val="TableBodyText"/>
                    <w:spacing w:after="30"/>
                    <w:rPr>
                      <w:b/>
                      <w:szCs w:val="18"/>
                    </w:rPr>
                  </w:pPr>
                  <w:r w:rsidRPr="007010D0">
                    <w:rPr>
                      <w:b/>
                      <w:szCs w:val="18"/>
                    </w:rPr>
                    <w:t>299.1</w:t>
                  </w:r>
                </w:p>
              </w:tc>
            </w:tr>
            <w:tr w:rsidR="007544CA" w:rsidRPr="00450BD4" w:rsidTr="00133508">
              <w:tc>
                <w:tcPr>
                  <w:tcW w:w="2721" w:type="dxa"/>
                </w:tcPr>
                <w:p w:rsidR="007544CA" w:rsidRPr="00450BD4" w:rsidRDefault="007544CA" w:rsidP="00133508">
                  <w:pPr>
                    <w:pStyle w:val="TableBodyText"/>
                    <w:spacing w:after="30"/>
                    <w:jc w:val="left"/>
                    <w:rPr>
                      <w:b/>
                    </w:rPr>
                  </w:pPr>
                  <w:r w:rsidRPr="00450BD4">
                    <w:rPr>
                      <w:b/>
                    </w:rPr>
                    <w:t>Manufacturing</w:t>
                  </w:r>
                </w:p>
              </w:tc>
              <w:tc>
                <w:tcPr>
                  <w:tcW w:w="964" w:type="dxa"/>
                </w:tcPr>
                <w:p w:rsidR="007544CA" w:rsidRPr="007010D0" w:rsidRDefault="007544CA" w:rsidP="00133508">
                  <w:pPr>
                    <w:pStyle w:val="TableBodyText"/>
                    <w:spacing w:after="30"/>
                    <w:rPr>
                      <w:b/>
                    </w:rPr>
                  </w:pPr>
                  <w:r w:rsidRPr="007010D0">
                    <w:rPr>
                      <w:b/>
                    </w:rPr>
                    <w:t>7</w:t>
                  </w:r>
                  <w:r>
                    <w:rPr>
                      <w:b/>
                    </w:rPr>
                    <w:t> </w:t>
                  </w:r>
                  <w:r w:rsidRPr="007010D0">
                    <w:rPr>
                      <w:b/>
                    </w:rPr>
                    <w:t>617.3</w:t>
                  </w:r>
                </w:p>
              </w:tc>
              <w:tc>
                <w:tcPr>
                  <w:tcW w:w="964" w:type="dxa"/>
                </w:tcPr>
                <w:p w:rsidR="007544CA" w:rsidRPr="007010D0" w:rsidRDefault="007544CA" w:rsidP="00133508">
                  <w:pPr>
                    <w:pStyle w:val="TableBodyText"/>
                    <w:spacing w:after="30"/>
                    <w:rPr>
                      <w:b/>
                    </w:rPr>
                  </w:pPr>
                  <w:r>
                    <w:rPr>
                      <w:b/>
                    </w:rPr>
                    <w:noBreakHyphen/>
                  </w:r>
                  <w:r w:rsidRPr="007010D0">
                    <w:rPr>
                      <w:b/>
                    </w:rPr>
                    <w:t>2</w:t>
                  </w:r>
                  <w:r>
                    <w:rPr>
                      <w:b/>
                    </w:rPr>
                    <w:t> </w:t>
                  </w:r>
                  <w:r w:rsidRPr="007010D0">
                    <w:rPr>
                      <w:b/>
                    </w:rPr>
                    <w:t>061.4</w:t>
                  </w:r>
                </w:p>
              </w:tc>
              <w:tc>
                <w:tcPr>
                  <w:tcW w:w="1020" w:type="dxa"/>
                  <w:shd w:val="clear" w:color="auto" w:fill="F2F2F2" w:themeFill="background1" w:themeFillShade="F2"/>
                </w:tcPr>
                <w:p w:rsidR="007544CA" w:rsidRPr="007010D0" w:rsidRDefault="007544CA" w:rsidP="00133508">
                  <w:pPr>
                    <w:pStyle w:val="TableBodyText"/>
                    <w:spacing w:after="30"/>
                    <w:rPr>
                      <w:b/>
                    </w:rPr>
                  </w:pPr>
                  <w:r w:rsidRPr="007010D0">
                    <w:rPr>
                      <w:b/>
                    </w:rPr>
                    <w:t>5</w:t>
                  </w:r>
                  <w:r>
                    <w:rPr>
                      <w:b/>
                    </w:rPr>
                    <w:t> </w:t>
                  </w:r>
                  <w:r w:rsidRPr="007010D0">
                    <w:rPr>
                      <w:b/>
                    </w:rPr>
                    <w:t>555.9</w:t>
                  </w:r>
                </w:p>
              </w:tc>
              <w:tc>
                <w:tcPr>
                  <w:tcW w:w="964" w:type="dxa"/>
                  <w:vAlign w:val="bottom"/>
                </w:tcPr>
                <w:p w:rsidR="007544CA" w:rsidRPr="007010D0" w:rsidRDefault="007544CA" w:rsidP="00133508">
                  <w:pPr>
                    <w:pStyle w:val="TableBodyText"/>
                    <w:spacing w:after="30"/>
                    <w:rPr>
                      <w:b/>
                      <w:szCs w:val="18"/>
                    </w:rPr>
                  </w:pPr>
                  <w:r w:rsidRPr="007010D0">
                    <w:rPr>
                      <w:b/>
                      <w:szCs w:val="18"/>
                    </w:rPr>
                    <w:t>1</w:t>
                  </w:r>
                  <w:r>
                    <w:rPr>
                      <w:b/>
                      <w:szCs w:val="18"/>
                    </w:rPr>
                    <w:t> </w:t>
                  </w:r>
                  <w:r w:rsidRPr="007010D0">
                    <w:rPr>
                      <w:b/>
                      <w:szCs w:val="18"/>
                    </w:rPr>
                    <w:t>091.7</w:t>
                  </w:r>
                </w:p>
              </w:tc>
              <w:tc>
                <w:tcPr>
                  <w:tcW w:w="964" w:type="dxa"/>
                  <w:vAlign w:val="bottom"/>
                </w:tcPr>
                <w:p w:rsidR="007544CA" w:rsidRPr="007010D0" w:rsidRDefault="007544CA" w:rsidP="00133508">
                  <w:pPr>
                    <w:pStyle w:val="TableBodyText"/>
                    <w:spacing w:after="30"/>
                    <w:rPr>
                      <w:b/>
                      <w:szCs w:val="18"/>
                    </w:rPr>
                  </w:pPr>
                  <w:r w:rsidRPr="007010D0">
                    <w:rPr>
                      <w:b/>
                      <w:szCs w:val="18"/>
                    </w:rPr>
                    <w:t>392.7</w:t>
                  </w:r>
                </w:p>
              </w:tc>
              <w:tc>
                <w:tcPr>
                  <w:tcW w:w="964" w:type="dxa"/>
                  <w:shd w:val="clear" w:color="auto" w:fill="F2F2F2" w:themeFill="background1" w:themeFillShade="F2"/>
                  <w:vAlign w:val="bottom"/>
                </w:tcPr>
                <w:p w:rsidR="007544CA" w:rsidRPr="007010D0" w:rsidRDefault="007544CA" w:rsidP="00133508">
                  <w:pPr>
                    <w:pStyle w:val="TableBodyText"/>
                    <w:spacing w:after="30"/>
                    <w:rPr>
                      <w:b/>
                      <w:szCs w:val="18"/>
                    </w:rPr>
                  </w:pPr>
                  <w:r w:rsidRPr="007010D0">
                    <w:rPr>
                      <w:b/>
                      <w:szCs w:val="18"/>
                    </w:rPr>
                    <w:t>7</w:t>
                  </w:r>
                  <w:r>
                    <w:rPr>
                      <w:b/>
                      <w:szCs w:val="18"/>
                    </w:rPr>
                    <w:t> </w:t>
                  </w:r>
                  <w:r w:rsidRPr="007010D0">
                    <w:rPr>
                      <w:b/>
                      <w:szCs w:val="18"/>
                    </w:rPr>
                    <w:t>040.2</w:t>
                  </w:r>
                </w:p>
              </w:tc>
            </w:tr>
            <w:tr w:rsidR="007544CA" w:rsidTr="00133508">
              <w:tc>
                <w:tcPr>
                  <w:tcW w:w="2721" w:type="dxa"/>
                </w:tcPr>
                <w:p w:rsidR="007544CA" w:rsidRPr="00F22AF1" w:rsidRDefault="007544CA" w:rsidP="00133508">
                  <w:pPr>
                    <w:pStyle w:val="TableBodyText"/>
                    <w:spacing w:after="20"/>
                    <w:jc w:val="left"/>
                  </w:pPr>
                  <w:r w:rsidRPr="00F22AF1">
                    <w:t>Food, beverages and tobacco</w:t>
                  </w:r>
                </w:p>
              </w:tc>
              <w:tc>
                <w:tcPr>
                  <w:tcW w:w="964" w:type="dxa"/>
                </w:tcPr>
                <w:p w:rsidR="007544CA" w:rsidRPr="000F47A9" w:rsidRDefault="007544CA" w:rsidP="00133508">
                  <w:pPr>
                    <w:pStyle w:val="TableBodyText"/>
                    <w:spacing w:after="20"/>
                  </w:pPr>
                  <w:r w:rsidRPr="000F47A9">
                    <w:t>1</w:t>
                  </w:r>
                  <w:r>
                    <w:t> </w:t>
                  </w:r>
                  <w:r w:rsidRPr="000F47A9">
                    <w:t>871.7</w:t>
                  </w:r>
                </w:p>
              </w:tc>
              <w:tc>
                <w:tcPr>
                  <w:tcW w:w="964" w:type="dxa"/>
                </w:tcPr>
                <w:p w:rsidR="007544CA" w:rsidRPr="000F47A9" w:rsidRDefault="007544CA" w:rsidP="00133508">
                  <w:pPr>
                    <w:pStyle w:val="TableBodyText"/>
                    <w:spacing w:after="20"/>
                  </w:pPr>
                  <w:r>
                    <w:noBreakHyphen/>
                  </w:r>
                  <w:r w:rsidRPr="000F47A9">
                    <w:t>531.6</w:t>
                  </w:r>
                </w:p>
              </w:tc>
              <w:tc>
                <w:tcPr>
                  <w:tcW w:w="1020" w:type="dxa"/>
                  <w:shd w:val="clear" w:color="auto" w:fill="F2F2F2" w:themeFill="background1" w:themeFillShade="F2"/>
                </w:tcPr>
                <w:p w:rsidR="007544CA" w:rsidRPr="000F47A9" w:rsidRDefault="007544CA" w:rsidP="00133508">
                  <w:pPr>
                    <w:pStyle w:val="TableBodyText"/>
                    <w:spacing w:after="20"/>
                  </w:pPr>
                  <w:r w:rsidRPr="000F47A9">
                    <w:t>1</w:t>
                  </w:r>
                  <w:r>
                    <w:t> </w:t>
                  </w:r>
                  <w:r w:rsidRPr="000F47A9">
                    <w:t>340.0</w:t>
                  </w:r>
                </w:p>
              </w:tc>
              <w:tc>
                <w:tcPr>
                  <w:tcW w:w="964" w:type="dxa"/>
                  <w:vAlign w:val="bottom"/>
                </w:tcPr>
                <w:p w:rsidR="007544CA" w:rsidRDefault="007544CA" w:rsidP="00133508">
                  <w:pPr>
                    <w:pStyle w:val="TableBodyText"/>
                    <w:spacing w:after="20"/>
                    <w:rPr>
                      <w:szCs w:val="18"/>
                    </w:rPr>
                  </w:pPr>
                  <w:r>
                    <w:rPr>
                      <w:szCs w:val="18"/>
                    </w:rPr>
                    <w:t>72.0</w:t>
                  </w:r>
                </w:p>
              </w:tc>
              <w:tc>
                <w:tcPr>
                  <w:tcW w:w="964" w:type="dxa"/>
                  <w:vAlign w:val="bottom"/>
                </w:tcPr>
                <w:p w:rsidR="007544CA" w:rsidRDefault="007544CA" w:rsidP="00133508">
                  <w:pPr>
                    <w:pStyle w:val="TableBodyText"/>
                    <w:spacing w:after="20"/>
                    <w:rPr>
                      <w:szCs w:val="18"/>
                    </w:rPr>
                  </w:pPr>
                  <w:r>
                    <w:rPr>
                      <w:szCs w:val="18"/>
                    </w:rPr>
                    <w:t>47.9</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1 460.0</w:t>
                  </w:r>
                </w:p>
              </w:tc>
            </w:tr>
            <w:tr w:rsidR="007544CA" w:rsidTr="00133508">
              <w:tc>
                <w:tcPr>
                  <w:tcW w:w="2721" w:type="dxa"/>
                </w:tcPr>
                <w:p w:rsidR="007544CA" w:rsidRPr="00F22AF1" w:rsidRDefault="007544CA" w:rsidP="00133508">
                  <w:pPr>
                    <w:pStyle w:val="TableBodyText"/>
                    <w:spacing w:after="20"/>
                    <w:jc w:val="left"/>
                  </w:pPr>
                  <w:r w:rsidRPr="00F22AF1">
                    <w:t>Textile</w:t>
                  </w:r>
                  <w:r>
                    <w:t>s</w:t>
                  </w:r>
                  <w:r w:rsidRPr="00F22AF1">
                    <w:t>, clothing and footwear</w:t>
                  </w:r>
                </w:p>
              </w:tc>
              <w:tc>
                <w:tcPr>
                  <w:tcW w:w="964" w:type="dxa"/>
                </w:tcPr>
                <w:p w:rsidR="007544CA" w:rsidRPr="000F47A9" w:rsidRDefault="007544CA" w:rsidP="00133508">
                  <w:pPr>
                    <w:pStyle w:val="TableBodyText"/>
                    <w:spacing w:after="20"/>
                  </w:pPr>
                  <w:r w:rsidRPr="000F47A9">
                    <w:t>277.8</w:t>
                  </w:r>
                </w:p>
              </w:tc>
              <w:tc>
                <w:tcPr>
                  <w:tcW w:w="964" w:type="dxa"/>
                </w:tcPr>
                <w:p w:rsidR="007544CA" w:rsidRPr="000F47A9" w:rsidRDefault="007544CA" w:rsidP="00133508">
                  <w:pPr>
                    <w:pStyle w:val="TableBodyText"/>
                    <w:spacing w:after="20"/>
                  </w:pPr>
                  <w:r>
                    <w:noBreakHyphen/>
                  </w:r>
                  <w:r w:rsidRPr="000F47A9">
                    <w:t>58.1</w:t>
                  </w:r>
                </w:p>
              </w:tc>
              <w:tc>
                <w:tcPr>
                  <w:tcW w:w="1020" w:type="dxa"/>
                  <w:shd w:val="clear" w:color="auto" w:fill="F2F2F2" w:themeFill="background1" w:themeFillShade="F2"/>
                </w:tcPr>
                <w:p w:rsidR="007544CA" w:rsidRPr="000F47A9" w:rsidRDefault="007544CA" w:rsidP="00133508">
                  <w:pPr>
                    <w:pStyle w:val="TableBodyText"/>
                    <w:spacing w:after="20"/>
                  </w:pPr>
                  <w:r w:rsidRPr="000F47A9">
                    <w:t>219.7</w:t>
                  </w:r>
                </w:p>
              </w:tc>
              <w:tc>
                <w:tcPr>
                  <w:tcW w:w="964" w:type="dxa"/>
                  <w:vAlign w:val="bottom"/>
                </w:tcPr>
                <w:p w:rsidR="007544CA" w:rsidRDefault="007544CA" w:rsidP="00133508">
                  <w:pPr>
                    <w:pStyle w:val="TableBodyText"/>
                    <w:spacing w:after="20"/>
                    <w:rPr>
                      <w:szCs w:val="18"/>
                    </w:rPr>
                  </w:pPr>
                  <w:r>
                    <w:rPr>
                      <w:szCs w:val="18"/>
                    </w:rPr>
                    <w:t>48.4</w:t>
                  </w:r>
                </w:p>
              </w:tc>
              <w:tc>
                <w:tcPr>
                  <w:tcW w:w="964" w:type="dxa"/>
                  <w:vAlign w:val="bottom"/>
                </w:tcPr>
                <w:p w:rsidR="007544CA" w:rsidRDefault="007544CA" w:rsidP="00133508">
                  <w:pPr>
                    <w:pStyle w:val="TableBodyText"/>
                    <w:spacing w:after="20"/>
                    <w:rPr>
                      <w:szCs w:val="18"/>
                    </w:rPr>
                  </w:pPr>
                  <w:r>
                    <w:rPr>
                      <w:szCs w:val="18"/>
                    </w:rPr>
                    <w:t>4.4</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272.5</w:t>
                  </w:r>
                </w:p>
              </w:tc>
            </w:tr>
            <w:tr w:rsidR="007544CA" w:rsidTr="00133508">
              <w:tc>
                <w:tcPr>
                  <w:tcW w:w="2721" w:type="dxa"/>
                </w:tcPr>
                <w:p w:rsidR="007544CA" w:rsidRPr="00F22AF1" w:rsidRDefault="007544CA" w:rsidP="00133508">
                  <w:pPr>
                    <w:pStyle w:val="TableBodyText"/>
                    <w:spacing w:after="20"/>
                    <w:jc w:val="left"/>
                  </w:pPr>
                  <w:r w:rsidRPr="00F22AF1">
                    <w:t>Wood and paper products</w:t>
                  </w:r>
                </w:p>
              </w:tc>
              <w:tc>
                <w:tcPr>
                  <w:tcW w:w="964" w:type="dxa"/>
                </w:tcPr>
                <w:p w:rsidR="007544CA" w:rsidRPr="000F47A9" w:rsidRDefault="007544CA" w:rsidP="00133508">
                  <w:pPr>
                    <w:pStyle w:val="TableBodyText"/>
                    <w:spacing w:after="20"/>
                  </w:pPr>
                  <w:r w:rsidRPr="000F47A9">
                    <w:t>703.0</w:t>
                  </w:r>
                </w:p>
              </w:tc>
              <w:tc>
                <w:tcPr>
                  <w:tcW w:w="964" w:type="dxa"/>
                </w:tcPr>
                <w:p w:rsidR="007544CA" w:rsidRPr="000F47A9" w:rsidRDefault="007544CA" w:rsidP="00133508">
                  <w:pPr>
                    <w:pStyle w:val="TableBodyText"/>
                    <w:spacing w:after="20"/>
                  </w:pPr>
                  <w:r>
                    <w:noBreakHyphen/>
                  </w:r>
                  <w:r w:rsidRPr="000F47A9">
                    <w:t>142.3</w:t>
                  </w:r>
                </w:p>
              </w:tc>
              <w:tc>
                <w:tcPr>
                  <w:tcW w:w="1020" w:type="dxa"/>
                  <w:shd w:val="clear" w:color="auto" w:fill="F2F2F2" w:themeFill="background1" w:themeFillShade="F2"/>
                </w:tcPr>
                <w:p w:rsidR="007544CA" w:rsidRPr="000F47A9" w:rsidRDefault="007544CA" w:rsidP="00133508">
                  <w:pPr>
                    <w:pStyle w:val="TableBodyText"/>
                    <w:spacing w:after="20"/>
                  </w:pPr>
                  <w:r w:rsidRPr="000F47A9">
                    <w:t>560.7</w:t>
                  </w:r>
                </w:p>
              </w:tc>
              <w:tc>
                <w:tcPr>
                  <w:tcW w:w="964" w:type="dxa"/>
                  <w:vAlign w:val="bottom"/>
                </w:tcPr>
                <w:p w:rsidR="007544CA" w:rsidRDefault="007544CA" w:rsidP="00133508">
                  <w:pPr>
                    <w:pStyle w:val="TableBodyText"/>
                    <w:spacing w:after="20"/>
                    <w:rPr>
                      <w:szCs w:val="18"/>
                    </w:rPr>
                  </w:pPr>
                  <w:r>
                    <w:rPr>
                      <w:szCs w:val="18"/>
                    </w:rPr>
                    <w:t>11.5</w:t>
                  </w:r>
                </w:p>
              </w:tc>
              <w:tc>
                <w:tcPr>
                  <w:tcW w:w="964" w:type="dxa"/>
                  <w:vAlign w:val="bottom"/>
                </w:tcPr>
                <w:p w:rsidR="007544CA" w:rsidRDefault="007544CA" w:rsidP="00133508">
                  <w:pPr>
                    <w:pStyle w:val="TableBodyText"/>
                    <w:spacing w:after="20"/>
                    <w:rPr>
                      <w:szCs w:val="18"/>
                    </w:rPr>
                  </w:pPr>
                  <w:r>
                    <w:rPr>
                      <w:szCs w:val="18"/>
                    </w:rPr>
                    <w:t>5.0</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577.2</w:t>
                  </w:r>
                </w:p>
              </w:tc>
            </w:tr>
            <w:tr w:rsidR="007544CA" w:rsidTr="00133508">
              <w:tc>
                <w:tcPr>
                  <w:tcW w:w="2721" w:type="dxa"/>
                </w:tcPr>
                <w:p w:rsidR="007544CA" w:rsidRPr="00F22AF1" w:rsidRDefault="007544CA" w:rsidP="00133508">
                  <w:pPr>
                    <w:pStyle w:val="TableBodyText"/>
                    <w:spacing w:after="20"/>
                    <w:jc w:val="left"/>
                  </w:pPr>
                  <w:r w:rsidRPr="00F22AF1">
                    <w:t>Printing and recorded media</w:t>
                  </w:r>
                </w:p>
              </w:tc>
              <w:tc>
                <w:tcPr>
                  <w:tcW w:w="964" w:type="dxa"/>
                </w:tcPr>
                <w:p w:rsidR="007544CA" w:rsidRPr="000F47A9" w:rsidRDefault="007544CA" w:rsidP="00133508">
                  <w:pPr>
                    <w:pStyle w:val="TableBodyText"/>
                    <w:spacing w:after="20"/>
                  </w:pPr>
                  <w:r w:rsidRPr="000F47A9">
                    <w:t>187.5</w:t>
                  </w:r>
                </w:p>
              </w:tc>
              <w:tc>
                <w:tcPr>
                  <w:tcW w:w="964" w:type="dxa"/>
                </w:tcPr>
                <w:p w:rsidR="007544CA" w:rsidRPr="000F47A9" w:rsidRDefault="007544CA" w:rsidP="00133508">
                  <w:pPr>
                    <w:pStyle w:val="TableBodyText"/>
                    <w:spacing w:after="20"/>
                  </w:pPr>
                  <w:r>
                    <w:noBreakHyphen/>
                  </w:r>
                  <w:r w:rsidRPr="000F47A9">
                    <w:t>30.2</w:t>
                  </w:r>
                </w:p>
              </w:tc>
              <w:tc>
                <w:tcPr>
                  <w:tcW w:w="1020" w:type="dxa"/>
                  <w:shd w:val="clear" w:color="auto" w:fill="F2F2F2" w:themeFill="background1" w:themeFillShade="F2"/>
                </w:tcPr>
                <w:p w:rsidR="007544CA" w:rsidRPr="000F47A9" w:rsidRDefault="007544CA" w:rsidP="00133508">
                  <w:pPr>
                    <w:pStyle w:val="TableBodyText"/>
                    <w:spacing w:after="20"/>
                  </w:pPr>
                  <w:r w:rsidRPr="000F47A9">
                    <w:t>157.3</w:t>
                  </w:r>
                </w:p>
              </w:tc>
              <w:tc>
                <w:tcPr>
                  <w:tcW w:w="964" w:type="dxa"/>
                  <w:vAlign w:val="bottom"/>
                </w:tcPr>
                <w:p w:rsidR="007544CA" w:rsidRDefault="007544CA" w:rsidP="00133508">
                  <w:pPr>
                    <w:pStyle w:val="TableBodyText"/>
                    <w:spacing w:after="20"/>
                    <w:rPr>
                      <w:szCs w:val="18"/>
                    </w:rPr>
                  </w:pPr>
                  <w:r>
                    <w:rPr>
                      <w:szCs w:val="18"/>
                    </w:rPr>
                    <w:t>6.3</w:t>
                  </w:r>
                </w:p>
              </w:tc>
              <w:tc>
                <w:tcPr>
                  <w:tcW w:w="964" w:type="dxa"/>
                  <w:vAlign w:val="bottom"/>
                </w:tcPr>
                <w:p w:rsidR="007544CA" w:rsidRDefault="007544CA" w:rsidP="00133508">
                  <w:pPr>
                    <w:pStyle w:val="TableBodyText"/>
                    <w:spacing w:after="20"/>
                    <w:rPr>
                      <w:szCs w:val="18"/>
                    </w:rPr>
                  </w:pPr>
                  <w:r>
                    <w:rPr>
                      <w:szCs w:val="18"/>
                    </w:rPr>
                    <w:t>3.6</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167.2</w:t>
                  </w:r>
                </w:p>
              </w:tc>
            </w:tr>
            <w:tr w:rsidR="007544CA" w:rsidTr="00133508">
              <w:tc>
                <w:tcPr>
                  <w:tcW w:w="2721" w:type="dxa"/>
                </w:tcPr>
                <w:p w:rsidR="007544CA" w:rsidRPr="00F22AF1" w:rsidRDefault="007544CA" w:rsidP="00133508">
                  <w:pPr>
                    <w:pStyle w:val="TableBodyText"/>
                    <w:spacing w:after="20"/>
                    <w:jc w:val="left"/>
                  </w:pPr>
                  <w:r w:rsidRPr="00F22AF1">
                    <w:t>Petroleum, coal</w:t>
                  </w:r>
                  <w:r>
                    <w:t xml:space="preserve"> and </w:t>
                  </w:r>
                  <w:r w:rsidRPr="00F22AF1">
                    <w:t>chemical</w:t>
                  </w:r>
                  <w:r>
                    <w:t>s</w:t>
                  </w:r>
                </w:p>
              </w:tc>
              <w:tc>
                <w:tcPr>
                  <w:tcW w:w="964" w:type="dxa"/>
                </w:tcPr>
                <w:p w:rsidR="007544CA" w:rsidRPr="000F47A9" w:rsidRDefault="007544CA" w:rsidP="00133508">
                  <w:pPr>
                    <w:pStyle w:val="TableBodyText"/>
                    <w:spacing w:after="20"/>
                  </w:pPr>
                  <w:r w:rsidRPr="000F47A9">
                    <w:t>984.0</w:t>
                  </w:r>
                </w:p>
              </w:tc>
              <w:tc>
                <w:tcPr>
                  <w:tcW w:w="964" w:type="dxa"/>
                </w:tcPr>
                <w:p w:rsidR="007544CA" w:rsidRPr="000F47A9" w:rsidRDefault="007544CA" w:rsidP="00133508">
                  <w:pPr>
                    <w:pStyle w:val="TableBodyText"/>
                    <w:spacing w:after="20"/>
                  </w:pPr>
                  <w:r>
                    <w:noBreakHyphen/>
                  </w:r>
                  <w:r w:rsidRPr="000F47A9">
                    <w:t>286.8</w:t>
                  </w:r>
                </w:p>
              </w:tc>
              <w:tc>
                <w:tcPr>
                  <w:tcW w:w="1020" w:type="dxa"/>
                  <w:shd w:val="clear" w:color="auto" w:fill="F2F2F2" w:themeFill="background1" w:themeFillShade="F2"/>
                </w:tcPr>
                <w:p w:rsidR="007544CA" w:rsidRPr="000F47A9" w:rsidRDefault="007544CA" w:rsidP="00133508">
                  <w:pPr>
                    <w:pStyle w:val="TableBodyText"/>
                    <w:spacing w:after="20"/>
                  </w:pPr>
                  <w:r w:rsidRPr="000F47A9">
                    <w:t>697.2</w:t>
                  </w:r>
                </w:p>
              </w:tc>
              <w:tc>
                <w:tcPr>
                  <w:tcW w:w="964" w:type="dxa"/>
                  <w:vAlign w:val="bottom"/>
                </w:tcPr>
                <w:p w:rsidR="007544CA" w:rsidRDefault="007544CA" w:rsidP="00133508">
                  <w:pPr>
                    <w:pStyle w:val="TableBodyText"/>
                    <w:spacing w:after="20"/>
                    <w:rPr>
                      <w:szCs w:val="18"/>
                    </w:rPr>
                  </w:pPr>
                  <w:r>
                    <w:rPr>
                      <w:szCs w:val="18"/>
                    </w:rPr>
                    <w:t>269.3</w:t>
                  </w:r>
                </w:p>
              </w:tc>
              <w:tc>
                <w:tcPr>
                  <w:tcW w:w="964" w:type="dxa"/>
                  <w:vAlign w:val="bottom"/>
                </w:tcPr>
                <w:p w:rsidR="007544CA" w:rsidRDefault="007544CA" w:rsidP="00133508">
                  <w:pPr>
                    <w:pStyle w:val="TableBodyText"/>
                    <w:spacing w:after="20"/>
                    <w:rPr>
                      <w:szCs w:val="18"/>
                    </w:rPr>
                  </w:pPr>
                  <w:r>
                    <w:rPr>
                      <w:szCs w:val="18"/>
                    </w:rPr>
                    <w:t>22.7</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989.2</w:t>
                  </w:r>
                </w:p>
              </w:tc>
            </w:tr>
            <w:tr w:rsidR="007544CA" w:rsidTr="00133508">
              <w:tc>
                <w:tcPr>
                  <w:tcW w:w="2721" w:type="dxa"/>
                </w:tcPr>
                <w:p w:rsidR="007544CA" w:rsidRPr="00F22AF1" w:rsidRDefault="007544CA" w:rsidP="00133508">
                  <w:pPr>
                    <w:pStyle w:val="TableBodyText"/>
                    <w:spacing w:after="20"/>
                    <w:jc w:val="left"/>
                  </w:pPr>
                  <w:r w:rsidRPr="00F22AF1">
                    <w:t>Non</w:t>
                  </w:r>
                  <w:r>
                    <w:noBreakHyphen/>
                  </w:r>
                  <w:r w:rsidRPr="00F22AF1">
                    <w:t>metallic mineral products</w:t>
                  </w:r>
                </w:p>
              </w:tc>
              <w:tc>
                <w:tcPr>
                  <w:tcW w:w="964" w:type="dxa"/>
                </w:tcPr>
                <w:p w:rsidR="007544CA" w:rsidRPr="000F47A9" w:rsidRDefault="007544CA" w:rsidP="00133508">
                  <w:pPr>
                    <w:pStyle w:val="TableBodyText"/>
                    <w:spacing w:after="20"/>
                  </w:pPr>
                  <w:r w:rsidRPr="000F47A9">
                    <w:t>277.2</w:t>
                  </w:r>
                </w:p>
              </w:tc>
              <w:tc>
                <w:tcPr>
                  <w:tcW w:w="964" w:type="dxa"/>
                </w:tcPr>
                <w:p w:rsidR="007544CA" w:rsidRPr="000F47A9" w:rsidRDefault="007544CA" w:rsidP="00133508">
                  <w:pPr>
                    <w:pStyle w:val="TableBodyText"/>
                    <w:spacing w:after="20"/>
                  </w:pPr>
                  <w:r>
                    <w:noBreakHyphen/>
                  </w:r>
                  <w:r w:rsidRPr="000F47A9">
                    <w:t>47.5</w:t>
                  </w:r>
                </w:p>
              </w:tc>
              <w:tc>
                <w:tcPr>
                  <w:tcW w:w="1020" w:type="dxa"/>
                  <w:shd w:val="clear" w:color="auto" w:fill="F2F2F2" w:themeFill="background1" w:themeFillShade="F2"/>
                </w:tcPr>
                <w:p w:rsidR="007544CA" w:rsidRPr="000F47A9" w:rsidRDefault="007544CA" w:rsidP="00133508">
                  <w:pPr>
                    <w:pStyle w:val="TableBodyText"/>
                    <w:spacing w:after="20"/>
                  </w:pPr>
                  <w:r w:rsidRPr="000F47A9">
                    <w:t>229.7</w:t>
                  </w:r>
                </w:p>
              </w:tc>
              <w:tc>
                <w:tcPr>
                  <w:tcW w:w="964" w:type="dxa"/>
                  <w:vAlign w:val="bottom"/>
                </w:tcPr>
                <w:p w:rsidR="007544CA" w:rsidRDefault="007544CA" w:rsidP="00133508">
                  <w:pPr>
                    <w:pStyle w:val="TableBodyText"/>
                    <w:spacing w:after="20"/>
                    <w:rPr>
                      <w:szCs w:val="18"/>
                    </w:rPr>
                  </w:pPr>
                  <w:r>
                    <w:rPr>
                      <w:szCs w:val="18"/>
                    </w:rPr>
                    <w:t>21.4</w:t>
                  </w:r>
                </w:p>
              </w:tc>
              <w:tc>
                <w:tcPr>
                  <w:tcW w:w="964" w:type="dxa"/>
                  <w:vAlign w:val="bottom"/>
                </w:tcPr>
                <w:p w:rsidR="007544CA" w:rsidRDefault="007544CA" w:rsidP="00133508">
                  <w:pPr>
                    <w:pStyle w:val="TableBodyText"/>
                    <w:spacing w:after="20"/>
                    <w:rPr>
                      <w:szCs w:val="18"/>
                    </w:rPr>
                  </w:pPr>
                  <w:r>
                    <w:rPr>
                      <w:szCs w:val="18"/>
                    </w:rPr>
                    <w:noBreakHyphen/>
                    <w:t>1.9</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249.3</w:t>
                  </w:r>
                </w:p>
              </w:tc>
            </w:tr>
            <w:tr w:rsidR="007544CA" w:rsidTr="00133508">
              <w:tc>
                <w:tcPr>
                  <w:tcW w:w="2721" w:type="dxa"/>
                </w:tcPr>
                <w:p w:rsidR="007544CA" w:rsidRPr="00F22AF1" w:rsidRDefault="007544CA" w:rsidP="00133508">
                  <w:pPr>
                    <w:pStyle w:val="TableBodyText"/>
                    <w:spacing w:after="20"/>
                    <w:jc w:val="left"/>
                  </w:pPr>
                  <w:r w:rsidRPr="00F22AF1">
                    <w:t>Metal and fabricated products</w:t>
                  </w:r>
                </w:p>
              </w:tc>
              <w:tc>
                <w:tcPr>
                  <w:tcW w:w="964" w:type="dxa"/>
                </w:tcPr>
                <w:p w:rsidR="007544CA" w:rsidRPr="000F47A9" w:rsidRDefault="007544CA" w:rsidP="00133508">
                  <w:pPr>
                    <w:pStyle w:val="TableBodyText"/>
                    <w:spacing w:after="20"/>
                  </w:pPr>
                  <w:r w:rsidRPr="000F47A9">
                    <w:t>1</w:t>
                  </w:r>
                  <w:r>
                    <w:t> </w:t>
                  </w:r>
                  <w:r w:rsidRPr="000F47A9">
                    <w:t>747.1</w:t>
                  </w:r>
                </w:p>
              </w:tc>
              <w:tc>
                <w:tcPr>
                  <w:tcW w:w="964" w:type="dxa"/>
                </w:tcPr>
                <w:p w:rsidR="007544CA" w:rsidRPr="000F47A9" w:rsidRDefault="007544CA" w:rsidP="00133508">
                  <w:pPr>
                    <w:pStyle w:val="TableBodyText"/>
                    <w:spacing w:after="20"/>
                  </w:pPr>
                  <w:r>
                    <w:noBreakHyphen/>
                  </w:r>
                  <w:r w:rsidRPr="000F47A9">
                    <w:t>413.3</w:t>
                  </w:r>
                </w:p>
              </w:tc>
              <w:tc>
                <w:tcPr>
                  <w:tcW w:w="1020" w:type="dxa"/>
                  <w:shd w:val="clear" w:color="auto" w:fill="F2F2F2" w:themeFill="background1" w:themeFillShade="F2"/>
                </w:tcPr>
                <w:p w:rsidR="007544CA" w:rsidRPr="000F47A9" w:rsidRDefault="007544CA" w:rsidP="00133508">
                  <w:pPr>
                    <w:pStyle w:val="TableBodyText"/>
                    <w:spacing w:after="20"/>
                  </w:pPr>
                  <w:r w:rsidRPr="000F47A9">
                    <w:t>1</w:t>
                  </w:r>
                  <w:r>
                    <w:t> </w:t>
                  </w:r>
                  <w:r w:rsidRPr="000F47A9">
                    <w:t>333.8</w:t>
                  </w:r>
                </w:p>
              </w:tc>
              <w:tc>
                <w:tcPr>
                  <w:tcW w:w="964" w:type="dxa"/>
                  <w:vAlign w:val="bottom"/>
                </w:tcPr>
                <w:p w:rsidR="007544CA" w:rsidRDefault="007544CA" w:rsidP="00133508">
                  <w:pPr>
                    <w:pStyle w:val="TableBodyText"/>
                    <w:spacing w:after="20"/>
                    <w:rPr>
                      <w:szCs w:val="18"/>
                    </w:rPr>
                  </w:pPr>
                  <w:r>
                    <w:rPr>
                      <w:szCs w:val="18"/>
                    </w:rPr>
                    <w:t>60.1</w:t>
                  </w:r>
                </w:p>
              </w:tc>
              <w:tc>
                <w:tcPr>
                  <w:tcW w:w="964" w:type="dxa"/>
                  <w:vAlign w:val="bottom"/>
                </w:tcPr>
                <w:p w:rsidR="007544CA" w:rsidRDefault="007544CA" w:rsidP="00133508">
                  <w:pPr>
                    <w:pStyle w:val="TableBodyText"/>
                    <w:spacing w:after="20"/>
                    <w:rPr>
                      <w:szCs w:val="18"/>
                    </w:rPr>
                  </w:pPr>
                  <w:r>
                    <w:rPr>
                      <w:szCs w:val="18"/>
                    </w:rPr>
                    <w:t>197.5</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1 591.5</w:t>
                  </w:r>
                </w:p>
              </w:tc>
            </w:tr>
            <w:tr w:rsidR="007544CA" w:rsidTr="00133508">
              <w:tc>
                <w:tcPr>
                  <w:tcW w:w="2721" w:type="dxa"/>
                </w:tcPr>
                <w:p w:rsidR="007544CA" w:rsidRPr="00F22AF1" w:rsidRDefault="007544CA" w:rsidP="00133508">
                  <w:pPr>
                    <w:pStyle w:val="TableBodyText"/>
                    <w:spacing w:after="20"/>
                    <w:jc w:val="left"/>
                  </w:pPr>
                  <w:r w:rsidRPr="00F22AF1">
                    <w:t>Motor vehicle</w:t>
                  </w:r>
                  <w:r>
                    <w:t>s</w:t>
                  </w:r>
                  <w:r w:rsidRPr="00F22AF1">
                    <w:t xml:space="preserve"> and parts</w:t>
                  </w:r>
                </w:p>
              </w:tc>
              <w:tc>
                <w:tcPr>
                  <w:tcW w:w="964" w:type="dxa"/>
                </w:tcPr>
                <w:p w:rsidR="007544CA" w:rsidRPr="000F47A9" w:rsidRDefault="007544CA" w:rsidP="00133508">
                  <w:pPr>
                    <w:pStyle w:val="TableBodyText"/>
                    <w:spacing w:after="20"/>
                  </w:pPr>
                  <w:r w:rsidRPr="000F47A9">
                    <w:t>749.2</w:t>
                  </w:r>
                </w:p>
              </w:tc>
              <w:tc>
                <w:tcPr>
                  <w:tcW w:w="964" w:type="dxa"/>
                </w:tcPr>
                <w:p w:rsidR="007544CA" w:rsidRPr="000F47A9" w:rsidRDefault="007544CA" w:rsidP="00133508">
                  <w:pPr>
                    <w:pStyle w:val="TableBodyText"/>
                    <w:spacing w:after="20"/>
                  </w:pPr>
                  <w:r>
                    <w:noBreakHyphen/>
                  </w:r>
                  <w:r w:rsidRPr="000F47A9">
                    <w:t>275.5</w:t>
                  </w:r>
                </w:p>
              </w:tc>
              <w:tc>
                <w:tcPr>
                  <w:tcW w:w="1020" w:type="dxa"/>
                  <w:shd w:val="clear" w:color="auto" w:fill="F2F2F2" w:themeFill="background1" w:themeFillShade="F2"/>
                </w:tcPr>
                <w:p w:rsidR="007544CA" w:rsidRPr="000F47A9" w:rsidRDefault="007544CA" w:rsidP="00133508">
                  <w:pPr>
                    <w:pStyle w:val="TableBodyText"/>
                    <w:spacing w:after="20"/>
                  </w:pPr>
                  <w:r w:rsidRPr="000F47A9">
                    <w:t>473.7</w:t>
                  </w:r>
                </w:p>
              </w:tc>
              <w:tc>
                <w:tcPr>
                  <w:tcW w:w="964" w:type="dxa"/>
                  <w:vAlign w:val="bottom"/>
                </w:tcPr>
                <w:p w:rsidR="007544CA" w:rsidRDefault="007544CA" w:rsidP="00133508">
                  <w:pPr>
                    <w:pStyle w:val="TableBodyText"/>
                    <w:spacing w:after="20"/>
                    <w:rPr>
                      <w:szCs w:val="18"/>
                    </w:rPr>
                  </w:pPr>
                  <w:r>
                    <w:rPr>
                      <w:szCs w:val="18"/>
                    </w:rPr>
                    <w:t>291.9</w:t>
                  </w:r>
                </w:p>
              </w:tc>
              <w:tc>
                <w:tcPr>
                  <w:tcW w:w="964" w:type="dxa"/>
                  <w:vAlign w:val="bottom"/>
                </w:tcPr>
                <w:p w:rsidR="007544CA" w:rsidRDefault="007544CA" w:rsidP="00133508">
                  <w:pPr>
                    <w:pStyle w:val="TableBodyText"/>
                    <w:spacing w:after="20"/>
                    <w:rPr>
                      <w:szCs w:val="18"/>
                    </w:rPr>
                  </w:pPr>
                  <w:r>
                    <w:rPr>
                      <w:szCs w:val="18"/>
                    </w:rPr>
                    <w:t>27.7</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793.3</w:t>
                  </w:r>
                </w:p>
              </w:tc>
            </w:tr>
            <w:tr w:rsidR="007544CA" w:rsidTr="00133508">
              <w:tc>
                <w:tcPr>
                  <w:tcW w:w="2721" w:type="dxa"/>
                </w:tcPr>
                <w:p w:rsidR="007544CA" w:rsidRPr="00F22AF1" w:rsidRDefault="007544CA" w:rsidP="00133508">
                  <w:pPr>
                    <w:pStyle w:val="TableBodyText"/>
                    <w:spacing w:after="20"/>
                    <w:jc w:val="left"/>
                  </w:pPr>
                  <w:r w:rsidRPr="00F22AF1">
                    <w:t>Other transport equipment</w:t>
                  </w:r>
                </w:p>
              </w:tc>
              <w:tc>
                <w:tcPr>
                  <w:tcW w:w="964" w:type="dxa"/>
                </w:tcPr>
                <w:p w:rsidR="007544CA" w:rsidRPr="000F47A9" w:rsidRDefault="007544CA" w:rsidP="00133508">
                  <w:pPr>
                    <w:pStyle w:val="TableBodyText"/>
                    <w:spacing w:after="20"/>
                  </w:pPr>
                  <w:r w:rsidRPr="000F47A9">
                    <w:t>69.3</w:t>
                  </w:r>
                </w:p>
              </w:tc>
              <w:tc>
                <w:tcPr>
                  <w:tcW w:w="964" w:type="dxa"/>
                </w:tcPr>
                <w:p w:rsidR="007544CA" w:rsidRPr="000F47A9" w:rsidRDefault="007544CA" w:rsidP="00133508">
                  <w:pPr>
                    <w:pStyle w:val="TableBodyText"/>
                    <w:spacing w:after="20"/>
                  </w:pPr>
                  <w:r>
                    <w:noBreakHyphen/>
                  </w:r>
                  <w:r w:rsidRPr="000F47A9">
                    <w:t>61.6</w:t>
                  </w:r>
                </w:p>
              </w:tc>
              <w:tc>
                <w:tcPr>
                  <w:tcW w:w="1020" w:type="dxa"/>
                  <w:shd w:val="clear" w:color="auto" w:fill="F2F2F2" w:themeFill="background1" w:themeFillShade="F2"/>
                </w:tcPr>
                <w:p w:rsidR="007544CA" w:rsidRPr="000F47A9" w:rsidRDefault="007544CA" w:rsidP="00133508">
                  <w:pPr>
                    <w:pStyle w:val="TableBodyText"/>
                    <w:spacing w:after="20"/>
                  </w:pPr>
                  <w:r w:rsidRPr="000F47A9">
                    <w:t>7.7</w:t>
                  </w:r>
                </w:p>
              </w:tc>
              <w:tc>
                <w:tcPr>
                  <w:tcW w:w="964" w:type="dxa"/>
                  <w:vAlign w:val="bottom"/>
                </w:tcPr>
                <w:p w:rsidR="007544CA" w:rsidRDefault="007544CA" w:rsidP="00133508">
                  <w:pPr>
                    <w:pStyle w:val="TableBodyText"/>
                    <w:spacing w:after="20"/>
                    <w:rPr>
                      <w:szCs w:val="18"/>
                    </w:rPr>
                  </w:pPr>
                  <w:r>
                    <w:rPr>
                      <w:szCs w:val="18"/>
                    </w:rPr>
                    <w:t>18.2</w:t>
                  </w:r>
                </w:p>
              </w:tc>
              <w:tc>
                <w:tcPr>
                  <w:tcW w:w="964" w:type="dxa"/>
                  <w:vAlign w:val="bottom"/>
                </w:tcPr>
                <w:p w:rsidR="007544CA" w:rsidRDefault="007544CA" w:rsidP="00133508">
                  <w:pPr>
                    <w:pStyle w:val="TableBodyText"/>
                    <w:spacing w:after="20"/>
                    <w:rPr>
                      <w:szCs w:val="18"/>
                    </w:rPr>
                  </w:pPr>
                  <w:r>
                    <w:rPr>
                      <w:szCs w:val="18"/>
                    </w:rPr>
                    <w:noBreakHyphen/>
                    <w:t>0.1</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25.8</w:t>
                  </w:r>
                </w:p>
              </w:tc>
            </w:tr>
            <w:tr w:rsidR="007544CA" w:rsidTr="00133508">
              <w:tc>
                <w:tcPr>
                  <w:tcW w:w="2721" w:type="dxa"/>
                </w:tcPr>
                <w:p w:rsidR="007544CA" w:rsidRPr="00F22AF1" w:rsidRDefault="007544CA" w:rsidP="00133508">
                  <w:pPr>
                    <w:pStyle w:val="TableBodyText"/>
                    <w:spacing w:after="20"/>
                    <w:jc w:val="left"/>
                  </w:pPr>
                  <w:r w:rsidRPr="00F22AF1">
                    <w:t>Machinery and equipment</w:t>
                  </w:r>
                </w:p>
              </w:tc>
              <w:tc>
                <w:tcPr>
                  <w:tcW w:w="964" w:type="dxa"/>
                </w:tcPr>
                <w:p w:rsidR="007544CA" w:rsidRPr="000F47A9" w:rsidRDefault="007544CA" w:rsidP="00133508">
                  <w:pPr>
                    <w:pStyle w:val="TableBodyText"/>
                    <w:spacing w:after="20"/>
                  </w:pPr>
                  <w:r w:rsidRPr="000F47A9">
                    <w:t>563.0</w:t>
                  </w:r>
                </w:p>
              </w:tc>
              <w:tc>
                <w:tcPr>
                  <w:tcW w:w="964" w:type="dxa"/>
                </w:tcPr>
                <w:p w:rsidR="007544CA" w:rsidRPr="000F47A9" w:rsidRDefault="007544CA" w:rsidP="00133508">
                  <w:pPr>
                    <w:pStyle w:val="TableBodyText"/>
                    <w:spacing w:after="20"/>
                  </w:pPr>
                  <w:r>
                    <w:noBreakHyphen/>
                  </w:r>
                  <w:r w:rsidRPr="000F47A9">
                    <w:t>169.2</w:t>
                  </w:r>
                </w:p>
              </w:tc>
              <w:tc>
                <w:tcPr>
                  <w:tcW w:w="1020" w:type="dxa"/>
                  <w:shd w:val="clear" w:color="auto" w:fill="F2F2F2" w:themeFill="background1" w:themeFillShade="F2"/>
                </w:tcPr>
                <w:p w:rsidR="007544CA" w:rsidRPr="000F47A9" w:rsidRDefault="007544CA" w:rsidP="00133508">
                  <w:pPr>
                    <w:pStyle w:val="TableBodyText"/>
                    <w:spacing w:after="20"/>
                  </w:pPr>
                  <w:r w:rsidRPr="000F47A9">
                    <w:t>393.8</w:t>
                  </w:r>
                </w:p>
              </w:tc>
              <w:tc>
                <w:tcPr>
                  <w:tcW w:w="964" w:type="dxa"/>
                  <w:vAlign w:val="bottom"/>
                </w:tcPr>
                <w:p w:rsidR="007544CA" w:rsidRDefault="007544CA" w:rsidP="00133508">
                  <w:pPr>
                    <w:pStyle w:val="TableBodyText"/>
                    <w:spacing w:after="20"/>
                    <w:rPr>
                      <w:szCs w:val="18"/>
                    </w:rPr>
                  </w:pPr>
                  <w:r>
                    <w:rPr>
                      <w:szCs w:val="18"/>
                    </w:rPr>
                    <w:t>132.5</w:t>
                  </w:r>
                </w:p>
              </w:tc>
              <w:tc>
                <w:tcPr>
                  <w:tcW w:w="964" w:type="dxa"/>
                  <w:vAlign w:val="bottom"/>
                </w:tcPr>
                <w:p w:rsidR="007544CA" w:rsidRDefault="007544CA" w:rsidP="00133508">
                  <w:pPr>
                    <w:pStyle w:val="TableBodyText"/>
                    <w:spacing w:after="20"/>
                    <w:rPr>
                      <w:szCs w:val="18"/>
                    </w:rPr>
                  </w:pPr>
                  <w:r>
                    <w:rPr>
                      <w:szCs w:val="18"/>
                    </w:rPr>
                    <w:noBreakHyphen/>
                    <w:t>5.6</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520.7</w:t>
                  </w:r>
                </w:p>
              </w:tc>
            </w:tr>
            <w:tr w:rsidR="007544CA" w:rsidTr="00133508">
              <w:tc>
                <w:tcPr>
                  <w:tcW w:w="2721" w:type="dxa"/>
                </w:tcPr>
                <w:p w:rsidR="007544CA" w:rsidRPr="00F22AF1" w:rsidRDefault="007544CA" w:rsidP="00133508">
                  <w:pPr>
                    <w:pStyle w:val="TableBodyText"/>
                    <w:spacing w:after="20"/>
                    <w:jc w:val="left"/>
                  </w:pPr>
                  <w:r w:rsidRPr="00F22AF1">
                    <w:t>Furniture and other</w:t>
                  </w:r>
                  <w:r>
                    <w:t xml:space="preserve"> products</w:t>
                  </w:r>
                </w:p>
              </w:tc>
              <w:tc>
                <w:tcPr>
                  <w:tcW w:w="964" w:type="dxa"/>
                </w:tcPr>
                <w:p w:rsidR="007544CA" w:rsidRPr="000F47A9" w:rsidRDefault="007544CA" w:rsidP="00133508">
                  <w:pPr>
                    <w:pStyle w:val="TableBodyText"/>
                    <w:spacing w:after="20"/>
                  </w:pPr>
                  <w:r w:rsidRPr="000F47A9">
                    <w:t>187.4</w:t>
                  </w:r>
                </w:p>
              </w:tc>
              <w:tc>
                <w:tcPr>
                  <w:tcW w:w="964" w:type="dxa"/>
                </w:tcPr>
                <w:p w:rsidR="007544CA" w:rsidRPr="000F47A9" w:rsidRDefault="007544CA" w:rsidP="00133508">
                  <w:pPr>
                    <w:pStyle w:val="TableBodyText"/>
                    <w:spacing w:after="20"/>
                  </w:pPr>
                  <w:r>
                    <w:noBreakHyphen/>
                  </w:r>
                  <w:r w:rsidRPr="000F47A9">
                    <w:t>45.2</w:t>
                  </w:r>
                </w:p>
              </w:tc>
              <w:tc>
                <w:tcPr>
                  <w:tcW w:w="1020" w:type="dxa"/>
                  <w:shd w:val="clear" w:color="auto" w:fill="F2F2F2" w:themeFill="background1" w:themeFillShade="F2"/>
                </w:tcPr>
                <w:p w:rsidR="007544CA" w:rsidRDefault="007544CA" w:rsidP="00133508">
                  <w:pPr>
                    <w:pStyle w:val="TableBodyText"/>
                    <w:spacing w:after="20"/>
                  </w:pPr>
                  <w:r w:rsidRPr="000F47A9">
                    <w:t>142.3</w:t>
                  </w:r>
                </w:p>
              </w:tc>
              <w:tc>
                <w:tcPr>
                  <w:tcW w:w="964" w:type="dxa"/>
                  <w:vAlign w:val="bottom"/>
                </w:tcPr>
                <w:p w:rsidR="007544CA" w:rsidRDefault="007544CA" w:rsidP="00133508">
                  <w:pPr>
                    <w:pStyle w:val="TableBodyText"/>
                    <w:spacing w:after="20"/>
                    <w:rPr>
                      <w:szCs w:val="18"/>
                    </w:rPr>
                  </w:pPr>
                  <w:r>
                    <w:rPr>
                      <w:szCs w:val="18"/>
                    </w:rPr>
                    <w:t>15.8</w:t>
                  </w:r>
                </w:p>
              </w:tc>
              <w:tc>
                <w:tcPr>
                  <w:tcW w:w="964" w:type="dxa"/>
                  <w:vAlign w:val="bottom"/>
                </w:tcPr>
                <w:p w:rsidR="007544CA" w:rsidRDefault="007544CA" w:rsidP="00133508">
                  <w:pPr>
                    <w:pStyle w:val="TableBodyText"/>
                    <w:spacing w:after="20"/>
                    <w:rPr>
                      <w:szCs w:val="18"/>
                    </w:rPr>
                  </w:pPr>
                  <w:r>
                    <w:rPr>
                      <w:szCs w:val="18"/>
                    </w:rPr>
                    <w:noBreakHyphen/>
                    <w:t>0.1</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158.0</w:t>
                  </w:r>
                </w:p>
              </w:tc>
            </w:tr>
            <w:tr w:rsidR="007544CA" w:rsidTr="00133508">
              <w:tc>
                <w:tcPr>
                  <w:tcW w:w="2721" w:type="dxa"/>
                </w:tcPr>
                <w:p w:rsidR="007544CA" w:rsidRPr="00F22AF1" w:rsidRDefault="007544CA" w:rsidP="00133508">
                  <w:pPr>
                    <w:pStyle w:val="TableBodyText"/>
                    <w:spacing w:after="20"/>
                    <w:jc w:val="left"/>
                  </w:pPr>
                  <w:r w:rsidRPr="00F22AF1">
                    <w:t>Unallocated manufacturing</w:t>
                  </w:r>
                </w:p>
              </w:tc>
              <w:tc>
                <w:tcPr>
                  <w:tcW w:w="964" w:type="dxa"/>
                  <w:vAlign w:val="bottom"/>
                </w:tcPr>
                <w:p w:rsidR="007544CA" w:rsidRPr="00EE122A" w:rsidRDefault="007544CA" w:rsidP="00133508">
                  <w:pPr>
                    <w:pStyle w:val="TableBodyText"/>
                    <w:spacing w:after="20"/>
                    <w:rPr>
                      <w:szCs w:val="18"/>
                    </w:rPr>
                  </w:pPr>
                  <w:r>
                    <w:t>–</w:t>
                  </w:r>
                </w:p>
              </w:tc>
              <w:tc>
                <w:tcPr>
                  <w:tcW w:w="964" w:type="dxa"/>
                  <w:vAlign w:val="bottom"/>
                </w:tcPr>
                <w:p w:rsidR="007544CA" w:rsidRPr="00EE122A" w:rsidRDefault="007544CA" w:rsidP="00133508">
                  <w:pPr>
                    <w:pStyle w:val="TableBodyText"/>
                    <w:spacing w:after="20"/>
                    <w:rPr>
                      <w:szCs w:val="18"/>
                    </w:rPr>
                  </w:pPr>
                  <w:r>
                    <w:t>–</w:t>
                  </w:r>
                </w:p>
              </w:tc>
              <w:tc>
                <w:tcPr>
                  <w:tcW w:w="1020" w:type="dxa"/>
                  <w:shd w:val="clear" w:color="auto" w:fill="F2F2F2" w:themeFill="background1" w:themeFillShade="F2"/>
                  <w:vAlign w:val="bottom"/>
                </w:tcPr>
                <w:p w:rsidR="007544CA" w:rsidRPr="00EE122A" w:rsidRDefault="007544CA" w:rsidP="00133508">
                  <w:pPr>
                    <w:pStyle w:val="TableBodyText"/>
                    <w:spacing w:after="20"/>
                    <w:rPr>
                      <w:szCs w:val="18"/>
                    </w:rPr>
                  </w:pPr>
                  <w:r>
                    <w:t>–</w:t>
                  </w:r>
                </w:p>
              </w:tc>
              <w:tc>
                <w:tcPr>
                  <w:tcW w:w="964" w:type="dxa"/>
                  <w:vAlign w:val="bottom"/>
                </w:tcPr>
                <w:p w:rsidR="007544CA" w:rsidRDefault="007544CA" w:rsidP="00133508">
                  <w:pPr>
                    <w:pStyle w:val="TableBodyText"/>
                    <w:spacing w:after="20"/>
                    <w:rPr>
                      <w:szCs w:val="18"/>
                    </w:rPr>
                  </w:pPr>
                  <w:r>
                    <w:rPr>
                      <w:szCs w:val="18"/>
                    </w:rPr>
                    <w:t>144.3</w:t>
                  </w:r>
                </w:p>
              </w:tc>
              <w:tc>
                <w:tcPr>
                  <w:tcW w:w="964" w:type="dxa"/>
                  <w:vAlign w:val="bottom"/>
                </w:tcPr>
                <w:p w:rsidR="007544CA" w:rsidRDefault="007544CA" w:rsidP="00133508">
                  <w:pPr>
                    <w:pStyle w:val="TableBodyText"/>
                    <w:spacing w:after="20"/>
                    <w:rPr>
                      <w:szCs w:val="18"/>
                    </w:rPr>
                  </w:pPr>
                  <w:r>
                    <w:rPr>
                      <w:szCs w:val="18"/>
                    </w:rPr>
                    <w:t>91.4</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235.8</w:t>
                  </w:r>
                </w:p>
              </w:tc>
            </w:tr>
            <w:tr w:rsidR="007544CA" w:rsidRPr="00450BD4" w:rsidTr="00133508">
              <w:tc>
                <w:tcPr>
                  <w:tcW w:w="2721" w:type="dxa"/>
                </w:tcPr>
                <w:p w:rsidR="007544CA" w:rsidRPr="00450BD4" w:rsidRDefault="007544CA" w:rsidP="00133508">
                  <w:pPr>
                    <w:pStyle w:val="TableBodyText"/>
                    <w:spacing w:after="30"/>
                    <w:jc w:val="left"/>
                    <w:rPr>
                      <w:b/>
                    </w:rPr>
                  </w:pPr>
                  <w:r w:rsidRPr="00450BD4">
                    <w:rPr>
                      <w:b/>
                    </w:rPr>
                    <w:t>Services</w:t>
                  </w:r>
                </w:p>
              </w:tc>
              <w:tc>
                <w:tcPr>
                  <w:tcW w:w="964" w:type="dxa"/>
                  <w:vAlign w:val="bottom"/>
                </w:tcPr>
                <w:p w:rsidR="007544CA" w:rsidRPr="007010D0" w:rsidRDefault="007544CA" w:rsidP="00133508">
                  <w:pPr>
                    <w:pStyle w:val="TableBodyText"/>
                    <w:spacing w:after="30"/>
                    <w:rPr>
                      <w:b/>
                      <w:szCs w:val="18"/>
                    </w:rPr>
                  </w:pPr>
                  <w:r w:rsidRPr="007010D0">
                    <w:rPr>
                      <w:b/>
                    </w:rPr>
                    <w:t>–</w:t>
                  </w:r>
                </w:p>
              </w:tc>
              <w:tc>
                <w:tcPr>
                  <w:tcW w:w="964" w:type="dxa"/>
                  <w:vAlign w:val="bottom"/>
                </w:tcPr>
                <w:p w:rsidR="007544CA" w:rsidRPr="007010D0" w:rsidRDefault="007544CA" w:rsidP="00133508">
                  <w:pPr>
                    <w:pStyle w:val="TableBodyText"/>
                    <w:spacing w:after="30"/>
                    <w:rPr>
                      <w:b/>
                    </w:rPr>
                  </w:pPr>
                  <w:r>
                    <w:rPr>
                      <w:b/>
                    </w:rPr>
                    <w:noBreakHyphen/>
                  </w:r>
                  <w:r w:rsidRPr="007010D0">
                    <w:rPr>
                      <w:b/>
                    </w:rPr>
                    <w:t>5</w:t>
                  </w:r>
                  <w:r>
                    <w:rPr>
                      <w:b/>
                    </w:rPr>
                    <w:t> </w:t>
                  </w:r>
                  <w:r w:rsidRPr="007010D0">
                    <w:rPr>
                      <w:b/>
                    </w:rPr>
                    <w:t>125.0</w:t>
                  </w:r>
                </w:p>
              </w:tc>
              <w:tc>
                <w:tcPr>
                  <w:tcW w:w="1020" w:type="dxa"/>
                  <w:shd w:val="clear" w:color="auto" w:fill="F2F2F2" w:themeFill="background1" w:themeFillShade="F2"/>
                  <w:vAlign w:val="bottom"/>
                </w:tcPr>
                <w:p w:rsidR="007544CA" w:rsidRPr="007010D0" w:rsidRDefault="007544CA" w:rsidP="00133508">
                  <w:pPr>
                    <w:pStyle w:val="TableBodyText"/>
                    <w:spacing w:after="30"/>
                    <w:rPr>
                      <w:b/>
                    </w:rPr>
                  </w:pPr>
                  <w:r>
                    <w:rPr>
                      <w:b/>
                    </w:rPr>
                    <w:noBreakHyphen/>
                  </w:r>
                  <w:r w:rsidRPr="007010D0">
                    <w:rPr>
                      <w:b/>
                    </w:rPr>
                    <w:t>5</w:t>
                  </w:r>
                  <w:r>
                    <w:rPr>
                      <w:b/>
                    </w:rPr>
                    <w:t> </w:t>
                  </w:r>
                  <w:r w:rsidRPr="007010D0">
                    <w:rPr>
                      <w:b/>
                    </w:rPr>
                    <w:t>125.0</w:t>
                  </w:r>
                </w:p>
              </w:tc>
              <w:tc>
                <w:tcPr>
                  <w:tcW w:w="964" w:type="dxa"/>
                  <w:vAlign w:val="bottom"/>
                </w:tcPr>
                <w:p w:rsidR="007544CA" w:rsidRPr="007010D0" w:rsidRDefault="007544CA" w:rsidP="00133508">
                  <w:pPr>
                    <w:pStyle w:val="TableBodyText"/>
                    <w:spacing w:after="30"/>
                    <w:rPr>
                      <w:b/>
                      <w:szCs w:val="18"/>
                    </w:rPr>
                  </w:pPr>
                  <w:r w:rsidRPr="007010D0">
                    <w:rPr>
                      <w:b/>
                      <w:szCs w:val="18"/>
                    </w:rPr>
                    <w:t>1</w:t>
                  </w:r>
                  <w:r>
                    <w:rPr>
                      <w:b/>
                      <w:szCs w:val="18"/>
                    </w:rPr>
                    <w:t> </w:t>
                  </w:r>
                  <w:r w:rsidRPr="007010D0">
                    <w:rPr>
                      <w:b/>
                      <w:szCs w:val="18"/>
                    </w:rPr>
                    <w:t>754.3</w:t>
                  </w:r>
                </w:p>
              </w:tc>
              <w:tc>
                <w:tcPr>
                  <w:tcW w:w="964" w:type="dxa"/>
                  <w:vAlign w:val="bottom"/>
                </w:tcPr>
                <w:p w:rsidR="007544CA" w:rsidRPr="007010D0" w:rsidRDefault="007544CA" w:rsidP="00133508">
                  <w:pPr>
                    <w:pStyle w:val="TableBodyText"/>
                    <w:spacing w:after="30"/>
                    <w:rPr>
                      <w:b/>
                      <w:szCs w:val="18"/>
                    </w:rPr>
                  </w:pPr>
                  <w:r w:rsidRPr="007010D0">
                    <w:rPr>
                      <w:b/>
                      <w:szCs w:val="18"/>
                    </w:rPr>
                    <w:t>1</w:t>
                  </w:r>
                  <w:r>
                    <w:rPr>
                      <w:b/>
                      <w:szCs w:val="18"/>
                    </w:rPr>
                    <w:t> </w:t>
                  </w:r>
                  <w:r w:rsidRPr="007010D0">
                    <w:rPr>
                      <w:b/>
                      <w:szCs w:val="18"/>
                    </w:rPr>
                    <w:t>677.1</w:t>
                  </w:r>
                </w:p>
              </w:tc>
              <w:tc>
                <w:tcPr>
                  <w:tcW w:w="964" w:type="dxa"/>
                  <w:shd w:val="clear" w:color="auto" w:fill="F2F2F2" w:themeFill="background1" w:themeFillShade="F2"/>
                  <w:vAlign w:val="bottom"/>
                </w:tcPr>
                <w:p w:rsidR="007544CA" w:rsidRPr="007010D0" w:rsidRDefault="007544CA" w:rsidP="00133508">
                  <w:pPr>
                    <w:pStyle w:val="TableBodyText"/>
                    <w:spacing w:after="30"/>
                    <w:rPr>
                      <w:b/>
                      <w:szCs w:val="18"/>
                    </w:rPr>
                  </w:pPr>
                  <w:r>
                    <w:rPr>
                      <w:b/>
                      <w:szCs w:val="18"/>
                    </w:rPr>
                    <w:noBreakHyphen/>
                  </w:r>
                  <w:r w:rsidRPr="007010D0">
                    <w:rPr>
                      <w:b/>
                      <w:szCs w:val="18"/>
                    </w:rPr>
                    <w:t>1</w:t>
                  </w:r>
                  <w:r>
                    <w:rPr>
                      <w:b/>
                      <w:szCs w:val="18"/>
                    </w:rPr>
                    <w:t> </w:t>
                  </w:r>
                  <w:r w:rsidRPr="007010D0">
                    <w:rPr>
                      <w:b/>
                      <w:szCs w:val="18"/>
                    </w:rPr>
                    <w:t>693.6</w:t>
                  </w:r>
                </w:p>
              </w:tc>
            </w:tr>
            <w:tr w:rsidR="007544CA" w:rsidTr="00133508">
              <w:tc>
                <w:tcPr>
                  <w:tcW w:w="2721" w:type="dxa"/>
                </w:tcPr>
                <w:p w:rsidR="007544CA" w:rsidRPr="00F22AF1" w:rsidRDefault="007544CA" w:rsidP="00133508">
                  <w:pPr>
                    <w:pStyle w:val="TableBodyText"/>
                    <w:spacing w:after="20"/>
                    <w:jc w:val="left"/>
                  </w:pPr>
                  <w:r w:rsidRPr="00F22AF1">
                    <w:t>Electricit</w:t>
                  </w:r>
                  <w:r>
                    <w:t>y, gas, water and waste</w:t>
                  </w:r>
                </w:p>
              </w:tc>
              <w:tc>
                <w:tcPr>
                  <w:tcW w:w="964" w:type="dxa"/>
                  <w:vAlign w:val="bottom"/>
                </w:tcPr>
                <w:p w:rsidR="007544CA" w:rsidRPr="00EE122A" w:rsidRDefault="007544CA" w:rsidP="00133508">
                  <w:pPr>
                    <w:pStyle w:val="TableBodyText"/>
                    <w:spacing w:after="20"/>
                    <w:rPr>
                      <w:szCs w:val="18"/>
                    </w:rPr>
                  </w:pPr>
                  <w:r>
                    <w:t>–</w:t>
                  </w:r>
                </w:p>
              </w:tc>
              <w:tc>
                <w:tcPr>
                  <w:tcW w:w="964" w:type="dxa"/>
                  <w:vAlign w:val="bottom"/>
                </w:tcPr>
                <w:p w:rsidR="007544CA" w:rsidRDefault="007544CA" w:rsidP="00133508">
                  <w:pPr>
                    <w:pStyle w:val="TableBodyText"/>
                    <w:spacing w:after="20"/>
                  </w:pPr>
                  <w:r>
                    <w:noBreakHyphen/>
                    <w:t>85.1</w:t>
                  </w:r>
                </w:p>
              </w:tc>
              <w:tc>
                <w:tcPr>
                  <w:tcW w:w="1020" w:type="dxa"/>
                  <w:shd w:val="clear" w:color="auto" w:fill="F2F2F2" w:themeFill="background1" w:themeFillShade="F2"/>
                  <w:vAlign w:val="bottom"/>
                </w:tcPr>
                <w:p w:rsidR="007544CA" w:rsidRDefault="007544CA" w:rsidP="00133508">
                  <w:pPr>
                    <w:pStyle w:val="TableBodyText"/>
                    <w:spacing w:after="20"/>
                  </w:pPr>
                  <w:r>
                    <w:noBreakHyphen/>
                    <w:t>85.1</w:t>
                  </w:r>
                </w:p>
              </w:tc>
              <w:tc>
                <w:tcPr>
                  <w:tcW w:w="964" w:type="dxa"/>
                  <w:vAlign w:val="bottom"/>
                </w:tcPr>
                <w:p w:rsidR="007544CA" w:rsidRDefault="007544CA" w:rsidP="00133508">
                  <w:pPr>
                    <w:pStyle w:val="TableBodyText"/>
                    <w:spacing w:after="20"/>
                    <w:rPr>
                      <w:szCs w:val="18"/>
                    </w:rPr>
                  </w:pPr>
                  <w:r>
                    <w:rPr>
                      <w:szCs w:val="18"/>
                    </w:rPr>
                    <w:t>196.4</w:t>
                  </w:r>
                </w:p>
              </w:tc>
              <w:tc>
                <w:tcPr>
                  <w:tcW w:w="964" w:type="dxa"/>
                  <w:vAlign w:val="bottom"/>
                </w:tcPr>
                <w:p w:rsidR="007544CA" w:rsidRDefault="007544CA" w:rsidP="00133508">
                  <w:pPr>
                    <w:pStyle w:val="TableBodyText"/>
                    <w:spacing w:after="20"/>
                    <w:rPr>
                      <w:szCs w:val="18"/>
                    </w:rPr>
                  </w:pPr>
                  <w:r>
                    <w:rPr>
                      <w:szCs w:val="18"/>
                    </w:rPr>
                    <w:t>13.6</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124.9</w:t>
                  </w:r>
                </w:p>
              </w:tc>
            </w:tr>
            <w:tr w:rsidR="007544CA" w:rsidTr="00133508">
              <w:tc>
                <w:tcPr>
                  <w:tcW w:w="2721" w:type="dxa"/>
                </w:tcPr>
                <w:p w:rsidR="007544CA" w:rsidRPr="00F22AF1" w:rsidRDefault="007544CA" w:rsidP="00133508">
                  <w:pPr>
                    <w:pStyle w:val="TableBodyText"/>
                    <w:spacing w:after="20"/>
                    <w:jc w:val="left"/>
                  </w:pPr>
                  <w:r w:rsidRPr="00F22AF1">
                    <w:t>Construction</w:t>
                  </w:r>
                </w:p>
              </w:tc>
              <w:tc>
                <w:tcPr>
                  <w:tcW w:w="964" w:type="dxa"/>
                  <w:vAlign w:val="bottom"/>
                </w:tcPr>
                <w:p w:rsidR="007544CA" w:rsidRPr="00EE122A" w:rsidRDefault="007544CA" w:rsidP="00133508">
                  <w:pPr>
                    <w:pStyle w:val="TableBodyText"/>
                    <w:spacing w:after="20"/>
                    <w:rPr>
                      <w:szCs w:val="18"/>
                    </w:rPr>
                  </w:pPr>
                  <w:r>
                    <w:t>–</w:t>
                  </w:r>
                </w:p>
              </w:tc>
              <w:tc>
                <w:tcPr>
                  <w:tcW w:w="964" w:type="dxa"/>
                  <w:vAlign w:val="bottom"/>
                </w:tcPr>
                <w:p w:rsidR="007544CA" w:rsidRDefault="007544CA" w:rsidP="00133508">
                  <w:pPr>
                    <w:pStyle w:val="TableBodyText"/>
                    <w:spacing w:after="20"/>
                  </w:pPr>
                  <w:r>
                    <w:noBreakHyphen/>
                    <w:t>1 912.9</w:t>
                  </w:r>
                </w:p>
              </w:tc>
              <w:tc>
                <w:tcPr>
                  <w:tcW w:w="1020" w:type="dxa"/>
                  <w:shd w:val="clear" w:color="auto" w:fill="F2F2F2" w:themeFill="background1" w:themeFillShade="F2"/>
                  <w:vAlign w:val="bottom"/>
                </w:tcPr>
                <w:p w:rsidR="007544CA" w:rsidRDefault="007544CA" w:rsidP="00133508">
                  <w:pPr>
                    <w:pStyle w:val="TableBodyText"/>
                    <w:spacing w:after="20"/>
                  </w:pPr>
                  <w:r>
                    <w:noBreakHyphen/>
                    <w:t>1 912.9</w:t>
                  </w:r>
                </w:p>
              </w:tc>
              <w:tc>
                <w:tcPr>
                  <w:tcW w:w="964" w:type="dxa"/>
                  <w:vAlign w:val="bottom"/>
                </w:tcPr>
                <w:p w:rsidR="007544CA" w:rsidRDefault="007544CA" w:rsidP="00133508">
                  <w:pPr>
                    <w:pStyle w:val="TableBodyText"/>
                    <w:spacing w:after="20"/>
                    <w:rPr>
                      <w:szCs w:val="18"/>
                    </w:rPr>
                  </w:pPr>
                  <w:r>
                    <w:rPr>
                      <w:szCs w:val="18"/>
                    </w:rPr>
                    <w:t>40.6</w:t>
                  </w:r>
                </w:p>
              </w:tc>
              <w:tc>
                <w:tcPr>
                  <w:tcW w:w="964" w:type="dxa"/>
                  <w:vAlign w:val="bottom"/>
                </w:tcPr>
                <w:p w:rsidR="007544CA" w:rsidRDefault="007544CA" w:rsidP="00133508">
                  <w:pPr>
                    <w:pStyle w:val="TableBodyText"/>
                    <w:spacing w:after="20"/>
                    <w:rPr>
                      <w:szCs w:val="18"/>
                    </w:rPr>
                  </w:pPr>
                  <w:r>
                    <w:rPr>
                      <w:szCs w:val="18"/>
                    </w:rPr>
                    <w:t>34.0</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noBreakHyphen/>
                    <w:t>1 838.2</w:t>
                  </w:r>
                </w:p>
              </w:tc>
            </w:tr>
            <w:tr w:rsidR="007544CA" w:rsidTr="00133508">
              <w:tc>
                <w:tcPr>
                  <w:tcW w:w="2721" w:type="dxa"/>
                </w:tcPr>
                <w:p w:rsidR="007544CA" w:rsidRPr="00F22AF1" w:rsidRDefault="007544CA" w:rsidP="00133508">
                  <w:pPr>
                    <w:pStyle w:val="TableBodyText"/>
                    <w:spacing w:after="20"/>
                    <w:jc w:val="left"/>
                  </w:pPr>
                  <w:r w:rsidRPr="00F22AF1">
                    <w:t>Wholesale trade</w:t>
                  </w:r>
                </w:p>
              </w:tc>
              <w:tc>
                <w:tcPr>
                  <w:tcW w:w="964" w:type="dxa"/>
                  <w:vAlign w:val="bottom"/>
                </w:tcPr>
                <w:p w:rsidR="007544CA" w:rsidRPr="00EE122A" w:rsidRDefault="007544CA" w:rsidP="00133508">
                  <w:pPr>
                    <w:pStyle w:val="TableBodyText"/>
                    <w:spacing w:after="20"/>
                    <w:rPr>
                      <w:szCs w:val="18"/>
                    </w:rPr>
                  </w:pPr>
                  <w:r>
                    <w:t>–</w:t>
                  </w:r>
                </w:p>
              </w:tc>
              <w:tc>
                <w:tcPr>
                  <w:tcW w:w="964" w:type="dxa"/>
                  <w:vAlign w:val="bottom"/>
                </w:tcPr>
                <w:p w:rsidR="007544CA" w:rsidRDefault="007544CA" w:rsidP="00133508">
                  <w:pPr>
                    <w:pStyle w:val="TableBodyText"/>
                    <w:spacing w:after="20"/>
                  </w:pPr>
                  <w:r>
                    <w:noBreakHyphen/>
                    <w:t>270.7</w:t>
                  </w:r>
                </w:p>
              </w:tc>
              <w:tc>
                <w:tcPr>
                  <w:tcW w:w="1020" w:type="dxa"/>
                  <w:shd w:val="clear" w:color="auto" w:fill="F2F2F2" w:themeFill="background1" w:themeFillShade="F2"/>
                  <w:vAlign w:val="bottom"/>
                </w:tcPr>
                <w:p w:rsidR="007544CA" w:rsidRDefault="007544CA" w:rsidP="00133508">
                  <w:pPr>
                    <w:pStyle w:val="TableBodyText"/>
                    <w:spacing w:after="20"/>
                  </w:pPr>
                  <w:r>
                    <w:noBreakHyphen/>
                    <w:t>270.7</w:t>
                  </w:r>
                </w:p>
              </w:tc>
              <w:tc>
                <w:tcPr>
                  <w:tcW w:w="964" w:type="dxa"/>
                  <w:vAlign w:val="bottom"/>
                </w:tcPr>
                <w:p w:rsidR="007544CA" w:rsidRDefault="007544CA" w:rsidP="00133508">
                  <w:pPr>
                    <w:pStyle w:val="TableBodyText"/>
                    <w:spacing w:after="20"/>
                    <w:rPr>
                      <w:szCs w:val="18"/>
                    </w:rPr>
                  </w:pPr>
                  <w:r>
                    <w:rPr>
                      <w:szCs w:val="18"/>
                    </w:rPr>
                    <w:t>63.7</w:t>
                  </w:r>
                </w:p>
              </w:tc>
              <w:tc>
                <w:tcPr>
                  <w:tcW w:w="964" w:type="dxa"/>
                  <w:vAlign w:val="bottom"/>
                </w:tcPr>
                <w:p w:rsidR="007544CA" w:rsidRDefault="007544CA" w:rsidP="00133508">
                  <w:pPr>
                    <w:pStyle w:val="TableBodyText"/>
                    <w:spacing w:after="20"/>
                    <w:rPr>
                      <w:szCs w:val="18"/>
                    </w:rPr>
                  </w:pPr>
                  <w:r>
                    <w:rPr>
                      <w:szCs w:val="18"/>
                    </w:rPr>
                    <w:t>76.7</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noBreakHyphen/>
                    <w:t>130.3</w:t>
                  </w:r>
                </w:p>
              </w:tc>
            </w:tr>
            <w:tr w:rsidR="007544CA" w:rsidTr="00133508">
              <w:tc>
                <w:tcPr>
                  <w:tcW w:w="2721" w:type="dxa"/>
                </w:tcPr>
                <w:p w:rsidR="007544CA" w:rsidRPr="00F22AF1" w:rsidRDefault="007544CA" w:rsidP="00133508">
                  <w:pPr>
                    <w:pStyle w:val="TableBodyText"/>
                    <w:spacing w:after="20"/>
                    <w:jc w:val="left"/>
                  </w:pPr>
                  <w:r w:rsidRPr="00F22AF1">
                    <w:t>Retail trade</w:t>
                  </w:r>
                </w:p>
              </w:tc>
              <w:tc>
                <w:tcPr>
                  <w:tcW w:w="964" w:type="dxa"/>
                  <w:vAlign w:val="bottom"/>
                </w:tcPr>
                <w:p w:rsidR="007544CA" w:rsidRPr="00EE122A" w:rsidRDefault="007544CA" w:rsidP="00133508">
                  <w:pPr>
                    <w:pStyle w:val="TableBodyText"/>
                    <w:spacing w:after="20"/>
                    <w:rPr>
                      <w:szCs w:val="18"/>
                    </w:rPr>
                  </w:pPr>
                  <w:r>
                    <w:t>–</w:t>
                  </w:r>
                </w:p>
              </w:tc>
              <w:tc>
                <w:tcPr>
                  <w:tcW w:w="964" w:type="dxa"/>
                  <w:vAlign w:val="bottom"/>
                </w:tcPr>
                <w:p w:rsidR="007544CA" w:rsidRDefault="007544CA" w:rsidP="00133508">
                  <w:pPr>
                    <w:pStyle w:val="TableBodyText"/>
                    <w:spacing w:after="20"/>
                  </w:pPr>
                  <w:r>
                    <w:noBreakHyphen/>
                    <w:t>193.7</w:t>
                  </w:r>
                </w:p>
              </w:tc>
              <w:tc>
                <w:tcPr>
                  <w:tcW w:w="1020" w:type="dxa"/>
                  <w:shd w:val="clear" w:color="auto" w:fill="F2F2F2" w:themeFill="background1" w:themeFillShade="F2"/>
                  <w:vAlign w:val="bottom"/>
                </w:tcPr>
                <w:p w:rsidR="007544CA" w:rsidRDefault="007544CA" w:rsidP="00133508">
                  <w:pPr>
                    <w:pStyle w:val="TableBodyText"/>
                    <w:spacing w:after="20"/>
                  </w:pPr>
                  <w:r>
                    <w:noBreakHyphen/>
                    <w:t>193.7</w:t>
                  </w:r>
                </w:p>
              </w:tc>
              <w:tc>
                <w:tcPr>
                  <w:tcW w:w="964" w:type="dxa"/>
                  <w:vAlign w:val="bottom"/>
                </w:tcPr>
                <w:p w:rsidR="007544CA" w:rsidRDefault="007544CA" w:rsidP="00133508">
                  <w:pPr>
                    <w:pStyle w:val="TableBodyText"/>
                    <w:spacing w:after="20"/>
                    <w:rPr>
                      <w:szCs w:val="18"/>
                    </w:rPr>
                  </w:pPr>
                  <w:r>
                    <w:rPr>
                      <w:szCs w:val="18"/>
                    </w:rPr>
                    <w:t>26.8</w:t>
                  </w:r>
                </w:p>
              </w:tc>
              <w:tc>
                <w:tcPr>
                  <w:tcW w:w="964" w:type="dxa"/>
                  <w:vAlign w:val="bottom"/>
                </w:tcPr>
                <w:p w:rsidR="007544CA" w:rsidRDefault="007544CA" w:rsidP="00133508">
                  <w:pPr>
                    <w:pStyle w:val="TableBodyText"/>
                    <w:spacing w:after="20"/>
                    <w:rPr>
                      <w:szCs w:val="18"/>
                    </w:rPr>
                  </w:pPr>
                  <w:r>
                    <w:rPr>
                      <w:szCs w:val="18"/>
                    </w:rPr>
                    <w:t>67.0</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noBreakHyphen/>
                    <w:t>99.9</w:t>
                  </w:r>
                </w:p>
              </w:tc>
            </w:tr>
            <w:tr w:rsidR="007544CA" w:rsidTr="00133508">
              <w:tc>
                <w:tcPr>
                  <w:tcW w:w="2721" w:type="dxa"/>
                </w:tcPr>
                <w:p w:rsidR="007544CA" w:rsidRPr="00F22AF1" w:rsidRDefault="007544CA" w:rsidP="00133508">
                  <w:pPr>
                    <w:pStyle w:val="TableBodyText"/>
                    <w:spacing w:after="20"/>
                    <w:jc w:val="left"/>
                  </w:pPr>
                  <w:r w:rsidRPr="00F22AF1">
                    <w:t xml:space="preserve">Accommodation </w:t>
                  </w:r>
                  <w:r>
                    <w:t xml:space="preserve">&amp; </w:t>
                  </w:r>
                  <w:r w:rsidRPr="00F22AF1">
                    <w:t>food services</w:t>
                  </w:r>
                </w:p>
              </w:tc>
              <w:tc>
                <w:tcPr>
                  <w:tcW w:w="964" w:type="dxa"/>
                  <w:vAlign w:val="bottom"/>
                </w:tcPr>
                <w:p w:rsidR="007544CA" w:rsidRPr="00EE122A" w:rsidRDefault="007544CA" w:rsidP="00133508">
                  <w:pPr>
                    <w:pStyle w:val="TableBodyText"/>
                    <w:spacing w:after="20"/>
                    <w:rPr>
                      <w:szCs w:val="18"/>
                    </w:rPr>
                  </w:pPr>
                  <w:r>
                    <w:t>–</w:t>
                  </w:r>
                </w:p>
              </w:tc>
              <w:tc>
                <w:tcPr>
                  <w:tcW w:w="964" w:type="dxa"/>
                  <w:vAlign w:val="bottom"/>
                </w:tcPr>
                <w:p w:rsidR="007544CA" w:rsidRDefault="007544CA" w:rsidP="00133508">
                  <w:pPr>
                    <w:pStyle w:val="TableBodyText"/>
                    <w:spacing w:after="20"/>
                  </w:pPr>
                  <w:r>
                    <w:noBreakHyphen/>
                    <w:t>598.1</w:t>
                  </w:r>
                </w:p>
              </w:tc>
              <w:tc>
                <w:tcPr>
                  <w:tcW w:w="1020" w:type="dxa"/>
                  <w:shd w:val="clear" w:color="auto" w:fill="F2F2F2" w:themeFill="background1" w:themeFillShade="F2"/>
                  <w:vAlign w:val="bottom"/>
                </w:tcPr>
                <w:p w:rsidR="007544CA" w:rsidRDefault="007544CA" w:rsidP="00133508">
                  <w:pPr>
                    <w:pStyle w:val="TableBodyText"/>
                    <w:spacing w:after="20"/>
                  </w:pPr>
                  <w:r>
                    <w:noBreakHyphen/>
                    <w:t>598.1</w:t>
                  </w:r>
                </w:p>
              </w:tc>
              <w:tc>
                <w:tcPr>
                  <w:tcW w:w="964" w:type="dxa"/>
                  <w:vAlign w:val="bottom"/>
                </w:tcPr>
                <w:p w:rsidR="007544CA" w:rsidRDefault="007544CA" w:rsidP="00133508">
                  <w:pPr>
                    <w:pStyle w:val="TableBodyText"/>
                    <w:spacing w:after="20"/>
                    <w:rPr>
                      <w:szCs w:val="18"/>
                    </w:rPr>
                  </w:pPr>
                  <w:r>
                    <w:rPr>
                      <w:szCs w:val="18"/>
                    </w:rPr>
                    <w:t>6.4</w:t>
                  </w:r>
                </w:p>
              </w:tc>
              <w:tc>
                <w:tcPr>
                  <w:tcW w:w="964" w:type="dxa"/>
                  <w:vAlign w:val="bottom"/>
                </w:tcPr>
                <w:p w:rsidR="007544CA" w:rsidRDefault="007544CA" w:rsidP="00133508">
                  <w:pPr>
                    <w:pStyle w:val="TableBodyText"/>
                    <w:spacing w:after="20"/>
                    <w:rPr>
                      <w:szCs w:val="18"/>
                    </w:rPr>
                  </w:pPr>
                  <w:r>
                    <w:rPr>
                      <w:szCs w:val="18"/>
                    </w:rPr>
                    <w:t>66.7</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noBreakHyphen/>
                    <w:t>525.0</w:t>
                  </w:r>
                </w:p>
              </w:tc>
            </w:tr>
            <w:tr w:rsidR="007544CA" w:rsidTr="00133508">
              <w:tc>
                <w:tcPr>
                  <w:tcW w:w="2721" w:type="dxa"/>
                </w:tcPr>
                <w:p w:rsidR="007544CA" w:rsidRPr="00F22AF1" w:rsidRDefault="007544CA" w:rsidP="00133508">
                  <w:pPr>
                    <w:pStyle w:val="TableBodyText"/>
                    <w:spacing w:after="20"/>
                    <w:jc w:val="left"/>
                  </w:pPr>
                  <w:r w:rsidRPr="00F22AF1">
                    <w:t xml:space="preserve">Transport, postal </w:t>
                  </w:r>
                  <w:r>
                    <w:t>&amp;</w:t>
                  </w:r>
                  <w:r w:rsidRPr="00F22AF1">
                    <w:t xml:space="preserve"> warehousing</w:t>
                  </w:r>
                </w:p>
              </w:tc>
              <w:tc>
                <w:tcPr>
                  <w:tcW w:w="964" w:type="dxa"/>
                  <w:vAlign w:val="bottom"/>
                </w:tcPr>
                <w:p w:rsidR="007544CA" w:rsidRPr="00EE122A" w:rsidRDefault="007544CA" w:rsidP="00133508">
                  <w:pPr>
                    <w:pStyle w:val="TableBodyText"/>
                    <w:spacing w:after="20"/>
                    <w:rPr>
                      <w:szCs w:val="18"/>
                    </w:rPr>
                  </w:pPr>
                  <w:r>
                    <w:t>–</w:t>
                  </w:r>
                </w:p>
              </w:tc>
              <w:tc>
                <w:tcPr>
                  <w:tcW w:w="964" w:type="dxa"/>
                  <w:vAlign w:val="bottom"/>
                </w:tcPr>
                <w:p w:rsidR="007544CA" w:rsidRDefault="007544CA" w:rsidP="00133508">
                  <w:pPr>
                    <w:pStyle w:val="TableBodyText"/>
                    <w:spacing w:after="20"/>
                  </w:pPr>
                  <w:r>
                    <w:noBreakHyphen/>
                    <w:t>217.2</w:t>
                  </w:r>
                </w:p>
              </w:tc>
              <w:tc>
                <w:tcPr>
                  <w:tcW w:w="1020" w:type="dxa"/>
                  <w:shd w:val="clear" w:color="auto" w:fill="F2F2F2" w:themeFill="background1" w:themeFillShade="F2"/>
                  <w:vAlign w:val="bottom"/>
                </w:tcPr>
                <w:p w:rsidR="007544CA" w:rsidRDefault="007544CA" w:rsidP="00133508">
                  <w:pPr>
                    <w:pStyle w:val="TableBodyText"/>
                    <w:spacing w:after="20"/>
                  </w:pPr>
                  <w:r>
                    <w:noBreakHyphen/>
                    <w:t>217.2</w:t>
                  </w:r>
                </w:p>
              </w:tc>
              <w:tc>
                <w:tcPr>
                  <w:tcW w:w="964" w:type="dxa"/>
                  <w:vAlign w:val="bottom"/>
                </w:tcPr>
                <w:p w:rsidR="007544CA" w:rsidRDefault="007544CA" w:rsidP="00133508">
                  <w:pPr>
                    <w:pStyle w:val="TableBodyText"/>
                    <w:spacing w:after="20"/>
                    <w:rPr>
                      <w:szCs w:val="18"/>
                    </w:rPr>
                  </w:pPr>
                  <w:r>
                    <w:rPr>
                      <w:szCs w:val="18"/>
                    </w:rPr>
                    <w:t>57.9</w:t>
                  </w:r>
                </w:p>
              </w:tc>
              <w:tc>
                <w:tcPr>
                  <w:tcW w:w="964" w:type="dxa"/>
                  <w:vAlign w:val="bottom"/>
                </w:tcPr>
                <w:p w:rsidR="007544CA" w:rsidRDefault="007544CA" w:rsidP="00133508">
                  <w:pPr>
                    <w:pStyle w:val="TableBodyText"/>
                    <w:spacing w:after="20"/>
                    <w:rPr>
                      <w:szCs w:val="18"/>
                    </w:rPr>
                  </w:pPr>
                  <w:r>
                    <w:rPr>
                      <w:szCs w:val="18"/>
                    </w:rPr>
                    <w:t>34.4</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noBreakHyphen/>
                    <w:t>124.8</w:t>
                  </w:r>
                </w:p>
              </w:tc>
            </w:tr>
            <w:tr w:rsidR="007544CA" w:rsidTr="00133508">
              <w:tc>
                <w:tcPr>
                  <w:tcW w:w="2721" w:type="dxa"/>
                </w:tcPr>
                <w:p w:rsidR="007544CA" w:rsidRPr="00F22AF1" w:rsidRDefault="007544CA" w:rsidP="00133508">
                  <w:pPr>
                    <w:pStyle w:val="TableBodyText"/>
                    <w:spacing w:after="20"/>
                    <w:jc w:val="left"/>
                  </w:pPr>
                  <w:r w:rsidRPr="00F22AF1">
                    <w:t>Information</w:t>
                  </w:r>
                  <w:r>
                    <w:t xml:space="preserve"> &amp; </w:t>
                  </w:r>
                  <w:r w:rsidRPr="00F22AF1">
                    <w:t>communication</w:t>
                  </w:r>
                  <w:r>
                    <w:t>s</w:t>
                  </w:r>
                </w:p>
              </w:tc>
              <w:tc>
                <w:tcPr>
                  <w:tcW w:w="964" w:type="dxa"/>
                  <w:vAlign w:val="bottom"/>
                </w:tcPr>
                <w:p w:rsidR="007544CA" w:rsidRPr="00EE122A" w:rsidRDefault="007544CA" w:rsidP="00133508">
                  <w:pPr>
                    <w:pStyle w:val="TableBodyText"/>
                    <w:spacing w:after="20"/>
                    <w:rPr>
                      <w:szCs w:val="18"/>
                    </w:rPr>
                  </w:pPr>
                  <w:r>
                    <w:t>–</w:t>
                  </w:r>
                </w:p>
              </w:tc>
              <w:tc>
                <w:tcPr>
                  <w:tcW w:w="964" w:type="dxa"/>
                  <w:vAlign w:val="bottom"/>
                </w:tcPr>
                <w:p w:rsidR="007544CA" w:rsidRDefault="007544CA" w:rsidP="00133508">
                  <w:pPr>
                    <w:pStyle w:val="TableBodyText"/>
                    <w:spacing w:after="20"/>
                  </w:pPr>
                  <w:r>
                    <w:noBreakHyphen/>
                    <w:t>145.6</w:t>
                  </w:r>
                </w:p>
              </w:tc>
              <w:tc>
                <w:tcPr>
                  <w:tcW w:w="1020" w:type="dxa"/>
                  <w:shd w:val="clear" w:color="auto" w:fill="F2F2F2" w:themeFill="background1" w:themeFillShade="F2"/>
                  <w:vAlign w:val="bottom"/>
                </w:tcPr>
                <w:p w:rsidR="007544CA" w:rsidRDefault="007544CA" w:rsidP="00133508">
                  <w:pPr>
                    <w:pStyle w:val="TableBodyText"/>
                    <w:spacing w:after="20"/>
                  </w:pPr>
                  <w:r>
                    <w:noBreakHyphen/>
                    <w:t>145.6</w:t>
                  </w:r>
                </w:p>
              </w:tc>
              <w:tc>
                <w:tcPr>
                  <w:tcW w:w="964" w:type="dxa"/>
                  <w:vAlign w:val="bottom"/>
                </w:tcPr>
                <w:p w:rsidR="007544CA" w:rsidRDefault="007544CA" w:rsidP="00133508">
                  <w:pPr>
                    <w:pStyle w:val="TableBodyText"/>
                    <w:spacing w:after="20"/>
                    <w:rPr>
                      <w:szCs w:val="18"/>
                    </w:rPr>
                  </w:pPr>
                  <w:r>
                    <w:rPr>
                      <w:szCs w:val="18"/>
                    </w:rPr>
                    <w:t>112.6</w:t>
                  </w:r>
                </w:p>
              </w:tc>
              <w:tc>
                <w:tcPr>
                  <w:tcW w:w="964" w:type="dxa"/>
                  <w:vAlign w:val="bottom"/>
                </w:tcPr>
                <w:p w:rsidR="007544CA" w:rsidRDefault="007544CA" w:rsidP="00133508">
                  <w:pPr>
                    <w:pStyle w:val="TableBodyText"/>
                    <w:spacing w:after="20"/>
                    <w:rPr>
                      <w:szCs w:val="18"/>
                    </w:rPr>
                  </w:pPr>
                  <w:r>
                    <w:rPr>
                      <w:szCs w:val="18"/>
                    </w:rPr>
                    <w:t>5.5</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noBreakHyphen/>
                    <w:t>27.5</w:t>
                  </w:r>
                </w:p>
              </w:tc>
            </w:tr>
            <w:tr w:rsidR="007544CA" w:rsidTr="00133508">
              <w:tc>
                <w:tcPr>
                  <w:tcW w:w="2721" w:type="dxa"/>
                </w:tcPr>
                <w:p w:rsidR="007544CA" w:rsidRPr="00F22AF1" w:rsidRDefault="007544CA" w:rsidP="00133508">
                  <w:pPr>
                    <w:pStyle w:val="TableBodyText"/>
                    <w:spacing w:after="20"/>
                    <w:jc w:val="left"/>
                  </w:pPr>
                  <w:r w:rsidRPr="00F22AF1">
                    <w:t xml:space="preserve">Financial </w:t>
                  </w:r>
                  <w:r>
                    <w:t xml:space="preserve">&amp; </w:t>
                  </w:r>
                  <w:r w:rsidRPr="00F22AF1">
                    <w:t>insurance services</w:t>
                  </w:r>
                </w:p>
              </w:tc>
              <w:tc>
                <w:tcPr>
                  <w:tcW w:w="964" w:type="dxa"/>
                  <w:vAlign w:val="bottom"/>
                </w:tcPr>
                <w:p w:rsidR="007544CA" w:rsidRPr="00EE122A" w:rsidRDefault="007544CA" w:rsidP="00133508">
                  <w:pPr>
                    <w:pStyle w:val="TableBodyText"/>
                    <w:spacing w:after="20"/>
                    <w:rPr>
                      <w:szCs w:val="18"/>
                    </w:rPr>
                  </w:pPr>
                  <w:r>
                    <w:t>–</w:t>
                  </w:r>
                </w:p>
              </w:tc>
              <w:tc>
                <w:tcPr>
                  <w:tcW w:w="964" w:type="dxa"/>
                  <w:vAlign w:val="bottom"/>
                </w:tcPr>
                <w:p w:rsidR="007544CA" w:rsidRDefault="007544CA" w:rsidP="00133508">
                  <w:pPr>
                    <w:pStyle w:val="TableBodyText"/>
                    <w:spacing w:after="20"/>
                  </w:pPr>
                  <w:r>
                    <w:noBreakHyphen/>
                    <w:t>10.9</w:t>
                  </w:r>
                </w:p>
              </w:tc>
              <w:tc>
                <w:tcPr>
                  <w:tcW w:w="1020" w:type="dxa"/>
                  <w:shd w:val="clear" w:color="auto" w:fill="F2F2F2" w:themeFill="background1" w:themeFillShade="F2"/>
                  <w:vAlign w:val="bottom"/>
                </w:tcPr>
                <w:p w:rsidR="007544CA" w:rsidRDefault="007544CA" w:rsidP="00133508">
                  <w:pPr>
                    <w:pStyle w:val="TableBodyText"/>
                    <w:spacing w:after="20"/>
                  </w:pPr>
                  <w:r>
                    <w:noBreakHyphen/>
                    <w:t>10.9</w:t>
                  </w:r>
                </w:p>
              </w:tc>
              <w:tc>
                <w:tcPr>
                  <w:tcW w:w="964" w:type="dxa"/>
                  <w:vAlign w:val="bottom"/>
                </w:tcPr>
                <w:p w:rsidR="007544CA" w:rsidRDefault="007544CA" w:rsidP="00133508">
                  <w:pPr>
                    <w:pStyle w:val="TableBodyText"/>
                    <w:spacing w:after="20"/>
                    <w:rPr>
                      <w:szCs w:val="18"/>
                    </w:rPr>
                  </w:pPr>
                  <w:r>
                    <w:rPr>
                      <w:szCs w:val="18"/>
                    </w:rPr>
                    <w:t>278.6</w:t>
                  </w:r>
                </w:p>
              </w:tc>
              <w:tc>
                <w:tcPr>
                  <w:tcW w:w="964" w:type="dxa"/>
                  <w:vAlign w:val="bottom"/>
                </w:tcPr>
                <w:p w:rsidR="007544CA" w:rsidRDefault="007544CA" w:rsidP="00133508">
                  <w:pPr>
                    <w:pStyle w:val="TableBodyText"/>
                    <w:spacing w:after="20"/>
                    <w:rPr>
                      <w:szCs w:val="18"/>
                    </w:rPr>
                  </w:pPr>
                  <w:r>
                    <w:rPr>
                      <w:szCs w:val="18"/>
                    </w:rPr>
                    <w:t>937.0</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1 204.7</w:t>
                  </w:r>
                </w:p>
              </w:tc>
            </w:tr>
            <w:tr w:rsidR="007544CA" w:rsidTr="00133508">
              <w:tc>
                <w:tcPr>
                  <w:tcW w:w="2721" w:type="dxa"/>
                </w:tcPr>
                <w:p w:rsidR="007544CA" w:rsidRPr="00F22AF1" w:rsidRDefault="007544CA" w:rsidP="00133508">
                  <w:pPr>
                    <w:pStyle w:val="TableBodyText"/>
                    <w:spacing w:after="20"/>
                    <w:jc w:val="left"/>
                  </w:pPr>
                  <w:r w:rsidRPr="00F22AF1">
                    <w:t xml:space="preserve">Property, professional </w:t>
                  </w:r>
                  <w:r>
                    <w:t xml:space="preserve">&amp; admin. </w:t>
                  </w:r>
                </w:p>
              </w:tc>
              <w:tc>
                <w:tcPr>
                  <w:tcW w:w="964" w:type="dxa"/>
                  <w:vAlign w:val="bottom"/>
                </w:tcPr>
                <w:p w:rsidR="007544CA" w:rsidRPr="00EE122A" w:rsidRDefault="007544CA" w:rsidP="00133508">
                  <w:pPr>
                    <w:pStyle w:val="TableBodyText"/>
                    <w:spacing w:after="20"/>
                    <w:rPr>
                      <w:szCs w:val="18"/>
                    </w:rPr>
                  </w:pPr>
                  <w:r>
                    <w:t>–</w:t>
                  </w:r>
                </w:p>
              </w:tc>
              <w:tc>
                <w:tcPr>
                  <w:tcW w:w="964" w:type="dxa"/>
                  <w:vAlign w:val="bottom"/>
                </w:tcPr>
                <w:p w:rsidR="007544CA" w:rsidRDefault="007544CA" w:rsidP="00133508">
                  <w:pPr>
                    <w:pStyle w:val="TableBodyText"/>
                    <w:spacing w:after="20"/>
                  </w:pPr>
                  <w:r>
                    <w:noBreakHyphen/>
                    <w:t>639.5</w:t>
                  </w:r>
                </w:p>
              </w:tc>
              <w:tc>
                <w:tcPr>
                  <w:tcW w:w="1020" w:type="dxa"/>
                  <w:shd w:val="clear" w:color="auto" w:fill="F2F2F2" w:themeFill="background1" w:themeFillShade="F2"/>
                  <w:vAlign w:val="bottom"/>
                </w:tcPr>
                <w:p w:rsidR="007544CA" w:rsidRDefault="007544CA" w:rsidP="00133508">
                  <w:pPr>
                    <w:pStyle w:val="TableBodyText"/>
                    <w:spacing w:after="20"/>
                  </w:pPr>
                  <w:r>
                    <w:noBreakHyphen/>
                    <w:t>639.5</w:t>
                  </w:r>
                </w:p>
              </w:tc>
              <w:tc>
                <w:tcPr>
                  <w:tcW w:w="964" w:type="dxa"/>
                  <w:vAlign w:val="bottom"/>
                </w:tcPr>
                <w:p w:rsidR="007544CA" w:rsidRDefault="007544CA" w:rsidP="00133508">
                  <w:pPr>
                    <w:pStyle w:val="TableBodyText"/>
                    <w:spacing w:after="20"/>
                    <w:rPr>
                      <w:szCs w:val="18"/>
                    </w:rPr>
                  </w:pPr>
                  <w:r>
                    <w:rPr>
                      <w:szCs w:val="18"/>
                    </w:rPr>
                    <w:t>587.3</w:t>
                  </w:r>
                </w:p>
              </w:tc>
              <w:tc>
                <w:tcPr>
                  <w:tcW w:w="964" w:type="dxa"/>
                  <w:vAlign w:val="bottom"/>
                </w:tcPr>
                <w:p w:rsidR="007544CA" w:rsidRDefault="007544CA" w:rsidP="00133508">
                  <w:pPr>
                    <w:pStyle w:val="TableBodyText"/>
                    <w:spacing w:after="20"/>
                    <w:rPr>
                      <w:szCs w:val="18"/>
                    </w:rPr>
                  </w:pPr>
                  <w:r>
                    <w:rPr>
                      <w:szCs w:val="18"/>
                    </w:rPr>
                    <w:t>132.2</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80.0</w:t>
                  </w:r>
                </w:p>
              </w:tc>
            </w:tr>
            <w:tr w:rsidR="007544CA" w:rsidTr="00133508">
              <w:tc>
                <w:tcPr>
                  <w:tcW w:w="2721" w:type="dxa"/>
                </w:tcPr>
                <w:p w:rsidR="007544CA" w:rsidRPr="00F22AF1" w:rsidRDefault="007544CA" w:rsidP="00133508">
                  <w:pPr>
                    <w:pStyle w:val="TableBodyText"/>
                    <w:spacing w:after="20"/>
                    <w:jc w:val="left"/>
                  </w:pPr>
                  <w:r w:rsidRPr="00F22AF1">
                    <w:t>Public administration and safety</w:t>
                  </w:r>
                </w:p>
              </w:tc>
              <w:tc>
                <w:tcPr>
                  <w:tcW w:w="964" w:type="dxa"/>
                  <w:vAlign w:val="bottom"/>
                </w:tcPr>
                <w:p w:rsidR="007544CA" w:rsidRPr="00EE122A" w:rsidRDefault="007544CA" w:rsidP="00133508">
                  <w:pPr>
                    <w:pStyle w:val="TableBodyText"/>
                    <w:spacing w:after="20"/>
                    <w:rPr>
                      <w:szCs w:val="18"/>
                    </w:rPr>
                  </w:pPr>
                  <w:r>
                    <w:t>–</w:t>
                  </w:r>
                </w:p>
              </w:tc>
              <w:tc>
                <w:tcPr>
                  <w:tcW w:w="964" w:type="dxa"/>
                  <w:vAlign w:val="bottom"/>
                </w:tcPr>
                <w:p w:rsidR="007544CA" w:rsidRDefault="007544CA" w:rsidP="00133508">
                  <w:pPr>
                    <w:pStyle w:val="TableBodyText"/>
                    <w:spacing w:after="20"/>
                  </w:pPr>
                  <w:r>
                    <w:noBreakHyphen/>
                    <w:t>228.2</w:t>
                  </w:r>
                </w:p>
              </w:tc>
              <w:tc>
                <w:tcPr>
                  <w:tcW w:w="1020" w:type="dxa"/>
                  <w:shd w:val="clear" w:color="auto" w:fill="F2F2F2" w:themeFill="background1" w:themeFillShade="F2"/>
                  <w:vAlign w:val="bottom"/>
                </w:tcPr>
                <w:p w:rsidR="007544CA" w:rsidRDefault="007544CA" w:rsidP="00133508">
                  <w:pPr>
                    <w:pStyle w:val="TableBodyText"/>
                    <w:spacing w:after="20"/>
                  </w:pPr>
                  <w:r>
                    <w:noBreakHyphen/>
                    <w:t>228.2</w:t>
                  </w:r>
                </w:p>
              </w:tc>
              <w:tc>
                <w:tcPr>
                  <w:tcW w:w="964" w:type="dxa"/>
                  <w:vAlign w:val="bottom"/>
                </w:tcPr>
                <w:p w:rsidR="007544CA" w:rsidRDefault="007544CA" w:rsidP="00133508">
                  <w:pPr>
                    <w:pStyle w:val="TableBodyText"/>
                    <w:spacing w:after="20"/>
                    <w:rPr>
                      <w:szCs w:val="18"/>
                    </w:rPr>
                  </w:pPr>
                  <w:r>
                    <w:rPr>
                      <w:szCs w:val="18"/>
                    </w:rPr>
                    <w:t>13.5</w:t>
                  </w:r>
                </w:p>
              </w:tc>
              <w:tc>
                <w:tcPr>
                  <w:tcW w:w="964" w:type="dxa"/>
                  <w:vAlign w:val="bottom"/>
                </w:tcPr>
                <w:p w:rsidR="007544CA" w:rsidRDefault="007544CA" w:rsidP="00133508">
                  <w:pPr>
                    <w:pStyle w:val="TableBodyText"/>
                    <w:spacing w:after="20"/>
                    <w:rPr>
                      <w:szCs w:val="18"/>
                    </w:rPr>
                  </w:pPr>
                  <w:r>
                    <w:rPr>
                      <w:szCs w:val="18"/>
                    </w:rPr>
                    <w:t>0.2</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noBreakHyphen/>
                    <w:t>214.6</w:t>
                  </w:r>
                </w:p>
              </w:tc>
            </w:tr>
            <w:tr w:rsidR="007544CA" w:rsidTr="00133508">
              <w:tc>
                <w:tcPr>
                  <w:tcW w:w="2721" w:type="dxa"/>
                </w:tcPr>
                <w:p w:rsidR="007544CA" w:rsidRPr="00F22AF1" w:rsidRDefault="007544CA" w:rsidP="00133508">
                  <w:pPr>
                    <w:pStyle w:val="TableBodyText"/>
                    <w:spacing w:after="20"/>
                    <w:jc w:val="left"/>
                  </w:pPr>
                  <w:r w:rsidRPr="00F22AF1">
                    <w:t>Education and training</w:t>
                  </w:r>
                </w:p>
              </w:tc>
              <w:tc>
                <w:tcPr>
                  <w:tcW w:w="964" w:type="dxa"/>
                  <w:vAlign w:val="bottom"/>
                </w:tcPr>
                <w:p w:rsidR="007544CA" w:rsidRPr="00EE122A" w:rsidRDefault="007544CA" w:rsidP="00133508">
                  <w:pPr>
                    <w:pStyle w:val="TableBodyText"/>
                    <w:spacing w:after="20"/>
                    <w:rPr>
                      <w:szCs w:val="18"/>
                    </w:rPr>
                  </w:pPr>
                  <w:r>
                    <w:t>–</w:t>
                  </w:r>
                </w:p>
              </w:tc>
              <w:tc>
                <w:tcPr>
                  <w:tcW w:w="964" w:type="dxa"/>
                  <w:vAlign w:val="bottom"/>
                </w:tcPr>
                <w:p w:rsidR="007544CA" w:rsidRDefault="007544CA" w:rsidP="00133508">
                  <w:pPr>
                    <w:pStyle w:val="TableBodyText"/>
                    <w:spacing w:after="20"/>
                  </w:pPr>
                  <w:r>
                    <w:noBreakHyphen/>
                    <w:t>131.1</w:t>
                  </w:r>
                </w:p>
              </w:tc>
              <w:tc>
                <w:tcPr>
                  <w:tcW w:w="1020" w:type="dxa"/>
                  <w:shd w:val="clear" w:color="auto" w:fill="F2F2F2" w:themeFill="background1" w:themeFillShade="F2"/>
                  <w:vAlign w:val="bottom"/>
                </w:tcPr>
                <w:p w:rsidR="007544CA" w:rsidRDefault="007544CA" w:rsidP="00133508">
                  <w:pPr>
                    <w:pStyle w:val="TableBodyText"/>
                    <w:spacing w:after="20"/>
                  </w:pPr>
                  <w:r>
                    <w:noBreakHyphen/>
                    <w:t>131.1</w:t>
                  </w:r>
                </w:p>
              </w:tc>
              <w:tc>
                <w:tcPr>
                  <w:tcW w:w="964" w:type="dxa"/>
                  <w:vAlign w:val="bottom"/>
                </w:tcPr>
                <w:p w:rsidR="007544CA" w:rsidRDefault="007544CA" w:rsidP="00133508">
                  <w:pPr>
                    <w:pStyle w:val="TableBodyText"/>
                    <w:spacing w:after="20"/>
                    <w:rPr>
                      <w:szCs w:val="18"/>
                    </w:rPr>
                  </w:pPr>
                  <w:r>
                    <w:rPr>
                      <w:szCs w:val="18"/>
                    </w:rPr>
                    <w:t>18.0</w:t>
                  </w:r>
                </w:p>
              </w:tc>
              <w:tc>
                <w:tcPr>
                  <w:tcW w:w="964" w:type="dxa"/>
                  <w:vAlign w:val="bottom"/>
                </w:tcPr>
                <w:p w:rsidR="007544CA" w:rsidRDefault="007544CA" w:rsidP="00133508">
                  <w:pPr>
                    <w:pStyle w:val="TableBodyText"/>
                    <w:spacing w:after="20"/>
                    <w:rPr>
                      <w:szCs w:val="18"/>
                    </w:rPr>
                  </w:pPr>
                  <w:r>
                    <w:rPr>
                      <w:szCs w:val="18"/>
                    </w:rPr>
                    <w:t>5.9</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noBreakHyphen/>
                    <w:t>107.2</w:t>
                  </w:r>
                </w:p>
              </w:tc>
            </w:tr>
            <w:tr w:rsidR="007544CA" w:rsidTr="00133508">
              <w:tc>
                <w:tcPr>
                  <w:tcW w:w="2721" w:type="dxa"/>
                </w:tcPr>
                <w:p w:rsidR="007544CA" w:rsidRPr="0008512F" w:rsidRDefault="007544CA" w:rsidP="00133508">
                  <w:pPr>
                    <w:pStyle w:val="TableBodyText"/>
                    <w:spacing w:after="20"/>
                    <w:jc w:val="left"/>
                  </w:pPr>
                  <w:r w:rsidRPr="0008512F">
                    <w:t xml:space="preserve">Health care </w:t>
                  </w:r>
                  <w:r>
                    <w:t xml:space="preserve">&amp; </w:t>
                  </w:r>
                  <w:r w:rsidRPr="0008512F">
                    <w:t>social assistance</w:t>
                  </w:r>
                </w:p>
              </w:tc>
              <w:tc>
                <w:tcPr>
                  <w:tcW w:w="964" w:type="dxa"/>
                  <w:vAlign w:val="bottom"/>
                </w:tcPr>
                <w:p w:rsidR="007544CA" w:rsidRPr="00EE122A" w:rsidRDefault="007544CA" w:rsidP="00133508">
                  <w:pPr>
                    <w:pStyle w:val="TableBodyText"/>
                    <w:spacing w:after="20"/>
                    <w:rPr>
                      <w:szCs w:val="18"/>
                    </w:rPr>
                  </w:pPr>
                  <w:r>
                    <w:t>–</w:t>
                  </w:r>
                </w:p>
              </w:tc>
              <w:tc>
                <w:tcPr>
                  <w:tcW w:w="964" w:type="dxa"/>
                  <w:vAlign w:val="bottom"/>
                </w:tcPr>
                <w:p w:rsidR="007544CA" w:rsidRDefault="007544CA" w:rsidP="00133508">
                  <w:pPr>
                    <w:pStyle w:val="TableBodyText"/>
                    <w:spacing w:after="20"/>
                  </w:pPr>
                  <w:r>
                    <w:noBreakHyphen/>
                    <w:t>282.2</w:t>
                  </w:r>
                </w:p>
              </w:tc>
              <w:tc>
                <w:tcPr>
                  <w:tcW w:w="1020" w:type="dxa"/>
                  <w:shd w:val="clear" w:color="auto" w:fill="F2F2F2" w:themeFill="background1" w:themeFillShade="F2"/>
                  <w:vAlign w:val="bottom"/>
                </w:tcPr>
                <w:p w:rsidR="007544CA" w:rsidRDefault="007544CA" w:rsidP="00133508">
                  <w:pPr>
                    <w:pStyle w:val="TableBodyText"/>
                    <w:spacing w:after="20"/>
                  </w:pPr>
                  <w:r>
                    <w:noBreakHyphen/>
                    <w:t>282.2</w:t>
                  </w:r>
                </w:p>
              </w:tc>
              <w:tc>
                <w:tcPr>
                  <w:tcW w:w="964" w:type="dxa"/>
                  <w:vAlign w:val="bottom"/>
                </w:tcPr>
                <w:p w:rsidR="007544CA" w:rsidRDefault="007544CA" w:rsidP="00133508">
                  <w:pPr>
                    <w:pStyle w:val="TableBodyText"/>
                    <w:spacing w:after="20"/>
                    <w:rPr>
                      <w:szCs w:val="18"/>
                    </w:rPr>
                  </w:pPr>
                  <w:r>
                    <w:rPr>
                      <w:szCs w:val="18"/>
                    </w:rPr>
                    <w:t>98.1</w:t>
                  </w:r>
                </w:p>
              </w:tc>
              <w:tc>
                <w:tcPr>
                  <w:tcW w:w="964" w:type="dxa"/>
                  <w:vAlign w:val="bottom"/>
                </w:tcPr>
                <w:p w:rsidR="007544CA" w:rsidRDefault="007544CA" w:rsidP="00133508">
                  <w:pPr>
                    <w:pStyle w:val="TableBodyText"/>
                    <w:spacing w:after="20"/>
                    <w:rPr>
                      <w:szCs w:val="18"/>
                    </w:rPr>
                  </w:pPr>
                  <w:r>
                    <w:rPr>
                      <w:szCs w:val="18"/>
                    </w:rPr>
                    <w:t>75.8</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noBreakHyphen/>
                    <w:t>108.3</w:t>
                  </w:r>
                </w:p>
              </w:tc>
            </w:tr>
            <w:tr w:rsidR="007544CA" w:rsidTr="00133508">
              <w:tc>
                <w:tcPr>
                  <w:tcW w:w="2721" w:type="dxa"/>
                </w:tcPr>
                <w:p w:rsidR="007544CA" w:rsidRPr="0008512F" w:rsidRDefault="007544CA" w:rsidP="00133508">
                  <w:pPr>
                    <w:pStyle w:val="TableBodyText"/>
                    <w:spacing w:after="20"/>
                    <w:jc w:val="left"/>
                  </w:pPr>
                  <w:r w:rsidRPr="0008512F">
                    <w:t>Arts and recreation services</w:t>
                  </w:r>
                </w:p>
              </w:tc>
              <w:tc>
                <w:tcPr>
                  <w:tcW w:w="964" w:type="dxa"/>
                  <w:vAlign w:val="bottom"/>
                </w:tcPr>
                <w:p w:rsidR="007544CA" w:rsidRPr="00EE122A" w:rsidRDefault="007544CA" w:rsidP="00133508">
                  <w:pPr>
                    <w:pStyle w:val="TableBodyText"/>
                    <w:spacing w:after="20"/>
                    <w:rPr>
                      <w:szCs w:val="18"/>
                    </w:rPr>
                  </w:pPr>
                  <w:r>
                    <w:t>–</w:t>
                  </w:r>
                </w:p>
              </w:tc>
              <w:tc>
                <w:tcPr>
                  <w:tcW w:w="964" w:type="dxa"/>
                  <w:vAlign w:val="bottom"/>
                </w:tcPr>
                <w:p w:rsidR="007544CA" w:rsidRDefault="007544CA" w:rsidP="00133508">
                  <w:pPr>
                    <w:pStyle w:val="TableBodyText"/>
                    <w:spacing w:after="20"/>
                  </w:pPr>
                  <w:r>
                    <w:noBreakHyphen/>
                    <w:t>84.4</w:t>
                  </w:r>
                </w:p>
              </w:tc>
              <w:tc>
                <w:tcPr>
                  <w:tcW w:w="1020" w:type="dxa"/>
                  <w:shd w:val="clear" w:color="auto" w:fill="F2F2F2" w:themeFill="background1" w:themeFillShade="F2"/>
                  <w:vAlign w:val="bottom"/>
                </w:tcPr>
                <w:p w:rsidR="007544CA" w:rsidRDefault="007544CA" w:rsidP="00133508">
                  <w:pPr>
                    <w:pStyle w:val="TableBodyText"/>
                    <w:spacing w:after="20"/>
                  </w:pPr>
                  <w:r>
                    <w:noBreakHyphen/>
                    <w:t>84.4</w:t>
                  </w:r>
                </w:p>
              </w:tc>
              <w:tc>
                <w:tcPr>
                  <w:tcW w:w="964" w:type="dxa"/>
                  <w:vAlign w:val="bottom"/>
                </w:tcPr>
                <w:p w:rsidR="007544CA" w:rsidRDefault="007544CA" w:rsidP="00133508">
                  <w:pPr>
                    <w:pStyle w:val="TableBodyText"/>
                    <w:spacing w:after="20"/>
                    <w:rPr>
                      <w:szCs w:val="18"/>
                    </w:rPr>
                  </w:pPr>
                  <w:r>
                    <w:rPr>
                      <w:szCs w:val="18"/>
                    </w:rPr>
                    <w:t>100.6</w:t>
                  </w:r>
                </w:p>
              </w:tc>
              <w:tc>
                <w:tcPr>
                  <w:tcW w:w="964" w:type="dxa"/>
                  <w:vAlign w:val="bottom"/>
                </w:tcPr>
                <w:p w:rsidR="007544CA" w:rsidRDefault="007544CA" w:rsidP="00133508">
                  <w:pPr>
                    <w:pStyle w:val="TableBodyText"/>
                    <w:spacing w:after="20"/>
                    <w:rPr>
                      <w:szCs w:val="18"/>
                    </w:rPr>
                  </w:pPr>
                  <w:r>
                    <w:rPr>
                      <w:szCs w:val="18"/>
                    </w:rPr>
                    <w:t>211.6</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t>227.8</w:t>
                  </w:r>
                </w:p>
              </w:tc>
            </w:tr>
            <w:tr w:rsidR="007544CA" w:rsidTr="00133508">
              <w:tc>
                <w:tcPr>
                  <w:tcW w:w="2721" w:type="dxa"/>
                </w:tcPr>
                <w:p w:rsidR="007544CA" w:rsidRPr="0008512F" w:rsidRDefault="007544CA" w:rsidP="00133508">
                  <w:pPr>
                    <w:pStyle w:val="TableBodyText"/>
                    <w:spacing w:after="20"/>
                    <w:jc w:val="left"/>
                  </w:pPr>
                  <w:r w:rsidRPr="0008512F">
                    <w:t>Other services</w:t>
                  </w:r>
                </w:p>
              </w:tc>
              <w:tc>
                <w:tcPr>
                  <w:tcW w:w="964" w:type="dxa"/>
                  <w:vAlign w:val="bottom"/>
                </w:tcPr>
                <w:p w:rsidR="007544CA" w:rsidRPr="00EE122A" w:rsidRDefault="007544CA" w:rsidP="00133508">
                  <w:pPr>
                    <w:pStyle w:val="TableBodyText"/>
                    <w:spacing w:after="20"/>
                    <w:rPr>
                      <w:szCs w:val="18"/>
                    </w:rPr>
                  </w:pPr>
                  <w:r>
                    <w:t>–</w:t>
                  </w:r>
                </w:p>
              </w:tc>
              <w:tc>
                <w:tcPr>
                  <w:tcW w:w="964" w:type="dxa"/>
                  <w:vAlign w:val="bottom"/>
                </w:tcPr>
                <w:p w:rsidR="007544CA" w:rsidRDefault="007544CA" w:rsidP="00133508">
                  <w:pPr>
                    <w:pStyle w:val="TableBodyText"/>
                    <w:spacing w:after="20"/>
                  </w:pPr>
                  <w:r>
                    <w:noBreakHyphen/>
                    <w:t>325.3</w:t>
                  </w:r>
                </w:p>
              </w:tc>
              <w:tc>
                <w:tcPr>
                  <w:tcW w:w="1020" w:type="dxa"/>
                  <w:shd w:val="clear" w:color="auto" w:fill="F2F2F2" w:themeFill="background1" w:themeFillShade="F2"/>
                  <w:vAlign w:val="bottom"/>
                </w:tcPr>
                <w:p w:rsidR="007544CA" w:rsidRDefault="007544CA" w:rsidP="00133508">
                  <w:pPr>
                    <w:pStyle w:val="TableBodyText"/>
                    <w:spacing w:after="20"/>
                  </w:pPr>
                  <w:r>
                    <w:noBreakHyphen/>
                    <w:t>325.3</w:t>
                  </w:r>
                </w:p>
              </w:tc>
              <w:tc>
                <w:tcPr>
                  <w:tcW w:w="964" w:type="dxa"/>
                  <w:vAlign w:val="bottom"/>
                </w:tcPr>
                <w:p w:rsidR="007544CA" w:rsidRDefault="007544CA" w:rsidP="00133508">
                  <w:pPr>
                    <w:pStyle w:val="TableBodyText"/>
                    <w:spacing w:after="20"/>
                    <w:rPr>
                      <w:szCs w:val="18"/>
                    </w:rPr>
                  </w:pPr>
                  <w:r>
                    <w:rPr>
                      <w:szCs w:val="18"/>
                    </w:rPr>
                    <w:t>14.8</w:t>
                  </w:r>
                </w:p>
              </w:tc>
              <w:tc>
                <w:tcPr>
                  <w:tcW w:w="964" w:type="dxa"/>
                  <w:vAlign w:val="bottom"/>
                </w:tcPr>
                <w:p w:rsidR="007544CA" w:rsidRDefault="007544CA" w:rsidP="00133508">
                  <w:pPr>
                    <w:pStyle w:val="TableBodyText"/>
                    <w:spacing w:after="20"/>
                    <w:rPr>
                      <w:szCs w:val="18"/>
                    </w:rPr>
                  </w:pPr>
                  <w:r>
                    <w:rPr>
                      <w:szCs w:val="18"/>
                    </w:rPr>
                    <w:t>16.4</w:t>
                  </w:r>
                </w:p>
              </w:tc>
              <w:tc>
                <w:tcPr>
                  <w:tcW w:w="964" w:type="dxa"/>
                  <w:shd w:val="clear" w:color="auto" w:fill="F2F2F2" w:themeFill="background1" w:themeFillShade="F2"/>
                  <w:vAlign w:val="bottom"/>
                </w:tcPr>
                <w:p w:rsidR="007544CA" w:rsidRDefault="007544CA" w:rsidP="00133508">
                  <w:pPr>
                    <w:pStyle w:val="TableBodyText"/>
                    <w:spacing w:after="20"/>
                    <w:rPr>
                      <w:szCs w:val="18"/>
                    </w:rPr>
                  </w:pPr>
                  <w:r>
                    <w:rPr>
                      <w:szCs w:val="18"/>
                    </w:rPr>
                    <w:noBreakHyphen/>
                    <w:t>294.1</w:t>
                  </w:r>
                </w:p>
              </w:tc>
            </w:tr>
            <w:tr w:rsidR="007544CA" w:rsidTr="00133508">
              <w:tc>
                <w:tcPr>
                  <w:tcW w:w="2721" w:type="dxa"/>
                  <w:shd w:val="clear" w:color="auto" w:fill="auto"/>
                </w:tcPr>
                <w:p w:rsidR="007544CA" w:rsidRPr="0008512F" w:rsidRDefault="007544CA" w:rsidP="00133508">
                  <w:pPr>
                    <w:pStyle w:val="TableBodyText"/>
                    <w:spacing w:after="20"/>
                    <w:jc w:val="left"/>
                  </w:pPr>
                  <w:r w:rsidRPr="0008512F">
                    <w:t>Unallocated services</w:t>
                  </w:r>
                </w:p>
              </w:tc>
              <w:tc>
                <w:tcPr>
                  <w:tcW w:w="964" w:type="dxa"/>
                  <w:vAlign w:val="bottom"/>
                </w:tcPr>
                <w:p w:rsidR="007544CA" w:rsidRPr="00EE122A" w:rsidRDefault="007544CA" w:rsidP="00133508">
                  <w:pPr>
                    <w:pStyle w:val="TableBodyText"/>
                    <w:spacing w:after="20"/>
                    <w:rPr>
                      <w:szCs w:val="18"/>
                    </w:rPr>
                  </w:pPr>
                  <w:r>
                    <w:t>–</w:t>
                  </w:r>
                </w:p>
              </w:tc>
              <w:tc>
                <w:tcPr>
                  <w:tcW w:w="964" w:type="dxa"/>
                  <w:vAlign w:val="bottom"/>
                </w:tcPr>
                <w:p w:rsidR="007544CA" w:rsidRPr="00EE122A" w:rsidRDefault="007544CA" w:rsidP="00133508">
                  <w:pPr>
                    <w:pStyle w:val="TableBodyText"/>
                    <w:spacing w:after="20"/>
                    <w:rPr>
                      <w:szCs w:val="18"/>
                    </w:rPr>
                  </w:pPr>
                  <w:r>
                    <w:t>–</w:t>
                  </w:r>
                </w:p>
              </w:tc>
              <w:tc>
                <w:tcPr>
                  <w:tcW w:w="1020" w:type="dxa"/>
                  <w:shd w:val="clear" w:color="auto" w:fill="F2F2F2" w:themeFill="background1" w:themeFillShade="F2"/>
                  <w:vAlign w:val="bottom"/>
                </w:tcPr>
                <w:p w:rsidR="007544CA" w:rsidRPr="00EE122A" w:rsidRDefault="007544CA" w:rsidP="00133508">
                  <w:pPr>
                    <w:pStyle w:val="TableBodyText"/>
                    <w:spacing w:after="20"/>
                    <w:rPr>
                      <w:szCs w:val="18"/>
                    </w:rPr>
                  </w:pPr>
                  <w:r>
                    <w:t>–</w:t>
                  </w:r>
                </w:p>
              </w:tc>
              <w:tc>
                <w:tcPr>
                  <w:tcW w:w="964" w:type="dxa"/>
                  <w:vAlign w:val="bottom"/>
                </w:tcPr>
                <w:p w:rsidR="007544CA" w:rsidRPr="00C678FC" w:rsidRDefault="007544CA" w:rsidP="00133508">
                  <w:pPr>
                    <w:pStyle w:val="TableBodyText"/>
                    <w:spacing w:after="20"/>
                  </w:pPr>
                  <w:r w:rsidRPr="00C678FC">
                    <w:t>1</w:t>
                  </w:r>
                  <w:r>
                    <w:t>38.9</w:t>
                  </w:r>
                </w:p>
              </w:tc>
              <w:tc>
                <w:tcPr>
                  <w:tcW w:w="964" w:type="dxa"/>
                  <w:shd w:val="clear" w:color="auto" w:fill="auto"/>
                  <w:vAlign w:val="bottom"/>
                </w:tcPr>
                <w:p w:rsidR="007544CA" w:rsidRPr="00C678FC" w:rsidRDefault="007544CA" w:rsidP="00133508">
                  <w:pPr>
                    <w:pStyle w:val="TableBodyText"/>
                    <w:spacing w:after="20"/>
                  </w:pPr>
                  <w:r>
                    <w:t>–</w:t>
                  </w:r>
                </w:p>
              </w:tc>
              <w:tc>
                <w:tcPr>
                  <w:tcW w:w="964" w:type="dxa"/>
                  <w:shd w:val="clear" w:color="auto" w:fill="F2F2F2" w:themeFill="background1" w:themeFillShade="F2"/>
                  <w:vAlign w:val="bottom"/>
                </w:tcPr>
                <w:p w:rsidR="007544CA" w:rsidRPr="00C678FC" w:rsidRDefault="007544CA" w:rsidP="00133508">
                  <w:pPr>
                    <w:pStyle w:val="TableBodyText"/>
                    <w:spacing w:after="20"/>
                  </w:pPr>
                  <w:r w:rsidRPr="00C678FC">
                    <w:t>1</w:t>
                  </w:r>
                  <w:r>
                    <w:t>38.9</w:t>
                  </w:r>
                </w:p>
              </w:tc>
            </w:tr>
            <w:tr w:rsidR="007544CA" w:rsidRPr="00450BD4" w:rsidTr="00133508">
              <w:tc>
                <w:tcPr>
                  <w:tcW w:w="2721" w:type="dxa"/>
                  <w:shd w:val="clear" w:color="auto" w:fill="auto"/>
                </w:tcPr>
                <w:p w:rsidR="007544CA" w:rsidRPr="00450BD4" w:rsidRDefault="007544CA" w:rsidP="00133508">
                  <w:pPr>
                    <w:pStyle w:val="TableBodyText"/>
                    <w:spacing w:after="30"/>
                    <w:jc w:val="left"/>
                    <w:rPr>
                      <w:b/>
                    </w:rPr>
                  </w:pPr>
                  <w:r w:rsidRPr="00450BD4">
                    <w:rPr>
                      <w:b/>
                    </w:rPr>
                    <w:t>Unallocated other</w:t>
                  </w:r>
                </w:p>
              </w:tc>
              <w:tc>
                <w:tcPr>
                  <w:tcW w:w="964" w:type="dxa"/>
                  <w:vAlign w:val="bottom"/>
                </w:tcPr>
                <w:p w:rsidR="007544CA" w:rsidRPr="00EA4B71" w:rsidRDefault="007544CA" w:rsidP="00133508">
                  <w:pPr>
                    <w:pStyle w:val="TableBodyText"/>
                    <w:spacing w:after="30"/>
                    <w:rPr>
                      <w:b/>
                      <w:szCs w:val="18"/>
                    </w:rPr>
                  </w:pPr>
                  <w:r w:rsidRPr="00DD2E84">
                    <w:rPr>
                      <w:b/>
                    </w:rPr>
                    <w:t>–</w:t>
                  </w:r>
                </w:p>
              </w:tc>
              <w:tc>
                <w:tcPr>
                  <w:tcW w:w="964" w:type="dxa"/>
                  <w:vAlign w:val="bottom"/>
                </w:tcPr>
                <w:p w:rsidR="007544CA" w:rsidRPr="00EA4B71" w:rsidRDefault="007544CA" w:rsidP="00133508">
                  <w:pPr>
                    <w:pStyle w:val="TableBodyText"/>
                    <w:spacing w:after="30"/>
                    <w:rPr>
                      <w:b/>
                      <w:szCs w:val="18"/>
                    </w:rPr>
                  </w:pPr>
                  <w:r w:rsidRPr="00DD2E84">
                    <w:rPr>
                      <w:b/>
                    </w:rPr>
                    <w:t>–</w:t>
                  </w:r>
                </w:p>
              </w:tc>
              <w:tc>
                <w:tcPr>
                  <w:tcW w:w="1020" w:type="dxa"/>
                  <w:shd w:val="clear" w:color="auto" w:fill="F2F2F2" w:themeFill="background1" w:themeFillShade="F2"/>
                  <w:vAlign w:val="bottom"/>
                </w:tcPr>
                <w:p w:rsidR="007544CA" w:rsidRPr="00EA4B71" w:rsidRDefault="007544CA" w:rsidP="00133508">
                  <w:pPr>
                    <w:pStyle w:val="TableBodyText"/>
                    <w:spacing w:after="30"/>
                    <w:rPr>
                      <w:b/>
                      <w:szCs w:val="18"/>
                    </w:rPr>
                  </w:pPr>
                  <w:r w:rsidRPr="00EA4B71">
                    <w:rPr>
                      <w:b/>
                    </w:rPr>
                    <w:t>–</w:t>
                  </w:r>
                </w:p>
              </w:tc>
              <w:tc>
                <w:tcPr>
                  <w:tcW w:w="964" w:type="dxa"/>
                  <w:vAlign w:val="bottom"/>
                </w:tcPr>
                <w:p w:rsidR="007544CA" w:rsidRPr="007010D0" w:rsidRDefault="007544CA" w:rsidP="00133508">
                  <w:pPr>
                    <w:pStyle w:val="TableBodyText"/>
                    <w:spacing w:after="30"/>
                    <w:rPr>
                      <w:b/>
                    </w:rPr>
                  </w:pPr>
                  <w:r w:rsidRPr="007010D0">
                    <w:rPr>
                      <w:b/>
                    </w:rPr>
                    <w:t>399.1</w:t>
                  </w:r>
                </w:p>
              </w:tc>
              <w:tc>
                <w:tcPr>
                  <w:tcW w:w="964" w:type="dxa"/>
                  <w:shd w:val="clear" w:color="auto" w:fill="auto"/>
                  <w:vAlign w:val="bottom"/>
                </w:tcPr>
                <w:p w:rsidR="007544CA" w:rsidRPr="007010D0" w:rsidRDefault="007544CA" w:rsidP="00133508">
                  <w:pPr>
                    <w:pStyle w:val="TableBodyText"/>
                    <w:spacing w:after="30"/>
                    <w:rPr>
                      <w:b/>
                    </w:rPr>
                  </w:pPr>
                  <w:r w:rsidRPr="007010D0">
                    <w:rPr>
                      <w:b/>
                    </w:rPr>
                    <w:t>271.0</w:t>
                  </w:r>
                </w:p>
              </w:tc>
              <w:tc>
                <w:tcPr>
                  <w:tcW w:w="964" w:type="dxa"/>
                  <w:shd w:val="clear" w:color="auto" w:fill="F2F2F2" w:themeFill="background1" w:themeFillShade="F2"/>
                  <w:vAlign w:val="bottom"/>
                </w:tcPr>
                <w:p w:rsidR="007544CA" w:rsidRPr="007010D0" w:rsidRDefault="007544CA" w:rsidP="00133508">
                  <w:pPr>
                    <w:pStyle w:val="TableBodyText"/>
                    <w:spacing w:after="30"/>
                    <w:rPr>
                      <w:b/>
                    </w:rPr>
                  </w:pPr>
                  <w:r w:rsidRPr="007010D0">
                    <w:rPr>
                      <w:b/>
                    </w:rPr>
                    <w:t>670.2</w:t>
                  </w:r>
                </w:p>
              </w:tc>
            </w:tr>
            <w:tr w:rsidR="007544CA" w:rsidRPr="00450BD4" w:rsidTr="00133508">
              <w:tc>
                <w:tcPr>
                  <w:tcW w:w="2721" w:type="dxa"/>
                  <w:tcBorders>
                    <w:bottom w:val="single" w:sz="6" w:space="0" w:color="BFBFBF"/>
                  </w:tcBorders>
                  <w:shd w:val="clear" w:color="auto" w:fill="auto"/>
                </w:tcPr>
                <w:p w:rsidR="007544CA" w:rsidRPr="00450BD4" w:rsidRDefault="007544CA" w:rsidP="00133508">
                  <w:pPr>
                    <w:pStyle w:val="TableBodyText"/>
                    <w:spacing w:after="30"/>
                    <w:jc w:val="left"/>
                    <w:rPr>
                      <w:b/>
                      <w:szCs w:val="18"/>
                    </w:rPr>
                  </w:pPr>
                  <w:r w:rsidRPr="00450BD4">
                    <w:rPr>
                      <w:b/>
                      <w:szCs w:val="18"/>
                    </w:rPr>
                    <w:t>Total</w:t>
                  </w:r>
                </w:p>
              </w:tc>
              <w:tc>
                <w:tcPr>
                  <w:tcW w:w="964" w:type="dxa"/>
                  <w:tcBorders>
                    <w:bottom w:val="single" w:sz="6" w:space="0" w:color="BFBFBF"/>
                  </w:tcBorders>
                  <w:vAlign w:val="bottom"/>
                </w:tcPr>
                <w:p w:rsidR="007544CA" w:rsidRPr="007010D0" w:rsidRDefault="007544CA" w:rsidP="00133508">
                  <w:pPr>
                    <w:pStyle w:val="TableBodyText"/>
                    <w:spacing w:after="30"/>
                    <w:rPr>
                      <w:b/>
                    </w:rPr>
                  </w:pPr>
                  <w:r w:rsidRPr="007010D0">
                    <w:rPr>
                      <w:b/>
                    </w:rPr>
                    <w:t>7</w:t>
                  </w:r>
                  <w:r>
                    <w:rPr>
                      <w:b/>
                    </w:rPr>
                    <w:t> </w:t>
                  </w:r>
                  <w:r w:rsidRPr="007010D0">
                    <w:rPr>
                      <w:b/>
                    </w:rPr>
                    <w:t>827.3</w:t>
                  </w:r>
                </w:p>
              </w:tc>
              <w:tc>
                <w:tcPr>
                  <w:tcW w:w="964" w:type="dxa"/>
                  <w:tcBorders>
                    <w:bottom w:val="single" w:sz="6" w:space="0" w:color="BFBFBF"/>
                  </w:tcBorders>
                  <w:vAlign w:val="bottom"/>
                </w:tcPr>
                <w:p w:rsidR="007544CA" w:rsidRPr="007010D0" w:rsidRDefault="007544CA" w:rsidP="00133508">
                  <w:pPr>
                    <w:pStyle w:val="TableBodyText"/>
                    <w:spacing w:after="30"/>
                    <w:rPr>
                      <w:b/>
                    </w:rPr>
                  </w:pPr>
                  <w:r>
                    <w:rPr>
                      <w:b/>
                    </w:rPr>
                    <w:noBreakHyphen/>
                  </w:r>
                  <w:r w:rsidRPr="007010D0">
                    <w:rPr>
                      <w:b/>
                    </w:rPr>
                    <w:t>7</w:t>
                  </w:r>
                  <w:r>
                    <w:rPr>
                      <w:b/>
                    </w:rPr>
                    <w:t> </w:t>
                  </w:r>
                  <w:r w:rsidRPr="007010D0">
                    <w:rPr>
                      <w:b/>
                    </w:rPr>
                    <w:t>524.6</w:t>
                  </w:r>
                </w:p>
              </w:tc>
              <w:tc>
                <w:tcPr>
                  <w:tcW w:w="1020" w:type="dxa"/>
                  <w:tcBorders>
                    <w:bottom w:val="single" w:sz="6" w:space="0" w:color="BFBFBF"/>
                  </w:tcBorders>
                  <w:shd w:val="clear" w:color="auto" w:fill="F2F2F2" w:themeFill="background1" w:themeFillShade="F2"/>
                  <w:vAlign w:val="bottom"/>
                </w:tcPr>
                <w:p w:rsidR="007544CA" w:rsidRPr="007010D0" w:rsidRDefault="007544CA" w:rsidP="00133508">
                  <w:pPr>
                    <w:pStyle w:val="TableBodyText"/>
                    <w:spacing w:after="30"/>
                    <w:rPr>
                      <w:b/>
                    </w:rPr>
                  </w:pPr>
                  <w:r w:rsidRPr="007010D0">
                    <w:rPr>
                      <w:b/>
                    </w:rPr>
                    <w:t>302.7</w:t>
                  </w:r>
                </w:p>
              </w:tc>
              <w:tc>
                <w:tcPr>
                  <w:tcW w:w="964" w:type="dxa"/>
                  <w:tcBorders>
                    <w:bottom w:val="single" w:sz="6" w:space="0" w:color="BFBFBF"/>
                  </w:tcBorders>
                  <w:vAlign w:val="bottom"/>
                </w:tcPr>
                <w:p w:rsidR="007544CA" w:rsidRPr="007010D0" w:rsidRDefault="007544CA" w:rsidP="00133508">
                  <w:pPr>
                    <w:pStyle w:val="TableBodyText"/>
                    <w:spacing w:after="30"/>
                    <w:rPr>
                      <w:b/>
                      <w:bCs/>
                    </w:rPr>
                  </w:pPr>
                  <w:r w:rsidRPr="007010D0">
                    <w:rPr>
                      <w:b/>
                      <w:bCs/>
                    </w:rPr>
                    <w:t>4</w:t>
                  </w:r>
                  <w:r>
                    <w:rPr>
                      <w:b/>
                      <w:bCs/>
                    </w:rPr>
                    <w:t> </w:t>
                  </w:r>
                  <w:r w:rsidRPr="007010D0">
                    <w:rPr>
                      <w:b/>
                      <w:bCs/>
                    </w:rPr>
                    <w:t>255.7</w:t>
                  </w:r>
                </w:p>
              </w:tc>
              <w:tc>
                <w:tcPr>
                  <w:tcW w:w="964" w:type="dxa"/>
                  <w:tcBorders>
                    <w:bottom w:val="single" w:sz="6" w:space="0" w:color="BFBFBF"/>
                  </w:tcBorders>
                  <w:shd w:val="clear" w:color="auto" w:fill="auto"/>
                  <w:vAlign w:val="bottom"/>
                </w:tcPr>
                <w:p w:rsidR="007544CA" w:rsidRPr="007010D0" w:rsidRDefault="007544CA" w:rsidP="00133508">
                  <w:pPr>
                    <w:pStyle w:val="TableBodyText"/>
                    <w:spacing w:after="30"/>
                    <w:rPr>
                      <w:b/>
                      <w:bCs/>
                    </w:rPr>
                  </w:pPr>
                  <w:r w:rsidRPr="007010D0">
                    <w:rPr>
                      <w:b/>
                      <w:bCs/>
                    </w:rPr>
                    <w:t>3</w:t>
                  </w:r>
                  <w:r>
                    <w:rPr>
                      <w:b/>
                      <w:bCs/>
                    </w:rPr>
                    <w:t> </w:t>
                  </w:r>
                  <w:r w:rsidRPr="007010D0">
                    <w:rPr>
                      <w:b/>
                      <w:bCs/>
                    </w:rPr>
                    <w:t>079.9</w:t>
                  </w:r>
                </w:p>
              </w:tc>
              <w:tc>
                <w:tcPr>
                  <w:tcW w:w="964" w:type="dxa"/>
                  <w:tcBorders>
                    <w:bottom w:val="single" w:sz="6" w:space="0" w:color="BFBFBF"/>
                  </w:tcBorders>
                  <w:shd w:val="clear" w:color="auto" w:fill="F2F2F2" w:themeFill="background1" w:themeFillShade="F2"/>
                  <w:vAlign w:val="bottom"/>
                </w:tcPr>
                <w:p w:rsidR="007544CA" w:rsidRPr="007010D0" w:rsidRDefault="007544CA" w:rsidP="00133508">
                  <w:pPr>
                    <w:pStyle w:val="TableBodyText"/>
                    <w:spacing w:after="30"/>
                    <w:rPr>
                      <w:b/>
                      <w:bCs/>
                    </w:rPr>
                  </w:pPr>
                  <w:r w:rsidRPr="007010D0">
                    <w:rPr>
                      <w:b/>
                      <w:bCs/>
                    </w:rPr>
                    <w:t>7</w:t>
                  </w:r>
                  <w:r>
                    <w:rPr>
                      <w:b/>
                      <w:bCs/>
                    </w:rPr>
                    <w:t> </w:t>
                  </w:r>
                  <w:r w:rsidRPr="007010D0">
                    <w:rPr>
                      <w:b/>
                      <w:bCs/>
                    </w:rPr>
                    <w:t>638.3</w:t>
                  </w:r>
                </w:p>
              </w:tc>
            </w:tr>
          </w:tbl>
          <w:p w:rsidR="007544CA" w:rsidRDefault="007544CA" w:rsidP="00133508">
            <w:pPr>
              <w:pStyle w:val="Box"/>
            </w:pPr>
          </w:p>
        </w:tc>
      </w:tr>
      <w:tr w:rsidR="007544CA" w:rsidTr="00133508">
        <w:trPr>
          <w:cantSplit/>
        </w:trPr>
        <w:tc>
          <w:tcPr>
            <w:tcW w:w="8771" w:type="dxa"/>
            <w:tcBorders>
              <w:top w:val="nil"/>
              <w:left w:val="nil"/>
              <w:bottom w:val="nil"/>
              <w:right w:val="nil"/>
            </w:tcBorders>
            <w:shd w:val="clear" w:color="auto" w:fill="auto"/>
          </w:tcPr>
          <w:p w:rsidR="007544CA" w:rsidRPr="00CE67F8" w:rsidRDefault="007544CA" w:rsidP="00133508">
            <w:pPr>
              <w:pStyle w:val="Note"/>
              <w:spacing w:before="40"/>
            </w:pPr>
            <w:r>
              <w:t>– Nil.</w:t>
            </w:r>
            <w:r w:rsidRPr="008E77FE">
              <w:rPr>
                <w:rStyle w:val="NoteLabel"/>
              </w:rPr>
              <w:t>a</w:t>
            </w:r>
            <w:r>
              <w:t> Read in conjunction with notes to tables 2.1 and 2.4.</w:t>
            </w: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Source"/>
              <w:spacing w:before="40"/>
            </w:pPr>
            <w:r>
              <w:rPr>
                <w:i/>
              </w:rPr>
              <w:t>Source</w:t>
            </w:r>
            <w:r w:rsidRPr="00167F06">
              <w:t xml:space="preserve">: </w:t>
            </w:r>
            <w:r>
              <w:t>Commission estimates.</w:t>
            </w:r>
          </w:p>
        </w:tc>
      </w:tr>
      <w:tr w:rsidR="007544CA" w:rsidTr="00133508">
        <w:trPr>
          <w:cantSplit/>
        </w:trPr>
        <w:tc>
          <w:tcPr>
            <w:tcW w:w="8771" w:type="dxa"/>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Heading3"/>
      </w:pPr>
      <w:r>
        <w:lastRenderedPageBreak/>
        <w:t>Estimated effective rates of combined assistance by industry grouping</w:t>
      </w:r>
    </w:p>
    <w:p w:rsidR="007544CA" w:rsidRDefault="007544CA" w:rsidP="00133508">
      <w:pPr>
        <w:pStyle w:val="BodyText"/>
      </w:pPr>
      <w:r>
        <w:t>As noted, the effective rate of assistance (ERA) measures the net combined assistance to a particular industry in proportion to that industry’s unassisted net output (value added). It provides an indication of the extent to which assistance to an industry enables it to attract and hold economic resources relative to other sectors.</w:t>
      </w:r>
    </w:p>
    <w:p w:rsidR="007544CA" w:rsidRDefault="007544CA" w:rsidP="00133508">
      <w:pPr>
        <w:pStyle w:val="BodyText"/>
      </w:pPr>
      <w:r w:rsidRPr="004710F2">
        <w:t>For the manufacturing sector, the estimated effective rate of assistance was 4.</w:t>
      </w:r>
      <w:r>
        <w:t>1 </w:t>
      </w:r>
      <w:r w:rsidRPr="004710F2">
        <w:t>per</w:t>
      </w:r>
      <w:r>
        <w:t> </w:t>
      </w:r>
      <w:r w:rsidRPr="004710F2">
        <w:t>cent in 201</w:t>
      </w:r>
      <w:r>
        <w:t>4</w:t>
      </w:r>
      <w:r>
        <w:noBreakHyphen/>
      </w:r>
      <w:r w:rsidRPr="004710F2">
        <w:t>1</w:t>
      </w:r>
      <w:r>
        <w:t>5</w:t>
      </w:r>
      <w:r w:rsidRPr="004710F2">
        <w:t xml:space="preserve">, </w:t>
      </w:r>
      <w:r>
        <w:t xml:space="preserve">slightly lower than </w:t>
      </w:r>
      <w:r w:rsidRPr="004710F2">
        <w:t>the estimate for previous years (table</w:t>
      </w:r>
      <w:r>
        <w:t> 2.6</w:t>
      </w:r>
      <w:r w:rsidRPr="004710F2">
        <w:t xml:space="preserve">). The effective rate for the </w:t>
      </w:r>
      <w:r w:rsidRPr="00154181">
        <w:t>primary sector in 201</w:t>
      </w:r>
      <w:r>
        <w:t>4</w:t>
      </w:r>
      <w:r w:rsidRPr="00154181">
        <w:noBreakHyphen/>
        <w:t>1</w:t>
      </w:r>
      <w:r>
        <w:t>5</w:t>
      </w:r>
      <w:r w:rsidRPr="00154181">
        <w:t xml:space="preserve"> was 2.</w:t>
      </w:r>
      <w:r>
        <w:t>5</w:t>
      </w:r>
      <w:r w:rsidRPr="00154181">
        <w:t> per cent, down from 4.</w:t>
      </w:r>
      <w:r>
        <w:t>8</w:t>
      </w:r>
      <w:r w:rsidRPr="00154181">
        <w:t> per cent in 200</w:t>
      </w:r>
      <w:r>
        <w:t>9</w:t>
      </w:r>
      <w:r w:rsidRPr="00154181">
        <w:noBreakHyphen/>
      </w:r>
      <w:r>
        <w:t>10</w:t>
      </w:r>
      <w:r w:rsidRPr="00154181">
        <w:t xml:space="preserve"> —</w:t>
      </w:r>
      <w:r>
        <w:t xml:space="preserve"> largely </w:t>
      </w:r>
      <w:r w:rsidRPr="00154181">
        <w:t xml:space="preserve">reflecting </w:t>
      </w:r>
      <w:r>
        <w:t xml:space="preserve">the </w:t>
      </w:r>
      <w:r w:rsidRPr="00DC1C77">
        <w:t>decline in assistance afforded through drought relief to 2012</w:t>
      </w:r>
      <w:r w:rsidRPr="00DC1C77">
        <w:noBreakHyphen/>
        <w:t>13</w:t>
      </w:r>
      <w:r>
        <w:t xml:space="preserve"> following the easing of drought conditions. T</w:t>
      </w:r>
      <w:r w:rsidRPr="00154181">
        <w:t xml:space="preserve">he estimated effective rate of assistance from tariff and budgetary assistance for </w:t>
      </w:r>
      <w:r>
        <w:t>m</w:t>
      </w:r>
      <w:r w:rsidRPr="005F5257">
        <w:t xml:space="preserve">ining </w:t>
      </w:r>
      <w:r w:rsidRPr="00154181">
        <w:t>is negligible.</w:t>
      </w:r>
      <w:r>
        <w:t xml:space="preserve"> </w:t>
      </w:r>
    </w:p>
    <w:p w:rsidR="007544CA" w:rsidRDefault="007544CA" w:rsidP="0013350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Default="007544CA" w:rsidP="00133508">
            <w:pPr>
              <w:pStyle w:val="TableTitle"/>
            </w:pPr>
            <w:r>
              <w:rPr>
                <w:b w:val="0"/>
              </w:rPr>
              <w:t xml:space="preserve">Table </w:t>
            </w:r>
            <w:bookmarkStart w:id="11" w:name="OLE_LINK15"/>
            <w:r>
              <w:rPr>
                <w:b w:val="0"/>
              </w:rPr>
              <w:fldChar w:fldCharType="begin" w:fldLock="1"/>
            </w:r>
            <w:r>
              <w:rPr>
                <w:b w:val="0"/>
              </w:rPr>
              <w:instrText xml:space="preserve"> COMMENTS  \* MERGEFORMAT </w:instrText>
            </w:r>
            <w:r>
              <w:rPr>
                <w:b w:val="0"/>
              </w:rPr>
              <w:fldChar w:fldCharType="separate"/>
            </w:r>
            <w:r>
              <w:rPr>
                <w:b w:val="0"/>
              </w:rPr>
              <w:t>2.</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6</w:t>
            </w:r>
            <w:r>
              <w:rPr>
                <w:b w:val="0"/>
              </w:rPr>
              <w:fldChar w:fldCharType="end"/>
            </w:r>
            <w:bookmarkEnd w:id="11"/>
            <w:r>
              <w:tab/>
              <w:t>Effective rate of combined assistance by industry grouping, 2009</w:t>
            </w:r>
            <w:r>
              <w:noBreakHyphen/>
              <w:t>10 to 2014</w:t>
            </w:r>
            <w:r>
              <w:noBreakHyphen/>
              <w:t>15</w:t>
            </w:r>
            <w:r w:rsidRPr="0096472F">
              <w:rPr>
                <w:rStyle w:val="NoteLabel"/>
                <w:rFonts w:ascii="Arial Bold" w:hAnsi="Arial Bold"/>
                <w:b/>
                <w:position w:val="10"/>
              </w:rPr>
              <w:t>a</w:t>
            </w:r>
          </w:p>
          <w:p w:rsidR="007544CA" w:rsidRPr="00784A05" w:rsidRDefault="007544CA" w:rsidP="00133508">
            <w:pPr>
              <w:pStyle w:val="Subtitle"/>
            </w:pPr>
            <w:r>
              <w:t>per cent</w:t>
            </w:r>
          </w:p>
        </w:tc>
      </w:tr>
      <w:tr w:rsidR="007544CA" w:rsidTr="00133508">
        <w:trPr>
          <w:cantSplit/>
        </w:trPr>
        <w:tc>
          <w:tcPr>
            <w:tcW w:w="8771" w:type="dxa"/>
            <w:tcBorders>
              <w:top w:val="nil"/>
              <w:left w:val="nil"/>
              <w:bottom w:val="nil"/>
              <w:right w:val="nil"/>
            </w:tcBorders>
            <w:shd w:val="clear" w:color="auto" w:fill="auto"/>
          </w:tcPr>
          <w:tbl>
            <w:tblPr>
              <w:tblW w:w="8505" w:type="dxa"/>
              <w:tblLayout w:type="fixed"/>
              <w:tblCellMar>
                <w:top w:w="28" w:type="dxa"/>
                <w:left w:w="0" w:type="dxa"/>
                <w:right w:w="0" w:type="dxa"/>
              </w:tblCellMar>
              <w:tblLook w:val="0000" w:firstRow="0" w:lastRow="0" w:firstColumn="0" w:lastColumn="0" w:noHBand="0" w:noVBand="0"/>
            </w:tblPr>
            <w:tblGrid>
              <w:gridCol w:w="2721"/>
              <w:gridCol w:w="964"/>
              <w:gridCol w:w="964"/>
              <w:gridCol w:w="964"/>
              <w:gridCol w:w="964"/>
              <w:gridCol w:w="964"/>
              <w:gridCol w:w="964"/>
            </w:tblGrid>
            <w:tr w:rsidR="007544CA" w:rsidTr="00133508">
              <w:tc>
                <w:tcPr>
                  <w:tcW w:w="2721"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p>
              </w:tc>
              <w:tc>
                <w:tcPr>
                  <w:tcW w:w="964" w:type="dxa"/>
                  <w:tcBorders>
                    <w:top w:val="single" w:sz="6" w:space="0" w:color="BFBFBF"/>
                    <w:bottom w:val="single" w:sz="6" w:space="0" w:color="BFBFBF"/>
                  </w:tcBorders>
                </w:tcPr>
                <w:p w:rsidR="007544CA" w:rsidRDefault="007544CA" w:rsidP="00133508">
                  <w:pPr>
                    <w:pStyle w:val="TableColumnHeading"/>
                  </w:pPr>
                  <w:r>
                    <w:t>2009</w:t>
                  </w:r>
                  <w:r>
                    <w:noBreakHyphen/>
                    <w:t>10</w:t>
                  </w:r>
                </w:p>
              </w:tc>
              <w:tc>
                <w:tcPr>
                  <w:tcW w:w="964" w:type="dxa"/>
                  <w:tcBorders>
                    <w:top w:val="single" w:sz="6" w:space="0" w:color="BFBFBF"/>
                    <w:bottom w:val="single" w:sz="6" w:space="0" w:color="BFBFBF"/>
                  </w:tcBorders>
                </w:tcPr>
                <w:p w:rsidR="007544CA" w:rsidRDefault="007544CA" w:rsidP="00133508">
                  <w:pPr>
                    <w:pStyle w:val="TableColumnHeading"/>
                  </w:pPr>
                  <w:r>
                    <w:t>2010</w:t>
                  </w:r>
                  <w:r>
                    <w:noBreakHyphen/>
                    <w:t>11</w:t>
                  </w:r>
                </w:p>
              </w:tc>
              <w:tc>
                <w:tcPr>
                  <w:tcW w:w="964" w:type="dxa"/>
                  <w:tcBorders>
                    <w:top w:val="single" w:sz="6" w:space="0" w:color="BFBFBF"/>
                    <w:bottom w:val="single" w:sz="6" w:space="0" w:color="BFBFBF"/>
                  </w:tcBorders>
                </w:tcPr>
                <w:p w:rsidR="007544CA" w:rsidRDefault="007544CA" w:rsidP="00133508">
                  <w:pPr>
                    <w:pStyle w:val="TableColumnHeading"/>
                  </w:pPr>
                  <w:r>
                    <w:t>2011</w:t>
                  </w:r>
                  <w:r>
                    <w:noBreakHyphen/>
                    <w:t>12</w:t>
                  </w:r>
                </w:p>
              </w:tc>
              <w:tc>
                <w:tcPr>
                  <w:tcW w:w="964" w:type="dxa"/>
                  <w:tcBorders>
                    <w:top w:val="single" w:sz="6" w:space="0" w:color="BFBFBF"/>
                    <w:bottom w:val="single" w:sz="6" w:space="0" w:color="BFBFBF"/>
                  </w:tcBorders>
                </w:tcPr>
                <w:p w:rsidR="007544CA" w:rsidRDefault="007544CA" w:rsidP="00133508">
                  <w:pPr>
                    <w:pStyle w:val="TableColumnHeading"/>
                  </w:pPr>
                  <w:r>
                    <w:t>2012</w:t>
                  </w:r>
                  <w:r>
                    <w:noBreakHyphen/>
                    <w:t>13</w:t>
                  </w:r>
                </w:p>
              </w:tc>
              <w:tc>
                <w:tcPr>
                  <w:tcW w:w="964"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pPr>
                  <w:r>
                    <w:t>2013</w:t>
                  </w:r>
                  <w:r>
                    <w:noBreakHyphen/>
                    <w:t>14</w:t>
                  </w:r>
                </w:p>
              </w:tc>
              <w:tc>
                <w:tcPr>
                  <w:tcW w:w="964"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pPr>
                  <w:r>
                    <w:t>2014</w:t>
                  </w:r>
                  <w:r>
                    <w:noBreakHyphen/>
                    <w:t>15</w:t>
                  </w:r>
                </w:p>
              </w:tc>
            </w:tr>
            <w:tr w:rsidR="007544CA" w:rsidRPr="00B06AE1" w:rsidTr="00133508">
              <w:tc>
                <w:tcPr>
                  <w:tcW w:w="2721" w:type="dxa"/>
                </w:tcPr>
                <w:p w:rsidR="007544CA" w:rsidRPr="00B06AE1" w:rsidRDefault="007544CA" w:rsidP="00133508">
                  <w:pPr>
                    <w:pStyle w:val="TableBodyText"/>
                    <w:spacing w:before="40"/>
                    <w:jc w:val="left"/>
                    <w:rPr>
                      <w:b/>
                    </w:rPr>
                  </w:pPr>
                  <w:r w:rsidRPr="00B06AE1">
                    <w:rPr>
                      <w:b/>
                    </w:rPr>
                    <w:t>Primary production</w:t>
                  </w:r>
                  <w:r w:rsidRPr="00B06AE1">
                    <w:rPr>
                      <w:rStyle w:val="NoteLabel"/>
                    </w:rPr>
                    <w:t>b</w:t>
                  </w:r>
                </w:p>
              </w:tc>
              <w:tc>
                <w:tcPr>
                  <w:tcW w:w="964" w:type="dxa"/>
                  <w:vAlign w:val="center"/>
                </w:tcPr>
                <w:p w:rsidR="007544CA" w:rsidRPr="00B06AE1" w:rsidRDefault="007544CA" w:rsidP="00133508">
                  <w:pPr>
                    <w:pStyle w:val="TableBodyText"/>
                    <w:rPr>
                      <w:b/>
                    </w:rPr>
                  </w:pPr>
                  <w:r w:rsidRPr="00B06AE1">
                    <w:rPr>
                      <w:b/>
                    </w:rPr>
                    <w:t>4.8</w:t>
                  </w:r>
                </w:p>
              </w:tc>
              <w:tc>
                <w:tcPr>
                  <w:tcW w:w="964" w:type="dxa"/>
                  <w:vAlign w:val="center"/>
                </w:tcPr>
                <w:p w:rsidR="007544CA" w:rsidRPr="00B06AE1" w:rsidRDefault="007544CA" w:rsidP="00133508">
                  <w:pPr>
                    <w:pStyle w:val="TableBodyText"/>
                    <w:rPr>
                      <w:b/>
                    </w:rPr>
                  </w:pPr>
                  <w:r w:rsidRPr="00B06AE1">
                    <w:rPr>
                      <w:b/>
                    </w:rPr>
                    <w:t>3.6</w:t>
                  </w:r>
                </w:p>
              </w:tc>
              <w:tc>
                <w:tcPr>
                  <w:tcW w:w="964" w:type="dxa"/>
                  <w:vAlign w:val="center"/>
                </w:tcPr>
                <w:p w:rsidR="007544CA" w:rsidRPr="00B06AE1" w:rsidRDefault="007544CA" w:rsidP="00133508">
                  <w:pPr>
                    <w:pStyle w:val="TableBodyText"/>
                    <w:rPr>
                      <w:b/>
                    </w:rPr>
                  </w:pPr>
                  <w:r w:rsidRPr="00B06AE1">
                    <w:rPr>
                      <w:b/>
                    </w:rPr>
                    <w:t>3.5</w:t>
                  </w:r>
                </w:p>
              </w:tc>
              <w:tc>
                <w:tcPr>
                  <w:tcW w:w="964" w:type="dxa"/>
                  <w:vAlign w:val="center"/>
                </w:tcPr>
                <w:p w:rsidR="007544CA" w:rsidRPr="00B06AE1" w:rsidRDefault="007544CA" w:rsidP="00133508">
                  <w:pPr>
                    <w:pStyle w:val="TableBodyText"/>
                    <w:rPr>
                      <w:b/>
                    </w:rPr>
                  </w:pPr>
                  <w:r w:rsidRPr="00B06AE1">
                    <w:rPr>
                      <w:b/>
                    </w:rPr>
                    <w:t>2.8</w:t>
                  </w:r>
                </w:p>
              </w:tc>
              <w:tc>
                <w:tcPr>
                  <w:tcW w:w="964" w:type="dxa"/>
                  <w:vAlign w:val="center"/>
                </w:tcPr>
                <w:p w:rsidR="007544CA" w:rsidRPr="00B06AE1" w:rsidRDefault="007544CA" w:rsidP="00133508">
                  <w:pPr>
                    <w:pStyle w:val="TableBodyText"/>
                    <w:rPr>
                      <w:b/>
                    </w:rPr>
                  </w:pPr>
                  <w:r w:rsidRPr="00B06AE1">
                    <w:rPr>
                      <w:b/>
                    </w:rPr>
                    <w:t>2.6</w:t>
                  </w:r>
                </w:p>
              </w:tc>
              <w:tc>
                <w:tcPr>
                  <w:tcW w:w="964" w:type="dxa"/>
                  <w:vAlign w:val="center"/>
                </w:tcPr>
                <w:p w:rsidR="007544CA" w:rsidRPr="00B06AE1" w:rsidRDefault="007544CA" w:rsidP="00133508">
                  <w:pPr>
                    <w:pStyle w:val="TableBodyText"/>
                    <w:rPr>
                      <w:b/>
                    </w:rPr>
                  </w:pPr>
                  <w:r w:rsidRPr="00B06AE1">
                    <w:rPr>
                      <w:b/>
                    </w:rPr>
                    <w:t>2.5</w:t>
                  </w:r>
                </w:p>
              </w:tc>
            </w:tr>
            <w:tr w:rsidR="007544CA" w:rsidTr="00133508">
              <w:tc>
                <w:tcPr>
                  <w:tcW w:w="2721" w:type="dxa"/>
                </w:tcPr>
                <w:p w:rsidR="007544CA" w:rsidRPr="00284C93" w:rsidRDefault="007544CA" w:rsidP="00133508">
                  <w:pPr>
                    <w:pStyle w:val="TableBodyText"/>
                    <w:jc w:val="left"/>
                  </w:pPr>
                  <w:r w:rsidRPr="00284C93">
                    <w:t>Horticulture and fruit growing</w:t>
                  </w:r>
                </w:p>
              </w:tc>
              <w:tc>
                <w:tcPr>
                  <w:tcW w:w="964" w:type="dxa"/>
                  <w:vAlign w:val="center"/>
                </w:tcPr>
                <w:p w:rsidR="007544CA" w:rsidRDefault="007544CA" w:rsidP="00133508">
                  <w:pPr>
                    <w:pStyle w:val="TableBodyText"/>
                  </w:pPr>
                  <w:r>
                    <w:t>3.5</w:t>
                  </w:r>
                </w:p>
              </w:tc>
              <w:tc>
                <w:tcPr>
                  <w:tcW w:w="964" w:type="dxa"/>
                  <w:vAlign w:val="center"/>
                </w:tcPr>
                <w:p w:rsidR="007544CA" w:rsidRDefault="007544CA" w:rsidP="00133508">
                  <w:pPr>
                    <w:pStyle w:val="TableBodyText"/>
                  </w:pPr>
                  <w:r>
                    <w:t>3.2</w:t>
                  </w:r>
                </w:p>
              </w:tc>
              <w:tc>
                <w:tcPr>
                  <w:tcW w:w="964" w:type="dxa"/>
                  <w:vAlign w:val="center"/>
                </w:tcPr>
                <w:p w:rsidR="007544CA" w:rsidRDefault="007544CA" w:rsidP="00133508">
                  <w:pPr>
                    <w:pStyle w:val="TableBodyText"/>
                  </w:pPr>
                  <w:r>
                    <w:t>3.1</w:t>
                  </w:r>
                </w:p>
              </w:tc>
              <w:tc>
                <w:tcPr>
                  <w:tcW w:w="964" w:type="dxa"/>
                  <w:vAlign w:val="center"/>
                </w:tcPr>
                <w:p w:rsidR="007544CA" w:rsidRDefault="007544CA" w:rsidP="00133508">
                  <w:pPr>
                    <w:pStyle w:val="TableBodyText"/>
                  </w:pPr>
                  <w:r>
                    <w:t>3.1</w:t>
                  </w:r>
                </w:p>
              </w:tc>
              <w:tc>
                <w:tcPr>
                  <w:tcW w:w="964" w:type="dxa"/>
                  <w:vAlign w:val="center"/>
                </w:tcPr>
                <w:p w:rsidR="007544CA" w:rsidRDefault="007544CA" w:rsidP="00133508">
                  <w:pPr>
                    <w:pStyle w:val="TableBodyText"/>
                  </w:pPr>
                  <w:r>
                    <w:t>3.1</w:t>
                  </w:r>
                </w:p>
              </w:tc>
              <w:tc>
                <w:tcPr>
                  <w:tcW w:w="964" w:type="dxa"/>
                  <w:vAlign w:val="center"/>
                </w:tcPr>
                <w:p w:rsidR="007544CA" w:rsidRDefault="007544CA" w:rsidP="00133508">
                  <w:pPr>
                    <w:pStyle w:val="TableBodyText"/>
                  </w:pPr>
                  <w:r>
                    <w:t>3.1</w:t>
                  </w:r>
                </w:p>
              </w:tc>
            </w:tr>
            <w:tr w:rsidR="007544CA" w:rsidTr="00133508">
              <w:tc>
                <w:tcPr>
                  <w:tcW w:w="2721" w:type="dxa"/>
                </w:tcPr>
                <w:p w:rsidR="007544CA" w:rsidRPr="00284C93" w:rsidRDefault="007544CA" w:rsidP="00133508">
                  <w:pPr>
                    <w:pStyle w:val="TableBodyText"/>
                    <w:jc w:val="left"/>
                  </w:pPr>
                  <w:r w:rsidRPr="00284C93">
                    <w:t>Sheep, cattle and grain farming</w:t>
                  </w:r>
                </w:p>
              </w:tc>
              <w:tc>
                <w:tcPr>
                  <w:tcW w:w="964" w:type="dxa"/>
                  <w:vAlign w:val="center"/>
                </w:tcPr>
                <w:p w:rsidR="007544CA" w:rsidRDefault="007544CA" w:rsidP="00133508">
                  <w:pPr>
                    <w:pStyle w:val="TableBodyText"/>
                  </w:pPr>
                  <w:r>
                    <w:t>6.5</w:t>
                  </w:r>
                </w:p>
              </w:tc>
              <w:tc>
                <w:tcPr>
                  <w:tcW w:w="964" w:type="dxa"/>
                  <w:vAlign w:val="center"/>
                </w:tcPr>
                <w:p w:rsidR="007544CA" w:rsidRDefault="007544CA" w:rsidP="00133508">
                  <w:pPr>
                    <w:pStyle w:val="TableBodyText"/>
                  </w:pPr>
                  <w:r>
                    <w:t>4.4</w:t>
                  </w:r>
                </w:p>
              </w:tc>
              <w:tc>
                <w:tcPr>
                  <w:tcW w:w="964" w:type="dxa"/>
                  <w:vAlign w:val="center"/>
                </w:tcPr>
                <w:p w:rsidR="007544CA" w:rsidRDefault="007544CA" w:rsidP="00133508">
                  <w:pPr>
                    <w:pStyle w:val="TableBodyText"/>
                  </w:pPr>
                  <w:r>
                    <w:t>3.4</w:t>
                  </w:r>
                </w:p>
              </w:tc>
              <w:tc>
                <w:tcPr>
                  <w:tcW w:w="964" w:type="dxa"/>
                  <w:vAlign w:val="center"/>
                </w:tcPr>
                <w:p w:rsidR="007544CA" w:rsidRDefault="007544CA" w:rsidP="00133508">
                  <w:pPr>
                    <w:pStyle w:val="TableBodyText"/>
                  </w:pPr>
                  <w:r>
                    <w:t>2.4</w:t>
                  </w:r>
                </w:p>
              </w:tc>
              <w:tc>
                <w:tcPr>
                  <w:tcW w:w="964" w:type="dxa"/>
                  <w:vAlign w:val="center"/>
                </w:tcPr>
                <w:p w:rsidR="007544CA" w:rsidRDefault="007544CA" w:rsidP="00133508">
                  <w:pPr>
                    <w:pStyle w:val="TableBodyText"/>
                  </w:pPr>
                  <w:r>
                    <w:t>2.4</w:t>
                  </w:r>
                </w:p>
              </w:tc>
              <w:tc>
                <w:tcPr>
                  <w:tcW w:w="964" w:type="dxa"/>
                  <w:vAlign w:val="center"/>
                </w:tcPr>
                <w:p w:rsidR="007544CA" w:rsidRDefault="007544CA" w:rsidP="00133508">
                  <w:pPr>
                    <w:pStyle w:val="TableBodyText"/>
                  </w:pPr>
                  <w:r>
                    <w:t>2.3</w:t>
                  </w:r>
                </w:p>
              </w:tc>
            </w:tr>
            <w:tr w:rsidR="007544CA" w:rsidTr="00133508">
              <w:tc>
                <w:tcPr>
                  <w:tcW w:w="2721" w:type="dxa"/>
                </w:tcPr>
                <w:p w:rsidR="007544CA" w:rsidRPr="00284C93" w:rsidRDefault="007544CA" w:rsidP="00133508">
                  <w:pPr>
                    <w:pStyle w:val="TableBodyText"/>
                    <w:jc w:val="left"/>
                  </w:pPr>
                  <w:r w:rsidRPr="00284C93">
                    <w:t>Other crop growing</w:t>
                  </w:r>
                </w:p>
              </w:tc>
              <w:tc>
                <w:tcPr>
                  <w:tcW w:w="964" w:type="dxa"/>
                  <w:vAlign w:val="center"/>
                </w:tcPr>
                <w:p w:rsidR="007544CA" w:rsidRDefault="007544CA" w:rsidP="00133508">
                  <w:pPr>
                    <w:pStyle w:val="TableBodyText"/>
                  </w:pPr>
                  <w:r>
                    <w:t>2.2</w:t>
                  </w:r>
                </w:p>
              </w:tc>
              <w:tc>
                <w:tcPr>
                  <w:tcW w:w="964" w:type="dxa"/>
                  <w:vAlign w:val="center"/>
                </w:tcPr>
                <w:p w:rsidR="007544CA" w:rsidRDefault="007544CA" w:rsidP="00133508">
                  <w:pPr>
                    <w:pStyle w:val="TableBodyText"/>
                  </w:pPr>
                  <w:r>
                    <w:t>0.9</w:t>
                  </w:r>
                </w:p>
              </w:tc>
              <w:tc>
                <w:tcPr>
                  <w:tcW w:w="964" w:type="dxa"/>
                  <w:vAlign w:val="center"/>
                </w:tcPr>
                <w:p w:rsidR="007544CA" w:rsidRDefault="007544CA" w:rsidP="00133508">
                  <w:pPr>
                    <w:pStyle w:val="TableBodyText"/>
                  </w:pPr>
                  <w:r>
                    <w:t>1.9</w:t>
                  </w:r>
                </w:p>
              </w:tc>
              <w:tc>
                <w:tcPr>
                  <w:tcW w:w="964" w:type="dxa"/>
                  <w:vAlign w:val="center"/>
                </w:tcPr>
                <w:p w:rsidR="007544CA" w:rsidRDefault="007544CA" w:rsidP="00133508">
                  <w:pPr>
                    <w:pStyle w:val="TableBodyText"/>
                  </w:pPr>
                  <w:r>
                    <w:t>1.7</w:t>
                  </w:r>
                </w:p>
              </w:tc>
              <w:tc>
                <w:tcPr>
                  <w:tcW w:w="964" w:type="dxa"/>
                  <w:vAlign w:val="center"/>
                </w:tcPr>
                <w:p w:rsidR="007544CA" w:rsidRDefault="007544CA" w:rsidP="00133508">
                  <w:pPr>
                    <w:pStyle w:val="TableBodyText"/>
                  </w:pPr>
                  <w:r>
                    <w:t>1.5</w:t>
                  </w:r>
                </w:p>
              </w:tc>
              <w:tc>
                <w:tcPr>
                  <w:tcW w:w="964" w:type="dxa"/>
                  <w:vAlign w:val="center"/>
                </w:tcPr>
                <w:p w:rsidR="007544CA" w:rsidRDefault="007544CA" w:rsidP="00133508">
                  <w:pPr>
                    <w:pStyle w:val="TableBodyText"/>
                  </w:pPr>
                  <w:r>
                    <w:t>1.4</w:t>
                  </w:r>
                </w:p>
              </w:tc>
            </w:tr>
            <w:tr w:rsidR="007544CA" w:rsidTr="00133508">
              <w:tc>
                <w:tcPr>
                  <w:tcW w:w="2721" w:type="dxa"/>
                </w:tcPr>
                <w:p w:rsidR="007544CA" w:rsidRPr="00284C93" w:rsidRDefault="007544CA" w:rsidP="00133508">
                  <w:pPr>
                    <w:pStyle w:val="TableBodyText"/>
                    <w:jc w:val="left"/>
                  </w:pPr>
                  <w:r w:rsidRPr="00284C93">
                    <w:t>Dairy cattle farming</w:t>
                  </w:r>
                </w:p>
              </w:tc>
              <w:tc>
                <w:tcPr>
                  <w:tcW w:w="964" w:type="dxa"/>
                  <w:vAlign w:val="center"/>
                </w:tcPr>
                <w:p w:rsidR="007544CA" w:rsidRDefault="007544CA" w:rsidP="00133508">
                  <w:pPr>
                    <w:pStyle w:val="TableBodyText"/>
                  </w:pPr>
                  <w:r>
                    <w:t>6.5</w:t>
                  </w:r>
                </w:p>
              </w:tc>
              <w:tc>
                <w:tcPr>
                  <w:tcW w:w="964" w:type="dxa"/>
                  <w:vAlign w:val="center"/>
                </w:tcPr>
                <w:p w:rsidR="007544CA" w:rsidRDefault="007544CA" w:rsidP="00133508">
                  <w:pPr>
                    <w:pStyle w:val="TableBodyText"/>
                  </w:pPr>
                  <w:r>
                    <w:t>4.0</w:t>
                  </w:r>
                </w:p>
              </w:tc>
              <w:tc>
                <w:tcPr>
                  <w:tcW w:w="964" w:type="dxa"/>
                  <w:vAlign w:val="center"/>
                </w:tcPr>
                <w:p w:rsidR="007544CA" w:rsidRDefault="007544CA" w:rsidP="00133508">
                  <w:pPr>
                    <w:pStyle w:val="TableBodyText"/>
                  </w:pPr>
                  <w:r>
                    <w:t>3.0</w:t>
                  </w:r>
                </w:p>
              </w:tc>
              <w:tc>
                <w:tcPr>
                  <w:tcW w:w="964" w:type="dxa"/>
                  <w:vAlign w:val="center"/>
                </w:tcPr>
                <w:p w:rsidR="007544CA" w:rsidRDefault="007544CA" w:rsidP="00133508">
                  <w:pPr>
                    <w:pStyle w:val="TableBodyText"/>
                  </w:pPr>
                  <w:r>
                    <w:t>1.7</w:t>
                  </w:r>
                </w:p>
              </w:tc>
              <w:tc>
                <w:tcPr>
                  <w:tcW w:w="964" w:type="dxa"/>
                  <w:vAlign w:val="center"/>
                </w:tcPr>
                <w:p w:rsidR="007544CA" w:rsidRDefault="007544CA" w:rsidP="00133508">
                  <w:pPr>
                    <w:pStyle w:val="TableBodyText"/>
                  </w:pPr>
                  <w:r>
                    <w:t>1.6</w:t>
                  </w:r>
                </w:p>
              </w:tc>
              <w:tc>
                <w:tcPr>
                  <w:tcW w:w="964" w:type="dxa"/>
                  <w:vAlign w:val="center"/>
                </w:tcPr>
                <w:p w:rsidR="007544CA" w:rsidRDefault="007544CA" w:rsidP="00133508">
                  <w:pPr>
                    <w:pStyle w:val="TableBodyText"/>
                  </w:pPr>
                  <w:r>
                    <w:t>1.5</w:t>
                  </w:r>
                </w:p>
              </w:tc>
            </w:tr>
            <w:tr w:rsidR="007544CA" w:rsidTr="00133508">
              <w:tc>
                <w:tcPr>
                  <w:tcW w:w="2721" w:type="dxa"/>
                </w:tcPr>
                <w:p w:rsidR="007544CA" w:rsidRPr="00284C93" w:rsidRDefault="007544CA" w:rsidP="00133508">
                  <w:pPr>
                    <w:pStyle w:val="TableBodyText"/>
                    <w:jc w:val="left"/>
                  </w:pPr>
                  <w:r w:rsidRPr="00284C93">
                    <w:t>Other livestock farming</w:t>
                  </w:r>
                </w:p>
              </w:tc>
              <w:tc>
                <w:tcPr>
                  <w:tcW w:w="964" w:type="dxa"/>
                  <w:vAlign w:val="center"/>
                </w:tcPr>
                <w:p w:rsidR="007544CA" w:rsidRDefault="007544CA" w:rsidP="00133508">
                  <w:pPr>
                    <w:pStyle w:val="TableBodyText"/>
                  </w:pPr>
                  <w:r>
                    <w:t>1.3</w:t>
                  </w:r>
                </w:p>
              </w:tc>
              <w:tc>
                <w:tcPr>
                  <w:tcW w:w="964" w:type="dxa"/>
                  <w:vAlign w:val="center"/>
                </w:tcPr>
                <w:p w:rsidR="007544CA" w:rsidRDefault="007544CA" w:rsidP="00133508">
                  <w:pPr>
                    <w:pStyle w:val="TableBodyText"/>
                  </w:pPr>
                  <w:r>
                    <w:t>1.1</w:t>
                  </w:r>
                </w:p>
              </w:tc>
              <w:tc>
                <w:tcPr>
                  <w:tcW w:w="964" w:type="dxa"/>
                  <w:vAlign w:val="center"/>
                </w:tcPr>
                <w:p w:rsidR="007544CA" w:rsidRDefault="007544CA" w:rsidP="00133508">
                  <w:pPr>
                    <w:pStyle w:val="TableBodyText"/>
                  </w:pPr>
                  <w:r>
                    <w:t>1.7</w:t>
                  </w:r>
                </w:p>
              </w:tc>
              <w:tc>
                <w:tcPr>
                  <w:tcW w:w="964" w:type="dxa"/>
                  <w:vAlign w:val="center"/>
                </w:tcPr>
                <w:p w:rsidR="007544CA" w:rsidRDefault="007544CA" w:rsidP="00133508">
                  <w:pPr>
                    <w:pStyle w:val="TableBodyText"/>
                  </w:pPr>
                  <w:r>
                    <w:t>1.1</w:t>
                  </w:r>
                </w:p>
              </w:tc>
              <w:tc>
                <w:tcPr>
                  <w:tcW w:w="964" w:type="dxa"/>
                  <w:vAlign w:val="center"/>
                </w:tcPr>
                <w:p w:rsidR="007544CA" w:rsidRDefault="007544CA" w:rsidP="00133508">
                  <w:pPr>
                    <w:pStyle w:val="TableBodyText"/>
                  </w:pPr>
                  <w:r>
                    <w:t>0.8</w:t>
                  </w:r>
                </w:p>
              </w:tc>
              <w:tc>
                <w:tcPr>
                  <w:tcW w:w="964" w:type="dxa"/>
                  <w:vAlign w:val="center"/>
                </w:tcPr>
                <w:p w:rsidR="007544CA" w:rsidRDefault="007544CA" w:rsidP="00133508">
                  <w:pPr>
                    <w:pStyle w:val="TableBodyText"/>
                  </w:pPr>
                  <w:r>
                    <w:t>0.9</w:t>
                  </w:r>
                </w:p>
              </w:tc>
            </w:tr>
            <w:tr w:rsidR="007544CA" w:rsidTr="00133508">
              <w:tc>
                <w:tcPr>
                  <w:tcW w:w="2721" w:type="dxa"/>
                </w:tcPr>
                <w:p w:rsidR="007544CA" w:rsidRPr="00284C93" w:rsidRDefault="007544CA" w:rsidP="00133508">
                  <w:pPr>
                    <w:pStyle w:val="TableBodyText"/>
                    <w:jc w:val="left"/>
                  </w:pPr>
                  <w:r w:rsidRPr="00284C93">
                    <w:t>Aquaculture and fishing</w:t>
                  </w:r>
                </w:p>
              </w:tc>
              <w:tc>
                <w:tcPr>
                  <w:tcW w:w="964" w:type="dxa"/>
                  <w:vAlign w:val="center"/>
                </w:tcPr>
                <w:p w:rsidR="007544CA" w:rsidRDefault="007544CA" w:rsidP="00133508">
                  <w:pPr>
                    <w:pStyle w:val="TableBodyText"/>
                  </w:pPr>
                  <w:r>
                    <w:t>4.5</w:t>
                  </w:r>
                </w:p>
              </w:tc>
              <w:tc>
                <w:tcPr>
                  <w:tcW w:w="964" w:type="dxa"/>
                  <w:vAlign w:val="center"/>
                </w:tcPr>
                <w:p w:rsidR="007544CA" w:rsidRDefault="007544CA" w:rsidP="00133508">
                  <w:pPr>
                    <w:pStyle w:val="TableBodyText"/>
                  </w:pPr>
                  <w:r>
                    <w:t>3.5</w:t>
                  </w:r>
                </w:p>
              </w:tc>
              <w:tc>
                <w:tcPr>
                  <w:tcW w:w="964" w:type="dxa"/>
                  <w:vAlign w:val="center"/>
                </w:tcPr>
                <w:p w:rsidR="007544CA" w:rsidRDefault="007544CA" w:rsidP="00133508">
                  <w:pPr>
                    <w:pStyle w:val="TableBodyText"/>
                  </w:pPr>
                  <w:r>
                    <w:t>2.7</w:t>
                  </w:r>
                </w:p>
              </w:tc>
              <w:tc>
                <w:tcPr>
                  <w:tcW w:w="964" w:type="dxa"/>
                  <w:vAlign w:val="center"/>
                </w:tcPr>
                <w:p w:rsidR="007544CA" w:rsidRDefault="007544CA" w:rsidP="00133508">
                  <w:pPr>
                    <w:pStyle w:val="TableBodyText"/>
                  </w:pPr>
                  <w:r>
                    <w:t>1.8</w:t>
                  </w:r>
                </w:p>
              </w:tc>
              <w:tc>
                <w:tcPr>
                  <w:tcW w:w="964" w:type="dxa"/>
                  <w:vAlign w:val="center"/>
                </w:tcPr>
                <w:p w:rsidR="007544CA" w:rsidRDefault="007544CA" w:rsidP="00133508">
                  <w:pPr>
                    <w:pStyle w:val="TableBodyText"/>
                  </w:pPr>
                  <w:r>
                    <w:t>1.9</w:t>
                  </w:r>
                </w:p>
              </w:tc>
              <w:tc>
                <w:tcPr>
                  <w:tcW w:w="964" w:type="dxa"/>
                  <w:vAlign w:val="center"/>
                </w:tcPr>
                <w:p w:rsidR="007544CA" w:rsidRDefault="007544CA" w:rsidP="00133508">
                  <w:pPr>
                    <w:pStyle w:val="TableBodyText"/>
                  </w:pPr>
                  <w:r>
                    <w:t>1.9</w:t>
                  </w:r>
                </w:p>
              </w:tc>
            </w:tr>
            <w:tr w:rsidR="007544CA" w:rsidTr="00133508">
              <w:tc>
                <w:tcPr>
                  <w:tcW w:w="2721" w:type="dxa"/>
                </w:tcPr>
                <w:p w:rsidR="007544CA" w:rsidRPr="00284C93" w:rsidRDefault="007544CA" w:rsidP="00133508">
                  <w:pPr>
                    <w:pStyle w:val="TableBodyText"/>
                    <w:jc w:val="left"/>
                  </w:pPr>
                  <w:r w:rsidRPr="00284C93">
                    <w:t>Forestry and logging</w:t>
                  </w:r>
                </w:p>
              </w:tc>
              <w:tc>
                <w:tcPr>
                  <w:tcW w:w="964" w:type="dxa"/>
                  <w:vAlign w:val="center"/>
                </w:tcPr>
                <w:p w:rsidR="007544CA" w:rsidRDefault="007544CA" w:rsidP="00133508">
                  <w:pPr>
                    <w:pStyle w:val="TableBodyText"/>
                  </w:pPr>
                  <w:r>
                    <w:t>4.7</w:t>
                  </w:r>
                </w:p>
              </w:tc>
              <w:tc>
                <w:tcPr>
                  <w:tcW w:w="964" w:type="dxa"/>
                  <w:vAlign w:val="center"/>
                </w:tcPr>
                <w:p w:rsidR="007544CA" w:rsidRDefault="007544CA" w:rsidP="00133508">
                  <w:pPr>
                    <w:pStyle w:val="TableBodyText"/>
                  </w:pPr>
                  <w:r>
                    <w:t>5.1</w:t>
                  </w:r>
                </w:p>
              </w:tc>
              <w:tc>
                <w:tcPr>
                  <w:tcW w:w="964" w:type="dxa"/>
                  <w:vAlign w:val="center"/>
                </w:tcPr>
                <w:p w:rsidR="007544CA" w:rsidRDefault="007544CA" w:rsidP="00133508">
                  <w:pPr>
                    <w:pStyle w:val="TableBodyText"/>
                  </w:pPr>
                  <w:r>
                    <w:t>6.3</w:t>
                  </w:r>
                </w:p>
              </w:tc>
              <w:tc>
                <w:tcPr>
                  <w:tcW w:w="964" w:type="dxa"/>
                  <w:vAlign w:val="center"/>
                </w:tcPr>
                <w:p w:rsidR="007544CA" w:rsidRDefault="007544CA" w:rsidP="00133508">
                  <w:pPr>
                    <w:pStyle w:val="TableBodyText"/>
                  </w:pPr>
                  <w:r>
                    <w:t>5.0</w:t>
                  </w:r>
                </w:p>
              </w:tc>
              <w:tc>
                <w:tcPr>
                  <w:tcW w:w="964" w:type="dxa"/>
                  <w:vAlign w:val="center"/>
                </w:tcPr>
                <w:p w:rsidR="007544CA" w:rsidRDefault="007544CA" w:rsidP="00133508">
                  <w:pPr>
                    <w:pStyle w:val="TableBodyText"/>
                  </w:pPr>
                  <w:r>
                    <w:t>3.9</w:t>
                  </w:r>
                </w:p>
              </w:tc>
              <w:tc>
                <w:tcPr>
                  <w:tcW w:w="964" w:type="dxa"/>
                  <w:vAlign w:val="center"/>
                </w:tcPr>
                <w:p w:rsidR="007544CA" w:rsidRDefault="007544CA" w:rsidP="00133508">
                  <w:pPr>
                    <w:pStyle w:val="TableBodyText"/>
                  </w:pPr>
                  <w:r>
                    <w:t>3.8</w:t>
                  </w:r>
                </w:p>
              </w:tc>
            </w:tr>
            <w:tr w:rsidR="007544CA" w:rsidTr="00133508">
              <w:tc>
                <w:tcPr>
                  <w:tcW w:w="2721" w:type="dxa"/>
                </w:tcPr>
                <w:p w:rsidR="007544CA" w:rsidRPr="00284C93" w:rsidRDefault="007544CA" w:rsidP="00133508">
                  <w:pPr>
                    <w:pStyle w:val="TableBodyText"/>
                    <w:jc w:val="left"/>
                  </w:pPr>
                  <w:r w:rsidRPr="00284C93">
                    <w:t>Primary production services</w:t>
                  </w:r>
                </w:p>
              </w:tc>
              <w:tc>
                <w:tcPr>
                  <w:tcW w:w="964" w:type="dxa"/>
                  <w:vAlign w:val="center"/>
                </w:tcPr>
                <w:p w:rsidR="007544CA" w:rsidRDefault="007544CA" w:rsidP="00133508">
                  <w:pPr>
                    <w:pStyle w:val="TableBodyText"/>
                  </w:pPr>
                  <w:r>
                    <w:t>0.4</w:t>
                  </w:r>
                </w:p>
              </w:tc>
              <w:tc>
                <w:tcPr>
                  <w:tcW w:w="964" w:type="dxa"/>
                  <w:vAlign w:val="center"/>
                </w:tcPr>
                <w:p w:rsidR="007544CA" w:rsidRDefault="007544CA" w:rsidP="00133508">
                  <w:pPr>
                    <w:pStyle w:val="TableBodyText"/>
                  </w:pPr>
                  <w:r>
                    <w:t>0.3</w:t>
                  </w:r>
                </w:p>
              </w:tc>
              <w:tc>
                <w:tcPr>
                  <w:tcW w:w="964" w:type="dxa"/>
                  <w:vAlign w:val="center"/>
                </w:tcPr>
                <w:p w:rsidR="007544CA" w:rsidRDefault="007544CA" w:rsidP="00133508">
                  <w:pPr>
                    <w:pStyle w:val="TableBodyText"/>
                  </w:pPr>
                  <w:r>
                    <w:t>0.1</w:t>
                  </w:r>
                </w:p>
              </w:tc>
              <w:tc>
                <w:tcPr>
                  <w:tcW w:w="964" w:type="dxa"/>
                  <w:vAlign w:val="center"/>
                </w:tcPr>
                <w:p w:rsidR="007544CA" w:rsidRDefault="007544CA" w:rsidP="00133508">
                  <w:pPr>
                    <w:pStyle w:val="TableBodyText"/>
                  </w:pPr>
                  <w:r>
                    <w:t>0.5</w:t>
                  </w:r>
                </w:p>
              </w:tc>
              <w:tc>
                <w:tcPr>
                  <w:tcW w:w="964" w:type="dxa"/>
                  <w:vAlign w:val="center"/>
                </w:tcPr>
                <w:p w:rsidR="007544CA" w:rsidRDefault="007544CA" w:rsidP="00133508">
                  <w:pPr>
                    <w:pStyle w:val="TableBodyText"/>
                  </w:pPr>
                  <w:r>
                    <w:t>0.4</w:t>
                  </w:r>
                </w:p>
              </w:tc>
              <w:tc>
                <w:tcPr>
                  <w:tcW w:w="964" w:type="dxa"/>
                  <w:vAlign w:val="center"/>
                </w:tcPr>
                <w:p w:rsidR="007544CA" w:rsidRDefault="007544CA" w:rsidP="00133508">
                  <w:pPr>
                    <w:pStyle w:val="TableBodyText"/>
                  </w:pPr>
                  <w:r>
                    <w:t>0.3</w:t>
                  </w:r>
                </w:p>
              </w:tc>
            </w:tr>
            <w:tr w:rsidR="007544CA" w:rsidRPr="00B06AE1" w:rsidTr="00133508">
              <w:tc>
                <w:tcPr>
                  <w:tcW w:w="2721" w:type="dxa"/>
                </w:tcPr>
                <w:p w:rsidR="007544CA" w:rsidRPr="00B06AE1" w:rsidRDefault="007544CA" w:rsidP="00133508">
                  <w:pPr>
                    <w:pStyle w:val="TableBodyText"/>
                    <w:jc w:val="left"/>
                    <w:rPr>
                      <w:b/>
                    </w:rPr>
                  </w:pPr>
                  <w:r w:rsidRPr="00B06AE1">
                    <w:rPr>
                      <w:b/>
                    </w:rPr>
                    <w:t>Mining</w:t>
                  </w:r>
                </w:p>
              </w:tc>
              <w:tc>
                <w:tcPr>
                  <w:tcW w:w="964" w:type="dxa"/>
                  <w:vAlign w:val="center"/>
                </w:tcPr>
                <w:p w:rsidR="007544CA" w:rsidRPr="00B06AE1" w:rsidRDefault="007544CA" w:rsidP="00133508">
                  <w:pPr>
                    <w:pStyle w:val="TableBodyText"/>
                    <w:rPr>
                      <w:b/>
                    </w:rPr>
                  </w:pPr>
                  <w:r w:rsidRPr="00B06AE1">
                    <w:rPr>
                      <w:b/>
                    </w:rPr>
                    <w:t>0.3</w:t>
                  </w:r>
                </w:p>
              </w:tc>
              <w:tc>
                <w:tcPr>
                  <w:tcW w:w="964" w:type="dxa"/>
                  <w:vAlign w:val="center"/>
                </w:tcPr>
                <w:p w:rsidR="007544CA" w:rsidRPr="00B06AE1" w:rsidRDefault="007544CA" w:rsidP="00133508">
                  <w:pPr>
                    <w:pStyle w:val="TableBodyText"/>
                    <w:rPr>
                      <w:b/>
                    </w:rPr>
                  </w:pPr>
                  <w:r w:rsidRPr="00B06AE1">
                    <w:rPr>
                      <w:b/>
                    </w:rPr>
                    <w:t>0.6</w:t>
                  </w:r>
                </w:p>
              </w:tc>
              <w:tc>
                <w:tcPr>
                  <w:tcW w:w="964" w:type="dxa"/>
                  <w:vAlign w:val="center"/>
                </w:tcPr>
                <w:p w:rsidR="007544CA" w:rsidRPr="00B06AE1" w:rsidRDefault="007544CA" w:rsidP="00133508">
                  <w:pPr>
                    <w:pStyle w:val="TableBodyText"/>
                    <w:rPr>
                      <w:b/>
                    </w:rPr>
                  </w:pPr>
                  <w:r w:rsidRPr="00B06AE1">
                    <w:rPr>
                      <w:b/>
                    </w:rPr>
                    <w:t>0.3</w:t>
                  </w:r>
                </w:p>
              </w:tc>
              <w:tc>
                <w:tcPr>
                  <w:tcW w:w="964" w:type="dxa"/>
                  <w:vAlign w:val="center"/>
                </w:tcPr>
                <w:p w:rsidR="007544CA" w:rsidRPr="00B06AE1" w:rsidRDefault="007544CA" w:rsidP="00133508">
                  <w:pPr>
                    <w:pStyle w:val="TableBodyText"/>
                    <w:rPr>
                      <w:b/>
                    </w:rPr>
                  </w:pPr>
                  <w:r w:rsidRPr="00B06AE1">
                    <w:rPr>
                      <w:b/>
                    </w:rPr>
                    <w:t>0.2</w:t>
                  </w:r>
                </w:p>
              </w:tc>
              <w:tc>
                <w:tcPr>
                  <w:tcW w:w="964" w:type="dxa"/>
                  <w:vAlign w:val="center"/>
                </w:tcPr>
                <w:p w:rsidR="007544CA" w:rsidRPr="00B06AE1" w:rsidRDefault="007544CA" w:rsidP="00133508">
                  <w:pPr>
                    <w:pStyle w:val="TableBodyText"/>
                    <w:rPr>
                      <w:b/>
                    </w:rPr>
                  </w:pPr>
                  <w:r w:rsidRPr="00B06AE1">
                    <w:rPr>
                      <w:b/>
                    </w:rPr>
                    <w:t>0.1</w:t>
                  </w:r>
                </w:p>
              </w:tc>
              <w:tc>
                <w:tcPr>
                  <w:tcW w:w="964" w:type="dxa"/>
                  <w:vAlign w:val="center"/>
                </w:tcPr>
                <w:p w:rsidR="007544CA" w:rsidRPr="00B06AE1" w:rsidRDefault="007544CA" w:rsidP="00133508">
                  <w:pPr>
                    <w:pStyle w:val="TableBodyText"/>
                    <w:rPr>
                      <w:b/>
                    </w:rPr>
                  </w:pPr>
                  <w:r w:rsidRPr="00B06AE1">
                    <w:rPr>
                      <w:b/>
                    </w:rPr>
                    <w:t>0.1</w:t>
                  </w:r>
                </w:p>
              </w:tc>
            </w:tr>
            <w:tr w:rsidR="007544CA" w:rsidRPr="00B06AE1" w:rsidTr="00133508">
              <w:tc>
                <w:tcPr>
                  <w:tcW w:w="2721" w:type="dxa"/>
                </w:tcPr>
                <w:p w:rsidR="007544CA" w:rsidRPr="00B06AE1" w:rsidRDefault="007544CA" w:rsidP="00133508">
                  <w:pPr>
                    <w:pStyle w:val="TableBodyText"/>
                    <w:jc w:val="left"/>
                    <w:rPr>
                      <w:b/>
                    </w:rPr>
                  </w:pPr>
                  <w:r w:rsidRPr="00B06AE1">
                    <w:rPr>
                      <w:b/>
                    </w:rPr>
                    <w:t>Manufacturing</w:t>
                  </w:r>
                  <w:r w:rsidRPr="00B06AE1">
                    <w:rPr>
                      <w:rStyle w:val="NoteLabel"/>
                    </w:rPr>
                    <w:t>b</w:t>
                  </w:r>
                </w:p>
              </w:tc>
              <w:tc>
                <w:tcPr>
                  <w:tcW w:w="964" w:type="dxa"/>
                  <w:vAlign w:val="center"/>
                </w:tcPr>
                <w:p w:rsidR="007544CA" w:rsidRPr="00B06AE1" w:rsidRDefault="007544CA" w:rsidP="00133508">
                  <w:pPr>
                    <w:pStyle w:val="TableBodyText"/>
                    <w:rPr>
                      <w:b/>
                    </w:rPr>
                  </w:pPr>
                  <w:r w:rsidRPr="00B06AE1">
                    <w:rPr>
                      <w:b/>
                    </w:rPr>
                    <w:t>4.6</w:t>
                  </w:r>
                </w:p>
              </w:tc>
              <w:tc>
                <w:tcPr>
                  <w:tcW w:w="964" w:type="dxa"/>
                  <w:vAlign w:val="center"/>
                </w:tcPr>
                <w:p w:rsidR="007544CA" w:rsidRPr="00B06AE1" w:rsidRDefault="007544CA" w:rsidP="00133508">
                  <w:pPr>
                    <w:pStyle w:val="TableBodyText"/>
                    <w:rPr>
                      <w:b/>
                    </w:rPr>
                  </w:pPr>
                  <w:r w:rsidRPr="00B06AE1">
                    <w:rPr>
                      <w:b/>
                    </w:rPr>
                    <w:t>4.4</w:t>
                  </w:r>
                </w:p>
              </w:tc>
              <w:tc>
                <w:tcPr>
                  <w:tcW w:w="964" w:type="dxa"/>
                  <w:vAlign w:val="center"/>
                </w:tcPr>
                <w:p w:rsidR="007544CA" w:rsidRPr="00B06AE1" w:rsidRDefault="007544CA" w:rsidP="00133508">
                  <w:pPr>
                    <w:pStyle w:val="TableBodyText"/>
                    <w:rPr>
                      <w:b/>
                    </w:rPr>
                  </w:pPr>
                  <w:r w:rsidRPr="00B06AE1">
                    <w:rPr>
                      <w:b/>
                    </w:rPr>
                    <w:t>4.3</w:t>
                  </w:r>
                </w:p>
              </w:tc>
              <w:tc>
                <w:tcPr>
                  <w:tcW w:w="964" w:type="dxa"/>
                  <w:vAlign w:val="center"/>
                </w:tcPr>
                <w:p w:rsidR="007544CA" w:rsidRPr="00B06AE1" w:rsidRDefault="007544CA" w:rsidP="00133508">
                  <w:pPr>
                    <w:pStyle w:val="TableBodyText"/>
                    <w:rPr>
                      <w:b/>
                    </w:rPr>
                  </w:pPr>
                  <w:r w:rsidRPr="00B06AE1">
                    <w:rPr>
                      <w:b/>
                    </w:rPr>
                    <w:t>4.2</w:t>
                  </w:r>
                </w:p>
              </w:tc>
              <w:tc>
                <w:tcPr>
                  <w:tcW w:w="964" w:type="dxa"/>
                  <w:vAlign w:val="center"/>
                </w:tcPr>
                <w:p w:rsidR="007544CA" w:rsidRPr="00B06AE1" w:rsidRDefault="007544CA" w:rsidP="00133508">
                  <w:pPr>
                    <w:pStyle w:val="TableBodyText"/>
                    <w:rPr>
                      <w:b/>
                    </w:rPr>
                  </w:pPr>
                  <w:r w:rsidRPr="00B06AE1">
                    <w:rPr>
                      <w:b/>
                    </w:rPr>
                    <w:t>4.2</w:t>
                  </w:r>
                </w:p>
              </w:tc>
              <w:tc>
                <w:tcPr>
                  <w:tcW w:w="964" w:type="dxa"/>
                  <w:vAlign w:val="center"/>
                </w:tcPr>
                <w:p w:rsidR="007544CA" w:rsidRPr="00B06AE1" w:rsidRDefault="007544CA" w:rsidP="00133508">
                  <w:pPr>
                    <w:pStyle w:val="TableBodyText"/>
                    <w:rPr>
                      <w:b/>
                    </w:rPr>
                  </w:pPr>
                  <w:r w:rsidRPr="00B06AE1">
                    <w:rPr>
                      <w:b/>
                    </w:rPr>
                    <w:t>4.1</w:t>
                  </w:r>
                </w:p>
              </w:tc>
            </w:tr>
            <w:tr w:rsidR="007544CA" w:rsidTr="00133508">
              <w:tc>
                <w:tcPr>
                  <w:tcW w:w="2721" w:type="dxa"/>
                </w:tcPr>
                <w:p w:rsidR="007544CA" w:rsidRPr="00F22AF1" w:rsidRDefault="007544CA" w:rsidP="00133508">
                  <w:pPr>
                    <w:pStyle w:val="TableBodyText"/>
                    <w:jc w:val="left"/>
                  </w:pPr>
                  <w:r w:rsidRPr="00F22AF1">
                    <w:t>Food, beverages and tobacco</w:t>
                  </w:r>
                </w:p>
              </w:tc>
              <w:tc>
                <w:tcPr>
                  <w:tcW w:w="964" w:type="dxa"/>
                  <w:vAlign w:val="center"/>
                </w:tcPr>
                <w:p w:rsidR="007544CA" w:rsidRDefault="007544CA" w:rsidP="00133508">
                  <w:pPr>
                    <w:pStyle w:val="TableBodyText"/>
                  </w:pPr>
                  <w:r>
                    <w:t>3.5</w:t>
                  </w:r>
                </w:p>
              </w:tc>
              <w:tc>
                <w:tcPr>
                  <w:tcW w:w="964" w:type="dxa"/>
                  <w:vAlign w:val="center"/>
                </w:tcPr>
                <w:p w:rsidR="007544CA" w:rsidRDefault="007544CA" w:rsidP="00133508">
                  <w:pPr>
                    <w:pStyle w:val="TableBodyText"/>
                  </w:pPr>
                  <w:r>
                    <w:t>3.6</w:t>
                  </w:r>
                </w:p>
              </w:tc>
              <w:tc>
                <w:tcPr>
                  <w:tcW w:w="964" w:type="dxa"/>
                  <w:vAlign w:val="center"/>
                </w:tcPr>
                <w:p w:rsidR="007544CA" w:rsidRDefault="007544CA" w:rsidP="00133508">
                  <w:pPr>
                    <w:pStyle w:val="TableBodyText"/>
                  </w:pPr>
                  <w:r>
                    <w:t>3.4</w:t>
                  </w:r>
                </w:p>
              </w:tc>
              <w:tc>
                <w:tcPr>
                  <w:tcW w:w="964" w:type="dxa"/>
                  <w:vAlign w:val="center"/>
                </w:tcPr>
                <w:p w:rsidR="007544CA" w:rsidRDefault="007544CA" w:rsidP="00133508">
                  <w:pPr>
                    <w:pStyle w:val="TableBodyText"/>
                  </w:pPr>
                  <w:r>
                    <w:t>3.5</w:t>
                  </w:r>
                </w:p>
              </w:tc>
              <w:tc>
                <w:tcPr>
                  <w:tcW w:w="964" w:type="dxa"/>
                  <w:vAlign w:val="center"/>
                </w:tcPr>
                <w:p w:rsidR="007544CA" w:rsidRDefault="007544CA" w:rsidP="00133508">
                  <w:pPr>
                    <w:pStyle w:val="TableBodyText"/>
                  </w:pPr>
                  <w:r>
                    <w:t>3.6</w:t>
                  </w:r>
                </w:p>
              </w:tc>
              <w:tc>
                <w:tcPr>
                  <w:tcW w:w="964" w:type="dxa"/>
                  <w:vAlign w:val="center"/>
                </w:tcPr>
                <w:p w:rsidR="007544CA" w:rsidRDefault="007544CA" w:rsidP="00133508">
                  <w:pPr>
                    <w:pStyle w:val="TableBodyText"/>
                  </w:pPr>
                  <w:r>
                    <w:t>3.4</w:t>
                  </w:r>
                </w:p>
              </w:tc>
            </w:tr>
            <w:tr w:rsidR="007544CA" w:rsidTr="00133508">
              <w:tc>
                <w:tcPr>
                  <w:tcW w:w="2721" w:type="dxa"/>
                </w:tcPr>
                <w:p w:rsidR="007544CA" w:rsidRPr="00F22AF1" w:rsidRDefault="007544CA" w:rsidP="00133508">
                  <w:pPr>
                    <w:pStyle w:val="TableBodyText"/>
                    <w:jc w:val="left"/>
                  </w:pPr>
                  <w:r w:rsidRPr="00F22AF1">
                    <w:t>Textile</w:t>
                  </w:r>
                  <w:r>
                    <w:t>s</w:t>
                  </w:r>
                  <w:r w:rsidRPr="00F22AF1">
                    <w:t>, clothing and footwear</w:t>
                  </w:r>
                </w:p>
              </w:tc>
              <w:tc>
                <w:tcPr>
                  <w:tcW w:w="964" w:type="dxa"/>
                  <w:vAlign w:val="center"/>
                </w:tcPr>
                <w:p w:rsidR="007544CA" w:rsidRDefault="007544CA" w:rsidP="00133508">
                  <w:pPr>
                    <w:pStyle w:val="TableBodyText"/>
                  </w:pPr>
                  <w:r>
                    <w:t>12.3</w:t>
                  </w:r>
                </w:p>
              </w:tc>
              <w:tc>
                <w:tcPr>
                  <w:tcW w:w="964" w:type="dxa"/>
                  <w:vAlign w:val="center"/>
                </w:tcPr>
                <w:p w:rsidR="007544CA" w:rsidRDefault="007544CA" w:rsidP="00133508">
                  <w:pPr>
                    <w:pStyle w:val="TableBodyText"/>
                  </w:pPr>
                  <w:r>
                    <w:t>9.8</w:t>
                  </w:r>
                </w:p>
              </w:tc>
              <w:tc>
                <w:tcPr>
                  <w:tcW w:w="964" w:type="dxa"/>
                  <w:vAlign w:val="center"/>
                </w:tcPr>
                <w:p w:rsidR="007544CA" w:rsidRDefault="007544CA" w:rsidP="00133508">
                  <w:pPr>
                    <w:pStyle w:val="TableBodyText"/>
                  </w:pPr>
                  <w:r>
                    <w:t>8.0</w:t>
                  </w:r>
                </w:p>
              </w:tc>
              <w:tc>
                <w:tcPr>
                  <w:tcW w:w="964" w:type="dxa"/>
                  <w:vAlign w:val="center"/>
                </w:tcPr>
                <w:p w:rsidR="007544CA" w:rsidRDefault="007544CA" w:rsidP="00133508">
                  <w:pPr>
                    <w:pStyle w:val="TableBodyText"/>
                  </w:pPr>
                  <w:r>
                    <w:t>7.9</w:t>
                  </w:r>
                </w:p>
              </w:tc>
              <w:tc>
                <w:tcPr>
                  <w:tcW w:w="964" w:type="dxa"/>
                  <w:vAlign w:val="center"/>
                </w:tcPr>
                <w:p w:rsidR="007544CA" w:rsidRDefault="007544CA" w:rsidP="00133508">
                  <w:pPr>
                    <w:pStyle w:val="TableBodyText"/>
                  </w:pPr>
                  <w:r>
                    <w:t>7.9</w:t>
                  </w:r>
                </w:p>
              </w:tc>
              <w:tc>
                <w:tcPr>
                  <w:tcW w:w="964" w:type="dxa"/>
                  <w:vAlign w:val="center"/>
                </w:tcPr>
                <w:p w:rsidR="007544CA" w:rsidRDefault="007544CA" w:rsidP="00133508">
                  <w:pPr>
                    <w:pStyle w:val="TableBodyText"/>
                  </w:pPr>
                  <w:r>
                    <w:t>6.7</w:t>
                  </w:r>
                </w:p>
              </w:tc>
            </w:tr>
            <w:tr w:rsidR="007544CA" w:rsidTr="00133508">
              <w:tc>
                <w:tcPr>
                  <w:tcW w:w="2721" w:type="dxa"/>
                </w:tcPr>
                <w:p w:rsidR="007544CA" w:rsidRPr="00F22AF1" w:rsidRDefault="007544CA" w:rsidP="00133508">
                  <w:pPr>
                    <w:pStyle w:val="TableBodyText"/>
                    <w:jc w:val="left"/>
                  </w:pPr>
                  <w:r w:rsidRPr="00F22AF1">
                    <w:t>Wood and paper products</w:t>
                  </w:r>
                </w:p>
              </w:tc>
              <w:tc>
                <w:tcPr>
                  <w:tcW w:w="964" w:type="dxa"/>
                  <w:vAlign w:val="center"/>
                </w:tcPr>
                <w:p w:rsidR="007544CA" w:rsidRDefault="007544CA" w:rsidP="00133508">
                  <w:pPr>
                    <w:pStyle w:val="TableBodyText"/>
                  </w:pPr>
                  <w:r>
                    <w:t>4.9</w:t>
                  </w:r>
                </w:p>
              </w:tc>
              <w:tc>
                <w:tcPr>
                  <w:tcW w:w="964" w:type="dxa"/>
                  <w:vAlign w:val="center"/>
                </w:tcPr>
                <w:p w:rsidR="007544CA" w:rsidRDefault="007544CA" w:rsidP="00133508">
                  <w:pPr>
                    <w:pStyle w:val="TableBodyText"/>
                  </w:pPr>
                  <w:r>
                    <w:t>5.0</w:t>
                  </w:r>
                </w:p>
              </w:tc>
              <w:tc>
                <w:tcPr>
                  <w:tcW w:w="964" w:type="dxa"/>
                  <w:vAlign w:val="center"/>
                </w:tcPr>
                <w:p w:rsidR="007544CA" w:rsidRDefault="007544CA" w:rsidP="00133508">
                  <w:pPr>
                    <w:pStyle w:val="TableBodyText"/>
                  </w:pPr>
                  <w:r>
                    <w:t>4.8</w:t>
                  </w:r>
                </w:p>
              </w:tc>
              <w:tc>
                <w:tcPr>
                  <w:tcW w:w="964" w:type="dxa"/>
                  <w:vAlign w:val="center"/>
                </w:tcPr>
                <w:p w:rsidR="007544CA" w:rsidRDefault="007544CA" w:rsidP="00133508">
                  <w:pPr>
                    <w:pStyle w:val="TableBodyText"/>
                  </w:pPr>
                  <w:r>
                    <w:t>4.9</w:t>
                  </w:r>
                </w:p>
              </w:tc>
              <w:tc>
                <w:tcPr>
                  <w:tcW w:w="964" w:type="dxa"/>
                  <w:vAlign w:val="center"/>
                </w:tcPr>
                <w:p w:rsidR="007544CA" w:rsidRDefault="007544CA" w:rsidP="00133508">
                  <w:pPr>
                    <w:pStyle w:val="TableBodyText"/>
                  </w:pPr>
                  <w:r>
                    <w:t>4.8</w:t>
                  </w:r>
                </w:p>
              </w:tc>
              <w:tc>
                <w:tcPr>
                  <w:tcW w:w="964" w:type="dxa"/>
                  <w:vAlign w:val="center"/>
                </w:tcPr>
                <w:p w:rsidR="007544CA" w:rsidRDefault="007544CA" w:rsidP="00133508">
                  <w:pPr>
                    <w:pStyle w:val="TableBodyText"/>
                  </w:pPr>
                  <w:r>
                    <w:t>4.8</w:t>
                  </w:r>
                </w:p>
              </w:tc>
            </w:tr>
            <w:tr w:rsidR="007544CA" w:rsidTr="00133508">
              <w:tc>
                <w:tcPr>
                  <w:tcW w:w="2721" w:type="dxa"/>
                </w:tcPr>
                <w:p w:rsidR="007544CA" w:rsidRPr="00F22AF1" w:rsidRDefault="007544CA" w:rsidP="00133508">
                  <w:pPr>
                    <w:pStyle w:val="TableBodyText"/>
                    <w:jc w:val="left"/>
                  </w:pPr>
                  <w:r w:rsidRPr="00F22AF1">
                    <w:t>Printing and recorded media</w:t>
                  </w:r>
                </w:p>
              </w:tc>
              <w:tc>
                <w:tcPr>
                  <w:tcW w:w="964" w:type="dxa"/>
                  <w:vAlign w:val="center"/>
                </w:tcPr>
                <w:p w:rsidR="007544CA" w:rsidRDefault="007544CA" w:rsidP="00133508">
                  <w:pPr>
                    <w:pStyle w:val="TableBodyText"/>
                  </w:pPr>
                  <w:r>
                    <w:t>3.6</w:t>
                  </w:r>
                </w:p>
              </w:tc>
              <w:tc>
                <w:tcPr>
                  <w:tcW w:w="964" w:type="dxa"/>
                  <w:vAlign w:val="center"/>
                </w:tcPr>
                <w:p w:rsidR="007544CA" w:rsidRDefault="007544CA" w:rsidP="00133508">
                  <w:pPr>
                    <w:pStyle w:val="TableBodyText"/>
                  </w:pPr>
                  <w:r>
                    <w:t>3.6</w:t>
                  </w:r>
                </w:p>
              </w:tc>
              <w:tc>
                <w:tcPr>
                  <w:tcW w:w="964" w:type="dxa"/>
                  <w:vAlign w:val="center"/>
                </w:tcPr>
                <w:p w:rsidR="007544CA" w:rsidRDefault="007544CA" w:rsidP="00133508">
                  <w:pPr>
                    <w:pStyle w:val="TableBodyText"/>
                  </w:pPr>
                  <w:r>
                    <w:t>3.6</w:t>
                  </w:r>
                </w:p>
              </w:tc>
              <w:tc>
                <w:tcPr>
                  <w:tcW w:w="964" w:type="dxa"/>
                  <w:vAlign w:val="center"/>
                </w:tcPr>
                <w:p w:rsidR="007544CA" w:rsidRDefault="007544CA" w:rsidP="00133508">
                  <w:pPr>
                    <w:pStyle w:val="TableBodyText"/>
                  </w:pPr>
                  <w:r>
                    <w:t>3.6</w:t>
                  </w:r>
                </w:p>
              </w:tc>
              <w:tc>
                <w:tcPr>
                  <w:tcW w:w="964" w:type="dxa"/>
                  <w:vAlign w:val="center"/>
                </w:tcPr>
                <w:p w:rsidR="007544CA" w:rsidRDefault="007544CA" w:rsidP="00133508">
                  <w:pPr>
                    <w:pStyle w:val="TableBodyText"/>
                  </w:pPr>
                  <w:r>
                    <w:t>3.6</w:t>
                  </w:r>
                </w:p>
              </w:tc>
              <w:tc>
                <w:tcPr>
                  <w:tcW w:w="964" w:type="dxa"/>
                  <w:vAlign w:val="center"/>
                </w:tcPr>
                <w:p w:rsidR="007544CA" w:rsidRDefault="007544CA" w:rsidP="00133508">
                  <w:pPr>
                    <w:pStyle w:val="TableBodyText"/>
                  </w:pPr>
                  <w:r>
                    <w:t>3.5</w:t>
                  </w:r>
                </w:p>
              </w:tc>
            </w:tr>
            <w:tr w:rsidR="007544CA" w:rsidTr="00133508">
              <w:tc>
                <w:tcPr>
                  <w:tcW w:w="2721" w:type="dxa"/>
                </w:tcPr>
                <w:p w:rsidR="007544CA" w:rsidRPr="00F22AF1" w:rsidRDefault="007544CA" w:rsidP="00133508">
                  <w:pPr>
                    <w:pStyle w:val="TableBodyText"/>
                    <w:jc w:val="left"/>
                  </w:pPr>
                  <w:r w:rsidRPr="00F22AF1">
                    <w:t xml:space="preserve">Petroleum, coal, </w:t>
                  </w:r>
                  <w:r>
                    <w:t>&amp; che</w:t>
                  </w:r>
                  <w:r w:rsidRPr="00F22AF1">
                    <w:t>mical</w:t>
                  </w:r>
                  <w:r>
                    <w:t>s</w:t>
                  </w:r>
                </w:p>
              </w:tc>
              <w:tc>
                <w:tcPr>
                  <w:tcW w:w="964" w:type="dxa"/>
                  <w:vAlign w:val="center"/>
                </w:tcPr>
                <w:p w:rsidR="007544CA" w:rsidRDefault="007544CA" w:rsidP="00133508">
                  <w:pPr>
                    <w:pStyle w:val="TableBodyText"/>
                  </w:pPr>
                  <w:r>
                    <w:t>3.1</w:t>
                  </w:r>
                </w:p>
              </w:tc>
              <w:tc>
                <w:tcPr>
                  <w:tcW w:w="964" w:type="dxa"/>
                  <w:vAlign w:val="center"/>
                </w:tcPr>
                <w:p w:rsidR="007544CA" w:rsidRDefault="007544CA" w:rsidP="00133508">
                  <w:pPr>
                    <w:pStyle w:val="TableBodyText"/>
                  </w:pPr>
                  <w:r>
                    <w:t>3.3</w:t>
                  </w:r>
                </w:p>
              </w:tc>
              <w:tc>
                <w:tcPr>
                  <w:tcW w:w="964" w:type="dxa"/>
                  <w:vAlign w:val="center"/>
                </w:tcPr>
                <w:p w:rsidR="007544CA" w:rsidRDefault="007544CA" w:rsidP="00133508">
                  <w:pPr>
                    <w:pStyle w:val="TableBodyText"/>
                  </w:pPr>
                  <w:r>
                    <w:t>3.1</w:t>
                  </w:r>
                </w:p>
              </w:tc>
              <w:tc>
                <w:tcPr>
                  <w:tcW w:w="964" w:type="dxa"/>
                  <w:vAlign w:val="center"/>
                </w:tcPr>
                <w:p w:rsidR="007544CA" w:rsidRDefault="007544CA" w:rsidP="00133508">
                  <w:pPr>
                    <w:pStyle w:val="TableBodyText"/>
                  </w:pPr>
                  <w:r>
                    <w:t>3.2</w:t>
                  </w:r>
                </w:p>
              </w:tc>
              <w:tc>
                <w:tcPr>
                  <w:tcW w:w="964" w:type="dxa"/>
                  <w:vAlign w:val="center"/>
                </w:tcPr>
                <w:p w:rsidR="007544CA" w:rsidRDefault="007544CA" w:rsidP="00133508">
                  <w:pPr>
                    <w:pStyle w:val="TableBodyText"/>
                  </w:pPr>
                  <w:r>
                    <w:t>3.2</w:t>
                  </w:r>
                </w:p>
              </w:tc>
              <w:tc>
                <w:tcPr>
                  <w:tcW w:w="964" w:type="dxa"/>
                  <w:vAlign w:val="center"/>
                </w:tcPr>
                <w:p w:rsidR="007544CA" w:rsidRDefault="007544CA" w:rsidP="00133508">
                  <w:pPr>
                    <w:pStyle w:val="TableBodyText"/>
                  </w:pPr>
                  <w:r>
                    <w:t>3.2</w:t>
                  </w:r>
                </w:p>
              </w:tc>
            </w:tr>
            <w:tr w:rsidR="007544CA" w:rsidTr="00133508">
              <w:tc>
                <w:tcPr>
                  <w:tcW w:w="2721" w:type="dxa"/>
                </w:tcPr>
                <w:p w:rsidR="007544CA" w:rsidRPr="00F22AF1" w:rsidRDefault="007544CA" w:rsidP="00133508">
                  <w:pPr>
                    <w:pStyle w:val="TableBodyText"/>
                    <w:jc w:val="left"/>
                  </w:pPr>
                  <w:r w:rsidRPr="00F22AF1">
                    <w:t>Non</w:t>
                  </w:r>
                  <w:r>
                    <w:noBreakHyphen/>
                  </w:r>
                  <w:r w:rsidRPr="00F22AF1">
                    <w:t>metallic mineral products</w:t>
                  </w:r>
                </w:p>
              </w:tc>
              <w:tc>
                <w:tcPr>
                  <w:tcW w:w="964" w:type="dxa"/>
                  <w:vAlign w:val="center"/>
                </w:tcPr>
                <w:p w:rsidR="007544CA" w:rsidRDefault="007544CA" w:rsidP="00133508">
                  <w:pPr>
                    <w:pStyle w:val="TableBodyText"/>
                  </w:pPr>
                  <w:r>
                    <w:t>3.0</w:t>
                  </w:r>
                </w:p>
              </w:tc>
              <w:tc>
                <w:tcPr>
                  <w:tcW w:w="964" w:type="dxa"/>
                  <w:vAlign w:val="center"/>
                </w:tcPr>
                <w:p w:rsidR="007544CA" w:rsidRDefault="007544CA" w:rsidP="00133508">
                  <w:pPr>
                    <w:pStyle w:val="TableBodyText"/>
                  </w:pPr>
                  <w:r>
                    <w:t>3.0</w:t>
                  </w:r>
                </w:p>
              </w:tc>
              <w:tc>
                <w:tcPr>
                  <w:tcW w:w="964" w:type="dxa"/>
                  <w:vAlign w:val="center"/>
                </w:tcPr>
                <w:p w:rsidR="007544CA" w:rsidRDefault="007544CA" w:rsidP="00133508">
                  <w:pPr>
                    <w:pStyle w:val="TableBodyText"/>
                  </w:pPr>
                  <w:r>
                    <w:t>2.9</w:t>
                  </w:r>
                </w:p>
              </w:tc>
              <w:tc>
                <w:tcPr>
                  <w:tcW w:w="964" w:type="dxa"/>
                  <w:vAlign w:val="center"/>
                </w:tcPr>
                <w:p w:rsidR="007544CA" w:rsidRDefault="007544CA" w:rsidP="00133508">
                  <w:pPr>
                    <w:pStyle w:val="TableBodyText"/>
                  </w:pPr>
                  <w:r>
                    <w:t>3.0</w:t>
                  </w:r>
                </w:p>
              </w:tc>
              <w:tc>
                <w:tcPr>
                  <w:tcW w:w="964" w:type="dxa"/>
                  <w:vAlign w:val="center"/>
                </w:tcPr>
                <w:p w:rsidR="007544CA" w:rsidRDefault="007544CA" w:rsidP="00133508">
                  <w:pPr>
                    <w:pStyle w:val="TableBodyText"/>
                  </w:pPr>
                  <w:r>
                    <w:t>3.1</w:t>
                  </w:r>
                </w:p>
              </w:tc>
              <w:tc>
                <w:tcPr>
                  <w:tcW w:w="964" w:type="dxa"/>
                  <w:vAlign w:val="center"/>
                </w:tcPr>
                <w:p w:rsidR="007544CA" w:rsidRDefault="007544CA" w:rsidP="00133508">
                  <w:pPr>
                    <w:pStyle w:val="TableBodyText"/>
                  </w:pPr>
                  <w:r>
                    <w:t>2.9</w:t>
                  </w:r>
                </w:p>
              </w:tc>
            </w:tr>
            <w:tr w:rsidR="007544CA" w:rsidTr="00133508">
              <w:tc>
                <w:tcPr>
                  <w:tcW w:w="2721" w:type="dxa"/>
                </w:tcPr>
                <w:p w:rsidR="007544CA" w:rsidRPr="00F22AF1" w:rsidRDefault="007544CA" w:rsidP="00133508">
                  <w:pPr>
                    <w:pStyle w:val="TableBodyText"/>
                    <w:jc w:val="left"/>
                  </w:pPr>
                  <w:r w:rsidRPr="00F22AF1">
                    <w:t xml:space="preserve">Metal and fabricated </w:t>
                  </w:r>
                  <w:r>
                    <w:t>p</w:t>
                  </w:r>
                  <w:r w:rsidRPr="00F22AF1">
                    <w:t>roducts</w:t>
                  </w:r>
                </w:p>
              </w:tc>
              <w:tc>
                <w:tcPr>
                  <w:tcW w:w="964" w:type="dxa"/>
                  <w:vAlign w:val="center"/>
                </w:tcPr>
                <w:p w:rsidR="007544CA" w:rsidRDefault="007544CA" w:rsidP="00133508">
                  <w:pPr>
                    <w:pStyle w:val="TableBodyText"/>
                  </w:pPr>
                  <w:r>
                    <w:t>4.5</w:t>
                  </w:r>
                </w:p>
              </w:tc>
              <w:tc>
                <w:tcPr>
                  <w:tcW w:w="964" w:type="dxa"/>
                  <w:vAlign w:val="center"/>
                </w:tcPr>
                <w:p w:rsidR="007544CA" w:rsidRDefault="007544CA" w:rsidP="00133508">
                  <w:pPr>
                    <w:pStyle w:val="TableBodyText"/>
                  </w:pPr>
                  <w:r>
                    <w:t>4.5</w:t>
                  </w:r>
                </w:p>
              </w:tc>
              <w:tc>
                <w:tcPr>
                  <w:tcW w:w="964" w:type="dxa"/>
                  <w:vAlign w:val="center"/>
                </w:tcPr>
                <w:p w:rsidR="007544CA" w:rsidRDefault="007544CA" w:rsidP="00133508">
                  <w:pPr>
                    <w:pStyle w:val="TableBodyText"/>
                  </w:pPr>
                  <w:r>
                    <w:t>4.9</w:t>
                  </w:r>
                </w:p>
              </w:tc>
              <w:tc>
                <w:tcPr>
                  <w:tcW w:w="964" w:type="dxa"/>
                  <w:vAlign w:val="center"/>
                </w:tcPr>
                <w:p w:rsidR="007544CA" w:rsidRDefault="007544CA" w:rsidP="00133508">
                  <w:pPr>
                    <w:pStyle w:val="TableBodyText"/>
                  </w:pPr>
                  <w:r>
                    <w:t>4.7</w:t>
                  </w:r>
                </w:p>
              </w:tc>
              <w:tc>
                <w:tcPr>
                  <w:tcW w:w="964" w:type="dxa"/>
                  <w:vAlign w:val="center"/>
                </w:tcPr>
                <w:p w:rsidR="007544CA" w:rsidRDefault="007544CA" w:rsidP="00133508">
                  <w:pPr>
                    <w:pStyle w:val="TableBodyText"/>
                  </w:pPr>
                  <w:r>
                    <w:t>4.7</w:t>
                  </w:r>
                </w:p>
              </w:tc>
              <w:tc>
                <w:tcPr>
                  <w:tcW w:w="964" w:type="dxa"/>
                  <w:vAlign w:val="center"/>
                </w:tcPr>
                <w:p w:rsidR="007544CA" w:rsidRDefault="007544CA" w:rsidP="00133508">
                  <w:pPr>
                    <w:pStyle w:val="TableBodyText"/>
                  </w:pPr>
                  <w:r>
                    <w:t>4.9</w:t>
                  </w:r>
                </w:p>
              </w:tc>
            </w:tr>
            <w:tr w:rsidR="007544CA" w:rsidTr="00133508">
              <w:tc>
                <w:tcPr>
                  <w:tcW w:w="2721" w:type="dxa"/>
                </w:tcPr>
                <w:p w:rsidR="007544CA" w:rsidRPr="00F22AF1" w:rsidRDefault="007544CA" w:rsidP="00133508">
                  <w:pPr>
                    <w:pStyle w:val="TableBodyText"/>
                    <w:jc w:val="left"/>
                  </w:pPr>
                  <w:r w:rsidRPr="00F22AF1">
                    <w:t>Motor vehicle</w:t>
                  </w:r>
                  <w:r>
                    <w:t>s</w:t>
                  </w:r>
                  <w:r w:rsidRPr="00F22AF1">
                    <w:t xml:space="preserve"> and parts</w:t>
                  </w:r>
                </w:p>
              </w:tc>
              <w:tc>
                <w:tcPr>
                  <w:tcW w:w="964" w:type="dxa"/>
                  <w:vAlign w:val="center"/>
                </w:tcPr>
                <w:p w:rsidR="007544CA" w:rsidRDefault="007544CA" w:rsidP="00133508">
                  <w:pPr>
                    <w:pStyle w:val="TableBodyText"/>
                  </w:pPr>
                  <w:r>
                    <w:t>12.9</w:t>
                  </w:r>
                </w:p>
              </w:tc>
              <w:tc>
                <w:tcPr>
                  <w:tcW w:w="964" w:type="dxa"/>
                  <w:vAlign w:val="center"/>
                </w:tcPr>
                <w:p w:rsidR="007544CA" w:rsidRDefault="007544CA" w:rsidP="00133508">
                  <w:pPr>
                    <w:pStyle w:val="TableBodyText"/>
                  </w:pPr>
                  <w:r>
                    <w:t>10.0</w:t>
                  </w:r>
                </w:p>
              </w:tc>
              <w:tc>
                <w:tcPr>
                  <w:tcW w:w="964" w:type="dxa"/>
                  <w:vAlign w:val="center"/>
                </w:tcPr>
                <w:p w:rsidR="007544CA" w:rsidRDefault="007544CA" w:rsidP="00133508">
                  <w:pPr>
                    <w:pStyle w:val="TableBodyText"/>
                  </w:pPr>
                  <w:r>
                    <w:t>10.2</w:t>
                  </w:r>
                </w:p>
              </w:tc>
              <w:tc>
                <w:tcPr>
                  <w:tcW w:w="964" w:type="dxa"/>
                  <w:vAlign w:val="center"/>
                </w:tcPr>
                <w:p w:rsidR="007544CA" w:rsidRDefault="007544CA" w:rsidP="00133508">
                  <w:pPr>
                    <w:pStyle w:val="TableBodyText"/>
                  </w:pPr>
                  <w:r>
                    <w:t>8.9</w:t>
                  </w:r>
                </w:p>
              </w:tc>
              <w:tc>
                <w:tcPr>
                  <w:tcW w:w="964" w:type="dxa"/>
                  <w:vAlign w:val="center"/>
                </w:tcPr>
                <w:p w:rsidR="007544CA" w:rsidRDefault="007544CA" w:rsidP="00133508">
                  <w:pPr>
                    <w:pStyle w:val="TableBodyText"/>
                  </w:pPr>
                  <w:r>
                    <w:t>8.5</w:t>
                  </w:r>
                </w:p>
              </w:tc>
              <w:tc>
                <w:tcPr>
                  <w:tcW w:w="964" w:type="dxa"/>
                  <w:vAlign w:val="center"/>
                </w:tcPr>
                <w:p w:rsidR="007544CA" w:rsidRDefault="007544CA" w:rsidP="00133508">
                  <w:pPr>
                    <w:pStyle w:val="TableBodyText"/>
                  </w:pPr>
                  <w:r>
                    <w:t>7.9</w:t>
                  </w:r>
                </w:p>
              </w:tc>
            </w:tr>
            <w:tr w:rsidR="007544CA" w:rsidTr="00133508">
              <w:tc>
                <w:tcPr>
                  <w:tcW w:w="2721" w:type="dxa"/>
                </w:tcPr>
                <w:p w:rsidR="007544CA" w:rsidRPr="00F22AF1" w:rsidRDefault="007544CA" w:rsidP="00133508">
                  <w:pPr>
                    <w:pStyle w:val="TableBodyText"/>
                    <w:jc w:val="left"/>
                  </w:pPr>
                  <w:r w:rsidRPr="00F22AF1">
                    <w:t>Other transport equipment</w:t>
                  </w:r>
                </w:p>
              </w:tc>
              <w:tc>
                <w:tcPr>
                  <w:tcW w:w="964" w:type="dxa"/>
                  <w:vAlign w:val="center"/>
                </w:tcPr>
                <w:p w:rsidR="007544CA" w:rsidRDefault="007544CA" w:rsidP="00133508">
                  <w:pPr>
                    <w:pStyle w:val="TableBodyText"/>
                  </w:pPr>
                  <w:r>
                    <w:t>0.9</w:t>
                  </w:r>
                </w:p>
              </w:tc>
              <w:tc>
                <w:tcPr>
                  <w:tcW w:w="964" w:type="dxa"/>
                  <w:vAlign w:val="center"/>
                </w:tcPr>
                <w:p w:rsidR="007544CA" w:rsidRDefault="007544CA" w:rsidP="00133508">
                  <w:pPr>
                    <w:pStyle w:val="TableBodyText"/>
                  </w:pPr>
                  <w:r>
                    <w:t>0.8</w:t>
                  </w:r>
                </w:p>
              </w:tc>
              <w:tc>
                <w:tcPr>
                  <w:tcW w:w="964" w:type="dxa"/>
                  <w:vAlign w:val="center"/>
                </w:tcPr>
                <w:p w:rsidR="007544CA" w:rsidRDefault="007544CA" w:rsidP="00133508">
                  <w:pPr>
                    <w:pStyle w:val="TableBodyText"/>
                  </w:pPr>
                  <w:r>
                    <w:t>0.6</w:t>
                  </w:r>
                </w:p>
              </w:tc>
              <w:tc>
                <w:tcPr>
                  <w:tcW w:w="964" w:type="dxa"/>
                  <w:vAlign w:val="center"/>
                </w:tcPr>
                <w:p w:rsidR="007544CA" w:rsidRDefault="007544CA" w:rsidP="00133508">
                  <w:pPr>
                    <w:pStyle w:val="TableBodyText"/>
                  </w:pPr>
                  <w:r>
                    <w:t>0.6</w:t>
                  </w:r>
                </w:p>
              </w:tc>
              <w:tc>
                <w:tcPr>
                  <w:tcW w:w="964" w:type="dxa"/>
                  <w:vAlign w:val="center"/>
                </w:tcPr>
                <w:p w:rsidR="007544CA" w:rsidRDefault="007544CA" w:rsidP="00133508">
                  <w:pPr>
                    <w:pStyle w:val="TableBodyText"/>
                  </w:pPr>
                  <w:r>
                    <w:t>0.8</w:t>
                  </w:r>
                </w:p>
              </w:tc>
              <w:tc>
                <w:tcPr>
                  <w:tcW w:w="964" w:type="dxa"/>
                  <w:vAlign w:val="center"/>
                </w:tcPr>
                <w:p w:rsidR="007544CA" w:rsidRDefault="007544CA" w:rsidP="00133508">
                  <w:pPr>
                    <w:pStyle w:val="TableBodyText"/>
                  </w:pPr>
                  <w:r>
                    <w:t>0.6</w:t>
                  </w:r>
                </w:p>
              </w:tc>
            </w:tr>
            <w:tr w:rsidR="007544CA" w:rsidTr="00133508">
              <w:tc>
                <w:tcPr>
                  <w:tcW w:w="2721" w:type="dxa"/>
                </w:tcPr>
                <w:p w:rsidR="007544CA" w:rsidRPr="00F22AF1" w:rsidRDefault="007544CA" w:rsidP="00133508">
                  <w:pPr>
                    <w:pStyle w:val="TableBodyText"/>
                    <w:jc w:val="left"/>
                  </w:pPr>
                  <w:r w:rsidRPr="00F22AF1">
                    <w:t>Machinery and equipment</w:t>
                  </w:r>
                </w:p>
              </w:tc>
              <w:tc>
                <w:tcPr>
                  <w:tcW w:w="964" w:type="dxa"/>
                  <w:vAlign w:val="center"/>
                </w:tcPr>
                <w:p w:rsidR="007544CA" w:rsidRDefault="007544CA" w:rsidP="00133508">
                  <w:pPr>
                    <w:pStyle w:val="TableBodyText"/>
                  </w:pPr>
                  <w:r>
                    <w:t>3.3</w:t>
                  </w:r>
                </w:p>
              </w:tc>
              <w:tc>
                <w:tcPr>
                  <w:tcW w:w="964" w:type="dxa"/>
                  <w:vAlign w:val="center"/>
                </w:tcPr>
                <w:p w:rsidR="007544CA" w:rsidRDefault="007544CA" w:rsidP="00133508">
                  <w:pPr>
                    <w:pStyle w:val="TableBodyText"/>
                  </w:pPr>
                  <w:r>
                    <w:t>3.0</w:t>
                  </w:r>
                </w:p>
              </w:tc>
              <w:tc>
                <w:tcPr>
                  <w:tcW w:w="964" w:type="dxa"/>
                  <w:vAlign w:val="center"/>
                </w:tcPr>
                <w:p w:rsidR="007544CA" w:rsidRDefault="007544CA" w:rsidP="00133508">
                  <w:pPr>
                    <w:pStyle w:val="TableBodyText"/>
                  </w:pPr>
                  <w:r>
                    <w:t>2.9</w:t>
                  </w:r>
                </w:p>
              </w:tc>
              <w:tc>
                <w:tcPr>
                  <w:tcW w:w="964" w:type="dxa"/>
                  <w:vAlign w:val="center"/>
                </w:tcPr>
                <w:p w:rsidR="007544CA" w:rsidRDefault="007544CA" w:rsidP="00133508">
                  <w:pPr>
                    <w:pStyle w:val="TableBodyText"/>
                  </w:pPr>
                  <w:r>
                    <w:t>3.0</w:t>
                  </w:r>
                </w:p>
              </w:tc>
              <w:tc>
                <w:tcPr>
                  <w:tcW w:w="964" w:type="dxa"/>
                  <w:vAlign w:val="center"/>
                </w:tcPr>
                <w:p w:rsidR="007544CA" w:rsidRDefault="007544CA" w:rsidP="00133508">
                  <w:pPr>
                    <w:pStyle w:val="TableBodyText"/>
                  </w:pPr>
                  <w:r>
                    <w:t>3.1</w:t>
                  </w:r>
                </w:p>
              </w:tc>
              <w:tc>
                <w:tcPr>
                  <w:tcW w:w="964" w:type="dxa"/>
                  <w:vAlign w:val="center"/>
                </w:tcPr>
                <w:p w:rsidR="007544CA" w:rsidRDefault="007544CA" w:rsidP="00133508">
                  <w:pPr>
                    <w:pStyle w:val="TableBodyText"/>
                  </w:pPr>
                  <w:r>
                    <w:t>2.9</w:t>
                  </w:r>
                </w:p>
              </w:tc>
            </w:tr>
            <w:tr w:rsidR="007544CA" w:rsidTr="00133508">
              <w:tc>
                <w:tcPr>
                  <w:tcW w:w="2721" w:type="dxa"/>
                  <w:tcBorders>
                    <w:bottom w:val="single" w:sz="6" w:space="0" w:color="BFBFBF"/>
                  </w:tcBorders>
                  <w:shd w:val="clear" w:color="auto" w:fill="auto"/>
                </w:tcPr>
                <w:p w:rsidR="007544CA" w:rsidRDefault="007544CA" w:rsidP="00133508">
                  <w:pPr>
                    <w:pStyle w:val="TableBodyText"/>
                    <w:jc w:val="left"/>
                  </w:pPr>
                  <w:r>
                    <w:t>Furniture and other products</w:t>
                  </w:r>
                </w:p>
              </w:tc>
              <w:tc>
                <w:tcPr>
                  <w:tcW w:w="964" w:type="dxa"/>
                  <w:tcBorders>
                    <w:bottom w:val="single" w:sz="6" w:space="0" w:color="BFBFBF"/>
                  </w:tcBorders>
                  <w:vAlign w:val="center"/>
                </w:tcPr>
                <w:p w:rsidR="007544CA" w:rsidRDefault="007544CA" w:rsidP="00133508">
                  <w:pPr>
                    <w:pStyle w:val="TableBodyText"/>
                  </w:pPr>
                  <w:r>
                    <w:t>4.8</w:t>
                  </w:r>
                </w:p>
              </w:tc>
              <w:tc>
                <w:tcPr>
                  <w:tcW w:w="964" w:type="dxa"/>
                  <w:tcBorders>
                    <w:bottom w:val="single" w:sz="6" w:space="0" w:color="BFBFBF"/>
                  </w:tcBorders>
                  <w:vAlign w:val="center"/>
                </w:tcPr>
                <w:p w:rsidR="007544CA" w:rsidRDefault="007544CA" w:rsidP="00133508">
                  <w:pPr>
                    <w:pStyle w:val="TableBodyText"/>
                  </w:pPr>
                  <w:r>
                    <w:t>4.7</w:t>
                  </w:r>
                </w:p>
              </w:tc>
              <w:tc>
                <w:tcPr>
                  <w:tcW w:w="964" w:type="dxa"/>
                  <w:tcBorders>
                    <w:bottom w:val="single" w:sz="6" w:space="0" w:color="BFBFBF"/>
                  </w:tcBorders>
                  <w:vAlign w:val="center"/>
                </w:tcPr>
                <w:p w:rsidR="007544CA" w:rsidRDefault="007544CA" w:rsidP="00133508">
                  <w:pPr>
                    <w:pStyle w:val="TableBodyText"/>
                  </w:pPr>
                  <w:r>
                    <w:t>4.8</w:t>
                  </w:r>
                </w:p>
              </w:tc>
              <w:tc>
                <w:tcPr>
                  <w:tcW w:w="964" w:type="dxa"/>
                  <w:tcBorders>
                    <w:bottom w:val="single" w:sz="6" w:space="0" w:color="BFBFBF"/>
                  </w:tcBorders>
                  <w:vAlign w:val="center"/>
                </w:tcPr>
                <w:p w:rsidR="007544CA" w:rsidRDefault="007544CA" w:rsidP="00133508">
                  <w:pPr>
                    <w:pStyle w:val="TableBodyText"/>
                  </w:pPr>
                  <w:r>
                    <w:t>4.9</w:t>
                  </w:r>
                </w:p>
              </w:tc>
              <w:tc>
                <w:tcPr>
                  <w:tcW w:w="964" w:type="dxa"/>
                  <w:tcBorders>
                    <w:bottom w:val="single" w:sz="6" w:space="0" w:color="BFBFBF"/>
                  </w:tcBorders>
                  <w:shd w:val="clear" w:color="auto" w:fill="auto"/>
                  <w:vAlign w:val="center"/>
                </w:tcPr>
                <w:p w:rsidR="007544CA" w:rsidRDefault="007544CA" w:rsidP="00133508">
                  <w:pPr>
                    <w:pStyle w:val="TableBodyText"/>
                  </w:pPr>
                  <w:r>
                    <w:t>4.7</w:t>
                  </w:r>
                </w:p>
              </w:tc>
              <w:tc>
                <w:tcPr>
                  <w:tcW w:w="964" w:type="dxa"/>
                  <w:tcBorders>
                    <w:bottom w:val="single" w:sz="6" w:space="0" w:color="BFBFBF"/>
                  </w:tcBorders>
                  <w:shd w:val="clear" w:color="auto" w:fill="auto"/>
                  <w:vAlign w:val="center"/>
                </w:tcPr>
                <w:p w:rsidR="007544CA" w:rsidRDefault="007544CA" w:rsidP="00133508">
                  <w:pPr>
                    <w:pStyle w:val="TableBodyText"/>
                  </w:pPr>
                  <w:r>
                    <w:t>4.5</w:t>
                  </w:r>
                </w:p>
              </w:tc>
            </w:tr>
          </w:tbl>
          <w:p w:rsidR="007544CA" w:rsidRDefault="007544CA" w:rsidP="00133508">
            <w:pPr>
              <w:pStyle w:val="Box"/>
            </w:pP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Note"/>
              <w:rPr>
                <w:i/>
              </w:rPr>
            </w:pPr>
            <w:r w:rsidRPr="008E77FE">
              <w:rPr>
                <w:rStyle w:val="NoteLabel"/>
              </w:rPr>
              <w:t>a</w:t>
            </w:r>
            <w:r>
              <w:t> </w:t>
            </w:r>
            <w:r w:rsidRPr="00BA3B01">
              <w:t xml:space="preserve">Combined assistance comprises </w:t>
            </w:r>
            <w:r>
              <w:t xml:space="preserve">tariff, </w:t>
            </w:r>
            <w:r w:rsidRPr="00BA3B01">
              <w:t>budgetary, and agricultural pricing assistance</w:t>
            </w:r>
            <w:r>
              <w:t xml:space="preserve">. </w:t>
            </w:r>
            <w:r>
              <w:rPr>
                <w:rStyle w:val="NoteLabel"/>
              </w:rPr>
              <w:t>b</w:t>
            </w:r>
            <w:r>
              <w:t> </w:t>
            </w:r>
            <w:r w:rsidRPr="00BA3B01">
              <w:t>Sectoral estimates include assistance to the sector that has not been allocated to specific industry groupings</w:t>
            </w:r>
            <w:r>
              <w:t xml:space="preserve">. </w:t>
            </w: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Source"/>
            </w:pPr>
            <w:r>
              <w:rPr>
                <w:i/>
              </w:rPr>
              <w:t>Source</w:t>
            </w:r>
            <w:r w:rsidRPr="00167F06">
              <w:t xml:space="preserve">: </w:t>
            </w:r>
            <w:r>
              <w:t>Commission estimates.</w:t>
            </w:r>
          </w:p>
        </w:tc>
      </w:tr>
      <w:tr w:rsidR="007544CA" w:rsidTr="00133508">
        <w:trPr>
          <w:cantSplit/>
        </w:trPr>
        <w:tc>
          <w:tcPr>
            <w:tcW w:w="8771" w:type="dxa"/>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Heading4"/>
      </w:pPr>
      <w:r>
        <w:lastRenderedPageBreak/>
        <w:t>Textiles, leather, clothing and footwear and Motor vehicles and parts</w:t>
      </w:r>
    </w:p>
    <w:p w:rsidR="007544CA" w:rsidRDefault="007544CA" w:rsidP="00133508">
      <w:pPr>
        <w:pStyle w:val="BodyText"/>
      </w:pPr>
      <w:r w:rsidRPr="004710F2">
        <w:t xml:space="preserve">The </w:t>
      </w:r>
      <w:r w:rsidRPr="00BD24C0">
        <w:rPr>
          <w:i/>
        </w:rPr>
        <w:t>Motor vehicle</w:t>
      </w:r>
      <w:r>
        <w:rPr>
          <w:i/>
        </w:rPr>
        <w:t>s</w:t>
      </w:r>
      <w:r w:rsidRPr="00BD24C0">
        <w:rPr>
          <w:i/>
        </w:rPr>
        <w:t xml:space="preserve"> and parts</w:t>
      </w:r>
      <w:r w:rsidRPr="004710F2">
        <w:t xml:space="preserve"> </w:t>
      </w:r>
      <w:r>
        <w:t xml:space="preserve">and </w:t>
      </w:r>
      <w:r w:rsidRPr="00BD24C0">
        <w:rPr>
          <w:i/>
        </w:rPr>
        <w:t>Textiles, leather, clothing and footwear</w:t>
      </w:r>
      <w:r w:rsidRPr="004710F2">
        <w:t xml:space="preserve"> </w:t>
      </w:r>
      <w:r>
        <w:t xml:space="preserve">industry groupings </w:t>
      </w:r>
      <w:r w:rsidRPr="004710F2">
        <w:t>continue to have higher effective rates of combined assistance than other manufacturing activities</w:t>
      </w:r>
      <w:r>
        <w:t>, 7.9 per cent and 6.7 per cent respectively</w:t>
      </w:r>
      <w:r w:rsidRPr="004710F2">
        <w:t xml:space="preserve">. </w:t>
      </w:r>
      <w:r>
        <w:t>T</w:t>
      </w:r>
      <w:r w:rsidRPr="004710F2">
        <w:t xml:space="preserve">he estimated effective rates of assistance to both industry groups have </w:t>
      </w:r>
      <w:r>
        <w:t>fallen</w:t>
      </w:r>
      <w:r w:rsidRPr="004710F2">
        <w:t xml:space="preserve"> significantly over recent decades following substantial reductions in tariff rates and the removal of import quotas.</w:t>
      </w:r>
      <w:r>
        <w:rPr>
          <w:rStyle w:val="FootnoteReference"/>
        </w:rPr>
        <w:footnoteReference w:id="11"/>
      </w:r>
      <w:r w:rsidRPr="004710F2">
        <w:t xml:space="preserve"> </w:t>
      </w:r>
      <w:r>
        <w:t>More recently, e</w:t>
      </w:r>
      <w:r w:rsidRPr="004710F2">
        <w:t xml:space="preserve">ffective rates of assistance for these industries have </w:t>
      </w:r>
      <w:r>
        <w:t>fallen</w:t>
      </w:r>
      <w:r w:rsidRPr="004710F2">
        <w:t xml:space="preserve"> significantly, </w:t>
      </w:r>
      <w:r>
        <w:t xml:space="preserve">from 12.9 per cent and 12.3 per cent respectively in </w:t>
      </w:r>
      <w:r w:rsidRPr="004710F2">
        <w:t>200</w:t>
      </w:r>
      <w:r>
        <w:t>9</w:t>
      </w:r>
      <w:r>
        <w:noBreakHyphen/>
        <w:t xml:space="preserve">10, </w:t>
      </w:r>
      <w:r w:rsidRPr="004710F2">
        <w:t>following the legislated tariff cuts in January</w:t>
      </w:r>
      <w:r>
        <w:t> </w:t>
      </w:r>
      <w:r w:rsidRPr="004710F2">
        <w:t xml:space="preserve">2010 and net reductions in budgetary assistance following the closure of the Automotive Competitiveness and Investment Scheme and introduction of </w:t>
      </w:r>
      <w:r>
        <w:t>the less generous Automotive Transformation Scheme in 2010</w:t>
      </w:r>
      <w:r>
        <w:noBreakHyphen/>
        <w:t>11</w:t>
      </w:r>
      <w:r w:rsidRPr="004710F2">
        <w:t>.</w:t>
      </w:r>
      <w:r>
        <w:t xml:space="preserve"> </w:t>
      </w:r>
    </w:p>
    <w:p w:rsidR="007544CA" w:rsidRDefault="007544CA" w:rsidP="00133508">
      <w:pPr>
        <w:pStyle w:val="BodyText"/>
      </w:pPr>
      <w:r>
        <w:t xml:space="preserve">With the reduction of remaining textiles, leather, clothing and footwear tariffs from 10 to 5 per cent in January 2015, and announced rationalisation of the automotive industry, effective assistance to those industries is likely to fall further. </w:t>
      </w:r>
    </w:p>
    <w:p w:rsidR="007544CA" w:rsidRDefault="007544CA" w:rsidP="00133508">
      <w:pPr>
        <w:pStyle w:val="Heading4"/>
      </w:pPr>
      <w:r>
        <w:t>Dairy cattle farming and Sheep, beef cattle and grain farming</w:t>
      </w:r>
    </w:p>
    <w:p w:rsidR="007544CA" w:rsidRDefault="007544CA" w:rsidP="00133508">
      <w:pPr>
        <w:pStyle w:val="BodyText"/>
      </w:pPr>
      <w:r>
        <w:t xml:space="preserve">The estimated effective rate of assistance for </w:t>
      </w:r>
      <w:r w:rsidRPr="00BD24C0">
        <w:rPr>
          <w:i/>
        </w:rPr>
        <w:t>Dairy cattle farming</w:t>
      </w:r>
      <w:r>
        <w:t xml:space="preserve"> fell markedly from 2009</w:t>
      </w:r>
      <w:r>
        <w:noBreakHyphen/>
        <w:t>10 to 2014</w:t>
      </w:r>
      <w:r>
        <w:noBreakHyphen/>
        <w:t xml:space="preserve">15 — from 6.5 per cent to 1.5 per cent. This largely reflects a decline in Exceptional Circumstances drought support. Prior to the dairy industry’s deregulation in July 2000, the effective rate of combined assistance was estimated to exceed 30 per cent. </w:t>
      </w:r>
    </w:p>
    <w:p w:rsidR="007544CA" w:rsidRDefault="007544CA" w:rsidP="00133508">
      <w:pPr>
        <w:pStyle w:val="BodyText"/>
      </w:pPr>
      <w:r>
        <w:t>Reflecting lower claims for Exceptional Circumstances drought support largely following the easing of drought conditions to 2012</w:t>
      </w:r>
      <w:r>
        <w:noBreakHyphen/>
        <w:t xml:space="preserve">13, the effective rate of assistance for the </w:t>
      </w:r>
      <w:r w:rsidRPr="00C23767">
        <w:rPr>
          <w:i/>
        </w:rPr>
        <w:t>Sheep, beef cattle and grain farming</w:t>
      </w:r>
      <w:r>
        <w:t xml:space="preserve"> group declined from 6.5 per cent in 2009</w:t>
      </w:r>
      <w:r>
        <w:noBreakHyphen/>
        <w:t>10 to 2.3 per cent in 2014</w:t>
      </w:r>
      <w:r>
        <w:noBreakHyphen/>
        <w:t>15</w:t>
      </w:r>
      <w:r w:rsidRPr="00C63197">
        <w:t xml:space="preserve">. </w:t>
      </w:r>
      <w:r>
        <w:t>This decline in effective assistance has been moderated somewhat by increased support from the Farm Management Deposits Scheme (an additional $60 million since 2009</w:t>
      </w:r>
      <w:r>
        <w:noBreakHyphen/>
        <w:t xml:space="preserve">10) and R&amp;D support (an additional $74 million). </w:t>
      </w:r>
    </w:p>
    <w:p w:rsidR="007544CA" w:rsidRDefault="007544CA" w:rsidP="00133508">
      <w:pPr>
        <w:pStyle w:val="BodyText"/>
      </w:pPr>
      <w:r w:rsidRPr="00C63197">
        <w:t xml:space="preserve">Declines were also estimated over the period for some other agricultural industry groupings because of lower claims for drought support. </w:t>
      </w:r>
    </w:p>
    <w:p w:rsidR="007544CA" w:rsidRDefault="007544CA" w:rsidP="00133508">
      <w:pPr>
        <w:pStyle w:val="Heading4"/>
      </w:pPr>
      <w:r>
        <w:t>Forestry and logging</w:t>
      </w:r>
    </w:p>
    <w:p w:rsidR="007544CA" w:rsidRPr="00575350" w:rsidRDefault="007544CA" w:rsidP="00133508">
      <w:pPr>
        <w:pStyle w:val="BodyText"/>
        <w:rPr>
          <w:spacing w:val="-2"/>
        </w:rPr>
      </w:pPr>
      <w:r w:rsidRPr="00575350">
        <w:rPr>
          <w:spacing w:val="-2"/>
        </w:rPr>
        <w:t xml:space="preserve">Effective rates of assistance to </w:t>
      </w:r>
      <w:r w:rsidRPr="00575350">
        <w:rPr>
          <w:i/>
          <w:spacing w:val="-2"/>
        </w:rPr>
        <w:t>Forestry and logging</w:t>
      </w:r>
      <w:r w:rsidRPr="00575350">
        <w:rPr>
          <w:spacing w:val="-2"/>
        </w:rPr>
        <w:t xml:space="preserve"> have stabilised in more recent years at around 4 per cent. This reflects more stable levels of assistance provided through programs like the structural adjustment packages for the Tasmanian forestry industry, the small business capital gains tax concessions schemes, and net tariff assistance to forestry and </w:t>
      </w:r>
      <w:r w:rsidRPr="00575350">
        <w:rPr>
          <w:spacing w:val="-2"/>
        </w:rPr>
        <w:lastRenderedPageBreak/>
        <w:t>logging. This contrasts with effective rates of assistance to the industry prior to 2009</w:t>
      </w:r>
      <w:r w:rsidRPr="00575350">
        <w:rPr>
          <w:spacing w:val="-2"/>
        </w:rPr>
        <w:noBreakHyphen/>
        <w:t xml:space="preserve">10 where assistance levels changed markedly from year to year. The effective rate of assistance for </w:t>
      </w:r>
      <w:r w:rsidRPr="00575350">
        <w:rPr>
          <w:i/>
          <w:spacing w:val="-2"/>
        </w:rPr>
        <w:t>Forestry and logging</w:t>
      </w:r>
      <w:r w:rsidRPr="00575350">
        <w:rPr>
          <w:spacing w:val="-2"/>
        </w:rPr>
        <w:t xml:space="preserve"> was 6.9 per cent in 2007</w:t>
      </w:r>
      <w:r w:rsidRPr="00575350">
        <w:rPr>
          <w:spacing w:val="-2"/>
        </w:rPr>
        <w:noBreakHyphen/>
        <w:t>08, negative 1.3 per cent in 2008</w:t>
      </w:r>
      <w:r w:rsidRPr="00575350">
        <w:rPr>
          <w:spacing w:val="-2"/>
        </w:rPr>
        <w:noBreakHyphen/>
        <w:t xml:space="preserve"> 09 and then back to 4.7 per cent in 2009</w:t>
      </w:r>
      <w:r w:rsidRPr="00575350">
        <w:rPr>
          <w:spacing w:val="-2"/>
        </w:rPr>
        <w:noBreakHyphen/>
        <w:t>10. This volatility resulted from changes in the direction of accelerated write</w:t>
      </w:r>
      <w:r w:rsidRPr="00575350">
        <w:rPr>
          <w:spacing w:val="-2"/>
        </w:rPr>
        <w:noBreakHyphen/>
        <w:t>offs on forestry</w:t>
      </w:r>
      <w:r w:rsidRPr="00575350">
        <w:rPr>
          <w:spacing w:val="-2"/>
        </w:rPr>
        <w:noBreakHyphen/>
        <w:t>managed investments from positive assistance in 2007</w:t>
      </w:r>
      <w:r w:rsidRPr="00575350">
        <w:rPr>
          <w:spacing w:val="-2"/>
        </w:rPr>
        <w:noBreakHyphen/>
        <w:t>08 (the acceleration stage) to increased taxation in 2008</w:t>
      </w:r>
      <w:r w:rsidRPr="00575350">
        <w:rPr>
          <w:spacing w:val="-2"/>
        </w:rPr>
        <w:noBreakHyphen/>
        <w:t>09 (the pay</w:t>
      </w:r>
      <w:r w:rsidRPr="00575350">
        <w:rPr>
          <w:spacing w:val="-2"/>
        </w:rPr>
        <w:noBreakHyphen/>
        <w:t xml:space="preserve">back stage). The Forestry Managed Investment Scheme was terminated on 30 June 2008. </w:t>
      </w:r>
    </w:p>
    <w:p w:rsidR="007544CA" w:rsidRDefault="007544CA" w:rsidP="00133508">
      <w:pPr>
        <w:pStyle w:val="Heading3"/>
      </w:pPr>
      <w:r>
        <w:t>Higher effective rates at finer levels of analysis</w:t>
      </w:r>
    </w:p>
    <w:p w:rsidR="007544CA" w:rsidRDefault="007544CA" w:rsidP="00133508">
      <w:pPr>
        <w:pStyle w:val="BodyText"/>
      </w:pPr>
      <w:r w:rsidRPr="004710F2">
        <w:t xml:space="preserve">While present effective rates </w:t>
      </w:r>
      <w:r>
        <w:t xml:space="preserve">for agriculture and manufacturing industries </w:t>
      </w:r>
      <w:r w:rsidRPr="004710F2">
        <w:t xml:space="preserve">are </w:t>
      </w:r>
      <w:r>
        <w:t xml:space="preserve">at a </w:t>
      </w:r>
      <w:r w:rsidRPr="004710F2">
        <w:t xml:space="preserve">historic low, the effective rate of assistance for an individual company or project can be </w:t>
      </w:r>
      <w:r>
        <w:t>substantial</w:t>
      </w:r>
      <w:r w:rsidRPr="004710F2">
        <w:t xml:space="preserve">. </w:t>
      </w:r>
      <w:r>
        <w:t xml:space="preserve">This arises when a grant program is targeted at particular </w:t>
      </w:r>
      <w:r w:rsidRPr="004710F2">
        <w:t>goods</w:t>
      </w:r>
      <w:r>
        <w:noBreakHyphen/>
      </w:r>
      <w:r w:rsidRPr="004710F2">
        <w:t>producing and service</w:t>
      </w:r>
      <w:r>
        <w:t>s</w:t>
      </w:r>
      <w:r w:rsidRPr="004710F2">
        <w:t xml:space="preserve"> activities </w:t>
      </w:r>
      <w:r>
        <w:t xml:space="preserve">and </w:t>
      </w:r>
      <w:r w:rsidRPr="004710F2">
        <w:t>provide</w:t>
      </w:r>
      <w:r>
        <w:t>s</w:t>
      </w:r>
      <w:r w:rsidRPr="004710F2">
        <w:t xml:space="preserve"> </w:t>
      </w:r>
      <w:r>
        <w:t xml:space="preserve">a </w:t>
      </w:r>
      <w:r w:rsidRPr="004710F2">
        <w:t xml:space="preserve">subsidy equivalent for </w:t>
      </w:r>
      <w:r>
        <w:t xml:space="preserve">the </w:t>
      </w:r>
      <w:r w:rsidRPr="004710F2">
        <w:t xml:space="preserve">supported projects well above </w:t>
      </w:r>
      <w:r>
        <w:t xml:space="preserve">the </w:t>
      </w:r>
      <w:r w:rsidRPr="004710F2">
        <w:t>industry average</w:t>
      </w:r>
      <w:r>
        <w:t xml:space="preserve"> (</w:t>
      </w:r>
      <w:r w:rsidRPr="0082692A">
        <w:t>box 2.</w:t>
      </w:r>
      <w:r>
        <w:t>3</w:t>
      </w:r>
      <w:r w:rsidRPr="0082692A">
        <w:t>).</w:t>
      </w:r>
      <w:r w:rsidRPr="004710F2">
        <w:t xml:space="preserve"> </w:t>
      </w:r>
      <w:r>
        <w:t xml:space="preserve">Advantage conferred to a specific firm or activity in this way </w:t>
      </w:r>
      <w:r w:rsidRPr="004710F2">
        <w:t xml:space="preserve">can be quite distortionary, </w:t>
      </w:r>
      <w:r>
        <w:t xml:space="preserve">both </w:t>
      </w:r>
      <w:r w:rsidRPr="004710F2">
        <w:t>within an industry as well as at the economy</w:t>
      </w:r>
      <w:r>
        <w:noBreakHyphen/>
      </w:r>
      <w:r w:rsidRPr="004710F2">
        <w:t>wide level.</w:t>
      </w:r>
      <w:r>
        <w:t xml:space="preserve"> </w:t>
      </w:r>
    </w:p>
    <w:p w:rsidR="007544CA" w:rsidRDefault="00366344" w:rsidP="00133508">
      <w:pPr>
        <w:pStyle w:val="Heading2"/>
      </w:pPr>
      <w:r>
        <w:fldChar w:fldCharType="begin" w:fldLock="1"/>
      </w:r>
      <w:r>
        <w:instrText xml:space="preserve"> COMMENTS  \* MERGEFORMAT </w:instrText>
      </w:r>
      <w:r>
        <w:fldChar w:fldCharType="separate"/>
      </w:r>
      <w:r w:rsidR="007544CA">
        <w:t>2.</w:t>
      </w:r>
      <w:r>
        <w:fldChar w:fldCharType="end"/>
      </w:r>
      <w:r>
        <w:fldChar w:fldCharType="begin" w:fldLock="1"/>
      </w:r>
      <w:r>
        <w:instrText xml:space="preserve"> SEQ He</w:instrText>
      </w:r>
      <w:r>
        <w:instrText xml:space="preserve">ading2 </w:instrText>
      </w:r>
      <w:r>
        <w:fldChar w:fldCharType="separate"/>
      </w:r>
      <w:r w:rsidR="007544CA">
        <w:rPr>
          <w:noProof/>
        </w:rPr>
        <w:t>4</w:t>
      </w:r>
      <w:r>
        <w:rPr>
          <w:noProof/>
        </w:rPr>
        <w:fldChar w:fldCharType="end"/>
      </w:r>
      <w:r w:rsidR="007544CA">
        <w:tab/>
        <w:t>Effective rates of assistance since 1970</w:t>
      </w:r>
    </w:p>
    <w:p w:rsidR="007544CA" w:rsidRDefault="007544CA" w:rsidP="00133508">
      <w:pPr>
        <w:pStyle w:val="BodyText"/>
      </w:pPr>
      <w:r>
        <w:t xml:space="preserve">The Commission has estimated effective rates of assistance to the manufacturing and agricultural sectors since the early </w:t>
      </w:r>
      <w:proofErr w:type="spellStart"/>
      <w:r>
        <w:t>1970s</w:t>
      </w:r>
      <w:proofErr w:type="spellEnd"/>
      <w:r>
        <w:t xml:space="preserve">. The estimates have been derived in several ‘series’, each spanning a number of consecutive years, with each series retaining a common methodology, coverage of measures and data sources across those years. While methodologies and data sources have changed between series, taken together, the series provide a broad indication of directions and trends in assistance at the sectoral level. </w:t>
      </w:r>
    </w:p>
    <w:p w:rsidR="007544CA" w:rsidRPr="0096472F" w:rsidRDefault="007544CA" w:rsidP="00133508">
      <w:pPr>
        <w:pStyle w:val="BodyText"/>
        <w:rPr>
          <w:spacing w:val="-2"/>
        </w:rPr>
      </w:pPr>
      <w:r w:rsidRPr="0096472F">
        <w:rPr>
          <w:spacing w:val="-2"/>
        </w:rPr>
        <w:t>Figure 2.6 presents effective rate of assistance estimates from the different series from 1970</w:t>
      </w:r>
      <w:r w:rsidRPr="0096472F">
        <w:rPr>
          <w:spacing w:val="-2"/>
        </w:rPr>
        <w:noBreakHyphen/>
        <w:t>71 to the present. Breaks in the series are represented by gaps in the chart, and overlaps are included to show the effe</w:t>
      </w:r>
      <w:bookmarkStart w:id="12" w:name="_GoBack"/>
      <w:bookmarkEnd w:id="12"/>
      <w:r w:rsidRPr="0096472F">
        <w:rPr>
          <w:spacing w:val="-2"/>
        </w:rPr>
        <w:t>cts of the methodological and data changes made in moving between series. In figure 2.</w:t>
      </w:r>
      <w:r w:rsidR="00366344">
        <w:rPr>
          <w:spacing w:val="-2"/>
        </w:rPr>
        <w:t>6</w:t>
      </w:r>
      <w:r w:rsidRPr="0096472F">
        <w:rPr>
          <w:spacing w:val="-2"/>
        </w:rPr>
        <w:t>, estimates of the effective rate of assistance for the previous 2004</w:t>
      </w:r>
      <w:r w:rsidRPr="0096472F">
        <w:rPr>
          <w:spacing w:val="-2"/>
        </w:rPr>
        <w:noBreakHyphen/>
        <w:t>05 benchmarked series are reported for the years 2005</w:t>
      </w:r>
      <w:r w:rsidRPr="0096472F">
        <w:rPr>
          <w:spacing w:val="-2"/>
        </w:rPr>
        <w:noBreakHyphen/>
        <w:t>06 to 2008</w:t>
      </w:r>
      <w:r w:rsidRPr="0096472F">
        <w:rPr>
          <w:spacing w:val="-2"/>
        </w:rPr>
        <w:noBreakHyphen/>
        <w:t>09. Estimates for the current 2008</w:t>
      </w:r>
      <w:r w:rsidRPr="0096472F">
        <w:rPr>
          <w:spacing w:val="-2"/>
        </w:rPr>
        <w:noBreakHyphen/>
        <w:t>09 benchmark series are reported for the years 2006</w:t>
      </w:r>
      <w:r w:rsidRPr="0096472F">
        <w:rPr>
          <w:spacing w:val="-2"/>
        </w:rPr>
        <w:noBreakHyphen/>
        <w:t>07 to 2014</w:t>
      </w:r>
      <w:r w:rsidRPr="0096472F">
        <w:rPr>
          <w:spacing w:val="-2"/>
        </w:rPr>
        <w:noBreakHyphen/>
        <w:t xml:space="preserve">15. </w:t>
      </w:r>
    </w:p>
    <w:p w:rsidR="007544CA" w:rsidRDefault="007544CA" w:rsidP="0013350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F2F2F2"/>
          </w:tcPr>
          <w:p w:rsidR="007544CA" w:rsidRDefault="007544CA" w:rsidP="00133508">
            <w:pPr>
              <w:pStyle w:val="BoxTitle"/>
            </w:pPr>
            <w:r>
              <w:rPr>
                <w:b w:val="0"/>
              </w:rPr>
              <w:t xml:space="preserve">Box </w:t>
            </w:r>
            <w:bookmarkStart w:id="13" w:name="OLE_LINK5"/>
            <w:r>
              <w:rPr>
                <w:b w:val="0"/>
              </w:rPr>
              <w:fldChar w:fldCharType="begin" w:fldLock="1"/>
            </w:r>
            <w:r>
              <w:rPr>
                <w:b w:val="0"/>
              </w:rPr>
              <w:instrText xml:space="preserve"> COMMENTS  \* MERGEFORMAT </w:instrText>
            </w:r>
            <w:r>
              <w:rPr>
                <w:b w:val="0"/>
              </w:rPr>
              <w:fldChar w:fldCharType="separate"/>
            </w:r>
            <w:r>
              <w:rPr>
                <w:b w:val="0"/>
              </w:rPr>
              <w:t>2.</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3</w:t>
            </w:r>
            <w:r>
              <w:rPr>
                <w:b w:val="0"/>
              </w:rPr>
              <w:fldChar w:fldCharType="end"/>
            </w:r>
            <w:bookmarkEnd w:id="13"/>
            <w:r>
              <w:tab/>
              <w:t>Assistance measures that provide above average levels of support</w:t>
            </w:r>
          </w:p>
        </w:tc>
      </w:tr>
      <w:tr w:rsidR="007544CA" w:rsidTr="00133508">
        <w:trPr>
          <w:cantSplit/>
        </w:trPr>
        <w:tc>
          <w:tcPr>
            <w:tcW w:w="8771" w:type="dxa"/>
            <w:tcBorders>
              <w:top w:val="nil"/>
              <w:left w:val="nil"/>
              <w:bottom w:val="nil"/>
              <w:right w:val="nil"/>
            </w:tcBorders>
            <w:shd w:val="clear" w:color="auto" w:fill="F2F2F2"/>
          </w:tcPr>
          <w:p w:rsidR="007544CA" w:rsidRDefault="007544CA" w:rsidP="00133508">
            <w:pPr>
              <w:pStyle w:val="Box"/>
            </w:pPr>
            <w:r>
              <w:t>The level of effective assistance that accrues to a company or project from a grant program is an empirical question. Unless all companies produce the same products using the same input mix, some will receive effective assistance above and some below average. So the key empirical question is how variable the rates of assistance are to companies and products within an industry. Unfortunately, the information on output, value</w:t>
            </w:r>
            <w:r>
              <w:noBreakHyphen/>
              <w:t>added and inputs required to estimate effective assistance at the company level is not available on a consistent basis. However, all else equal, grant programs that afford matched funding or which target one or a small range of firms (or projects) will potentially confer higher levels of relative assistance. Some examples of government support with the potential to provide above industry</w:t>
            </w:r>
            <w:r>
              <w:noBreakHyphen/>
              <w:t>average assistance levels include the following.</w:t>
            </w:r>
          </w:p>
          <w:p w:rsidR="007544CA" w:rsidRDefault="007544CA" w:rsidP="00133508">
            <w:pPr>
              <w:pStyle w:val="BoxListBullet"/>
              <w:tabs>
                <w:tab w:val="num" w:pos="403"/>
              </w:tabs>
              <w:ind w:left="403" w:hanging="425"/>
            </w:pPr>
            <w:r>
              <w:t>Film industry offsets — government support provided by the producer tax offset (part of the Australian Screen Production Incentive) amounted to $143 million in 2014</w:t>
            </w:r>
            <w:r>
              <w:noBreakHyphen/>
              <w:t>15. This assistance provided $837 million for production budgets for the Australian film and television industry which amounted to over 17 per cent of production costs (SA 2016). (The comparable rate for 2013</w:t>
            </w:r>
            <w:r>
              <w:noBreakHyphen/>
              <w:t>14 was 20 per cent). The film industry also receives assistance from the state and territory film support programs, Screen Australia and the Export Finance and Insurance Corporation.</w:t>
            </w:r>
          </w:p>
          <w:p w:rsidR="007544CA" w:rsidRDefault="007544CA" w:rsidP="00133508">
            <w:pPr>
              <w:pStyle w:val="BoxListBullet"/>
              <w:tabs>
                <w:tab w:val="num" w:pos="403"/>
              </w:tabs>
              <w:ind w:left="403" w:hanging="425"/>
            </w:pPr>
            <w:r>
              <w:t>Tasmanian Freight Equalisation Scheme (</w:t>
            </w:r>
            <w:proofErr w:type="spellStart"/>
            <w:r>
              <w:t>TFES</w:t>
            </w:r>
            <w:proofErr w:type="spellEnd"/>
            <w:r>
              <w:t xml:space="preserve">) — around </w:t>
            </w:r>
            <w:r w:rsidRPr="00F0029D">
              <w:t>50</w:t>
            </w:r>
            <w:r>
              <w:t> </w:t>
            </w:r>
            <w:r w:rsidRPr="00F0029D">
              <w:t>per</w:t>
            </w:r>
            <w:r>
              <w:t> </w:t>
            </w:r>
            <w:r w:rsidRPr="00F0029D">
              <w:t xml:space="preserve">cent of the total amount claimed </w:t>
            </w:r>
            <w:r>
              <w:t xml:space="preserve">goes </w:t>
            </w:r>
            <w:r w:rsidRPr="00F0029D">
              <w:t>to 10</w:t>
            </w:r>
            <w:r>
              <w:t> </w:t>
            </w:r>
            <w:r w:rsidRPr="00CF09CF">
              <w:t>recipients (PC </w:t>
            </w:r>
            <w:proofErr w:type="spellStart"/>
            <w:r w:rsidRPr="00CF09CF">
              <w:t>2014</w:t>
            </w:r>
            <w:r>
              <w:t>d</w:t>
            </w:r>
            <w:proofErr w:type="spellEnd"/>
            <w:r w:rsidRPr="00CF09CF">
              <w:t>).</w:t>
            </w:r>
            <w:r>
              <w:t xml:space="preserve"> </w:t>
            </w:r>
          </w:p>
          <w:p w:rsidR="007544CA" w:rsidRDefault="007544CA" w:rsidP="00133508">
            <w:pPr>
              <w:pStyle w:val="BoxListBullet"/>
              <w:tabs>
                <w:tab w:val="num" w:pos="403"/>
              </w:tabs>
              <w:ind w:left="403" w:hanging="425"/>
            </w:pPr>
            <w:r>
              <w:t>Ethanol production subsidy — between 2003</w:t>
            </w:r>
            <w:r>
              <w:noBreakHyphen/>
              <w:t>04 and 2013</w:t>
            </w:r>
            <w:r>
              <w:noBreakHyphen/>
              <w:t>14, participants in the program ranged from between 1 and 5 firms, with a single firm receiving over 70 per cent of funding over the life of the program (</w:t>
            </w:r>
            <w:proofErr w:type="spellStart"/>
            <w:r>
              <w:t>ANAO</w:t>
            </w:r>
            <w:proofErr w:type="spellEnd"/>
            <w:r>
              <w:t xml:space="preserve"> 2015). </w:t>
            </w:r>
          </w:p>
          <w:p w:rsidR="007544CA" w:rsidRPr="00CF09CF" w:rsidRDefault="007544CA" w:rsidP="00133508">
            <w:pPr>
              <w:pStyle w:val="BoxListBullet"/>
              <w:tabs>
                <w:tab w:val="num" w:pos="403"/>
              </w:tabs>
              <w:ind w:left="403" w:hanging="425"/>
            </w:pPr>
            <w:r w:rsidRPr="00CF09CF">
              <w:t>Co</w:t>
            </w:r>
            <w:r>
              <w:noBreakHyphen/>
            </w:r>
            <w:r w:rsidRPr="00CF09CF">
              <w:t>investment grants — over the three years to 2013</w:t>
            </w:r>
            <w:r w:rsidRPr="00CF09CF">
              <w:noBreakHyphen/>
              <w:t>14, nearly $50 million in co</w:t>
            </w:r>
            <w:r>
              <w:noBreakHyphen/>
            </w:r>
            <w:r w:rsidRPr="00CF09CF">
              <w:t xml:space="preserve">investment grants </w:t>
            </w:r>
            <w:r>
              <w:t>was</w:t>
            </w:r>
            <w:r w:rsidRPr="00CF09CF">
              <w:t xml:space="preserve"> paid to four firms by the Australian Government. These payments can confer high levels of assistance at the individual firm or project level (PC 2015). </w:t>
            </w:r>
          </w:p>
          <w:p w:rsidR="007544CA" w:rsidRDefault="007544CA" w:rsidP="00133508">
            <w:pPr>
              <w:pStyle w:val="BoxListBullet"/>
              <w:tabs>
                <w:tab w:val="num" w:pos="403"/>
              </w:tabs>
              <w:ind w:left="403" w:hanging="425"/>
            </w:pPr>
            <w:r>
              <w:t xml:space="preserve">Regional business investment grants — payments have typically been up to 50 per cent of the project costs, conferring high effective rates of assistance to recipients. </w:t>
            </w:r>
          </w:p>
          <w:p w:rsidR="007544CA" w:rsidRDefault="007544CA" w:rsidP="00133508">
            <w:pPr>
              <w:pStyle w:val="BoxListBullet"/>
              <w:tabs>
                <w:tab w:val="num" w:pos="403"/>
              </w:tabs>
              <w:ind w:left="403" w:hanging="425"/>
            </w:pPr>
            <w:r>
              <w:t>Local submarine assembly — the effective rate of assistance for building the proposed submarines locally, at a reported premium of around 30 per cent more than an overseas assembly, has been estimated to be around 300 per cent, perhaps a record high (see chapter 3).</w:t>
            </w:r>
          </w:p>
        </w:tc>
      </w:tr>
      <w:tr w:rsidR="007544CA" w:rsidTr="00133508">
        <w:trPr>
          <w:cantSplit/>
        </w:trPr>
        <w:tc>
          <w:tcPr>
            <w:tcW w:w="8771" w:type="dxa"/>
            <w:tcBorders>
              <w:top w:val="nil"/>
              <w:left w:val="nil"/>
              <w:bottom w:val="single" w:sz="6" w:space="0" w:color="78A22F"/>
              <w:right w:val="nil"/>
            </w:tcBorders>
            <w:shd w:val="clear" w:color="auto" w:fill="F2F2F2"/>
          </w:tcPr>
          <w:p w:rsidR="007544CA" w:rsidRDefault="007544CA" w:rsidP="00133508">
            <w:pPr>
              <w:pStyle w:val="Box"/>
              <w:spacing w:before="0" w:line="120" w:lineRule="exact"/>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Default="007544CA" w:rsidP="00133508">
            <w:pPr>
              <w:pStyle w:val="FigureTitle"/>
            </w:pPr>
            <w:r w:rsidRPr="00BF6882">
              <w:rPr>
                <w:b w:val="0"/>
              </w:rPr>
              <w:t xml:space="preserve">Figure </w:t>
            </w:r>
            <w:bookmarkStart w:id="14" w:name="OLE_LINK16"/>
            <w:r w:rsidRPr="00BF6882">
              <w:rPr>
                <w:b w:val="0"/>
              </w:rPr>
              <w:fldChar w:fldCharType="begin" w:fldLock="1"/>
            </w:r>
            <w:r w:rsidRPr="00BF6882">
              <w:rPr>
                <w:b w:val="0"/>
              </w:rPr>
              <w:instrText xml:space="preserve"> COMMENTS  \* MERGEFORMAT </w:instrText>
            </w:r>
            <w:r w:rsidRPr="00BF6882">
              <w:rPr>
                <w:b w:val="0"/>
              </w:rPr>
              <w:fldChar w:fldCharType="separate"/>
            </w:r>
            <w:r>
              <w:rPr>
                <w:b w:val="0"/>
              </w:rPr>
              <w:t>2.</w:t>
            </w:r>
            <w:r w:rsidRPr="00BF6882">
              <w:rPr>
                <w:b w:val="0"/>
              </w:rPr>
              <w:fldChar w:fldCharType="end"/>
            </w:r>
            <w:r w:rsidRPr="00BF6882">
              <w:rPr>
                <w:b w:val="0"/>
              </w:rPr>
              <w:fldChar w:fldCharType="begin" w:fldLock="1"/>
            </w:r>
            <w:r w:rsidRPr="00BF6882">
              <w:rPr>
                <w:b w:val="0"/>
              </w:rPr>
              <w:instrText xml:space="preserve"> SEQ Figure \* ARABIC </w:instrText>
            </w:r>
            <w:r w:rsidRPr="00BF6882">
              <w:rPr>
                <w:b w:val="0"/>
              </w:rPr>
              <w:fldChar w:fldCharType="separate"/>
            </w:r>
            <w:r>
              <w:rPr>
                <w:b w:val="0"/>
                <w:noProof/>
              </w:rPr>
              <w:t>6</w:t>
            </w:r>
            <w:r w:rsidRPr="00BF6882">
              <w:rPr>
                <w:b w:val="0"/>
                <w:noProof/>
              </w:rPr>
              <w:fldChar w:fldCharType="end"/>
            </w:r>
            <w:bookmarkEnd w:id="14"/>
            <w:r>
              <w:tab/>
              <w:t>Effective rates of assistance to manufacturing and agriculture,</w:t>
            </w:r>
            <w:r w:rsidRPr="00575350">
              <w:rPr>
                <w:rStyle w:val="NoteLabel"/>
                <w:rFonts w:ascii="Arial Bold" w:hAnsi="Arial Bold"/>
                <w:b/>
                <w:position w:val="10"/>
              </w:rPr>
              <w:t>a</w:t>
            </w:r>
            <w:r>
              <w:t xml:space="preserve"> 1970</w:t>
            </w:r>
            <w:r>
              <w:noBreakHyphen/>
              <w:t>71 to 2014</w:t>
            </w:r>
            <w:r>
              <w:noBreakHyphen/>
              <w:t>15</w:t>
            </w:r>
          </w:p>
          <w:p w:rsidR="007544CA" w:rsidRPr="00176D3F" w:rsidRDefault="007544CA" w:rsidP="00133508">
            <w:pPr>
              <w:pStyle w:val="Subtitle"/>
            </w:pPr>
            <w:r>
              <w:t>per cent</w:t>
            </w:r>
          </w:p>
        </w:tc>
      </w:tr>
      <w:tr w:rsidR="007544CA" w:rsidTr="0013350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7544CA" w:rsidTr="00133508">
              <w:trPr>
                <w:jc w:val="center"/>
              </w:trPr>
              <w:tc>
                <w:tcPr>
                  <w:tcW w:w="8504" w:type="dxa"/>
                  <w:tcBorders>
                    <w:top w:val="nil"/>
                    <w:bottom w:val="nil"/>
                  </w:tcBorders>
                </w:tcPr>
                <w:p w:rsidR="007544CA" w:rsidRDefault="007544CA" w:rsidP="00133508">
                  <w:pPr>
                    <w:pStyle w:val="Figure"/>
                    <w:spacing w:before="60" w:after="60"/>
                  </w:pPr>
                  <w:r>
                    <w:rPr>
                      <w:noProof/>
                    </w:rPr>
                    <w:drawing>
                      <wp:inline distT="0" distB="0" distL="0" distR="0" wp14:anchorId="786A95D0" wp14:editId="2C0238C3">
                        <wp:extent cx="5381625" cy="2838450"/>
                        <wp:effectExtent l="0" t="0" r="9525" b="0"/>
                        <wp:docPr id="13" name="Picture 13" descr="This figure shows the effective rate of assistance for both manufacturing and agriculture have both declined from around 30 per cent in 1970 to around 5 per cent by 2000 with some minor further reduction to 2014-15. The figure shows significant milestones in this pattern: the 1973 across the board cut in tariffs; commencement of phasing out of TCF quotas in 1987; the tariff cuts in the May 1988 Economic Statement; the tariff cuts in the 1991 Building Competitive Australia initiative; the end of TCF quotas in 1993; setting the maximum automotive tariff at 5 per cent in 2010 and setting the maximum TCF tariff at 5 per cent in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81625" cy="2838450"/>
                                </a:xfrm>
                                <a:prstGeom prst="rect">
                                  <a:avLst/>
                                </a:prstGeom>
                                <a:noFill/>
                                <a:ln>
                                  <a:noFill/>
                                </a:ln>
                              </pic:spPr>
                            </pic:pic>
                          </a:graphicData>
                        </a:graphic>
                      </wp:inline>
                    </w:drawing>
                  </w:r>
                </w:p>
              </w:tc>
            </w:tr>
          </w:tbl>
          <w:p w:rsidR="007544CA" w:rsidRDefault="007544CA" w:rsidP="00133508">
            <w:pPr>
              <w:pStyle w:val="Figure"/>
            </w:pPr>
          </w:p>
        </w:tc>
      </w:tr>
      <w:tr w:rsidR="007544CA" w:rsidRPr="00176D3F" w:rsidTr="00133508">
        <w:tc>
          <w:tcPr>
            <w:tcW w:w="8771" w:type="dxa"/>
            <w:tcBorders>
              <w:top w:val="nil"/>
              <w:left w:val="nil"/>
              <w:bottom w:val="nil"/>
              <w:right w:val="nil"/>
            </w:tcBorders>
            <w:shd w:val="clear" w:color="auto" w:fill="auto"/>
          </w:tcPr>
          <w:p w:rsidR="007544CA" w:rsidRPr="00176D3F" w:rsidRDefault="007544CA" w:rsidP="00133508">
            <w:pPr>
              <w:pStyle w:val="Note"/>
            </w:pPr>
            <w:r>
              <w:rPr>
                <w:rStyle w:val="NoteLabel"/>
              </w:rPr>
              <w:t>a</w:t>
            </w:r>
            <w:r>
              <w:t> </w:t>
            </w:r>
            <w:r w:rsidRPr="007E3CF1">
              <w:t>Refers to selected agriculture activities up to and including the year 2000</w:t>
            </w:r>
            <w:r>
              <w:noBreakHyphen/>
            </w:r>
            <w:r w:rsidRPr="007E3CF1">
              <w:t>01. From 2001</w:t>
            </w:r>
            <w:r>
              <w:noBreakHyphen/>
            </w:r>
            <w:r w:rsidRPr="007E3CF1">
              <w:t>02, estimates refer to division A of the Australian and New Zealand Standard Industrial Classification which covers agriculture, forestry, fishing and hunting activities.</w:t>
            </w:r>
            <w:r>
              <w:t xml:space="preserve"> </w:t>
            </w:r>
          </w:p>
        </w:tc>
      </w:tr>
      <w:tr w:rsidR="007544CA" w:rsidRPr="00176D3F" w:rsidTr="00133508">
        <w:tc>
          <w:tcPr>
            <w:tcW w:w="8771" w:type="dxa"/>
            <w:tcBorders>
              <w:top w:val="nil"/>
              <w:left w:val="nil"/>
              <w:bottom w:val="nil"/>
              <w:right w:val="nil"/>
            </w:tcBorders>
            <w:shd w:val="clear" w:color="auto" w:fill="auto"/>
          </w:tcPr>
          <w:p w:rsidR="007544CA" w:rsidRPr="00176D3F" w:rsidRDefault="007544CA" w:rsidP="00133508">
            <w:pPr>
              <w:pStyle w:val="Source"/>
            </w:pPr>
            <w:r>
              <w:rPr>
                <w:i/>
              </w:rPr>
              <w:t>S</w:t>
            </w:r>
            <w:r w:rsidRPr="00784A05">
              <w:rPr>
                <w:i/>
              </w:rPr>
              <w:t>ource</w:t>
            </w:r>
            <w:r w:rsidRPr="00176D3F">
              <w:t xml:space="preserve">: </w:t>
            </w:r>
            <w:r>
              <w:t xml:space="preserve">Commission estimates. </w:t>
            </w:r>
          </w:p>
        </w:tc>
      </w:tr>
      <w:tr w:rsidR="007544CA" w:rsidTr="00133508">
        <w:tc>
          <w:tcPr>
            <w:tcW w:w="8771" w:type="dxa"/>
            <w:tcBorders>
              <w:top w:val="nil"/>
              <w:left w:val="nil"/>
              <w:bottom w:val="single" w:sz="6" w:space="0" w:color="78A22F"/>
              <w:right w:val="nil"/>
            </w:tcBorders>
            <w:shd w:val="clear" w:color="auto" w:fill="auto"/>
          </w:tcPr>
          <w:p w:rsidR="007544CA" w:rsidRDefault="007544CA" w:rsidP="00133508">
            <w:pPr>
              <w:pStyle w:val="Figurespace"/>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Heading3"/>
      </w:pPr>
      <w:r>
        <w:t>Manufacturing</w:t>
      </w:r>
    </w:p>
    <w:p w:rsidR="007544CA" w:rsidRDefault="007544CA" w:rsidP="00133508">
      <w:pPr>
        <w:pStyle w:val="BodyText"/>
      </w:pPr>
      <w:r w:rsidRPr="00F2351F">
        <w:t xml:space="preserve">The estimates indicate a marked </w:t>
      </w:r>
      <w:r>
        <w:t>fall</w:t>
      </w:r>
      <w:r w:rsidRPr="00F2351F">
        <w:t xml:space="preserve"> in measured assistance to the manufacturing sector over the last </w:t>
      </w:r>
      <w:r>
        <w:t>4</w:t>
      </w:r>
      <w:r w:rsidRPr="00F2351F">
        <w:t>5 years. The estimated effective rate of assistance for manufacturing as a whole (as calculated in the first series) was around 35</w:t>
      </w:r>
      <w:r>
        <w:t> </w:t>
      </w:r>
      <w:r w:rsidRPr="00F2351F">
        <w:t>per</w:t>
      </w:r>
      <w:r>
        <w:t> </w:t>
      </w:r>
      <w:r w:rsidRPr="00F2351F">
        <w:t>cent in 1970</w:t>
      </w:r>
      <w:r>
        <w:noBreakHyphen/>
      </w:r>
      <w:r w:rsidRPr="00F2351F">
        <w:t>71</w:t>
      </w:r>
      <w:r>
        <w:t>. S</w:t>
      </w:r>
      <w:r w:rsidRPr="00F2351F">
        <w:t>ince 2000, the rate has been around 5 per cent</w:t>
      </w:r>
      <w:r w:rsidRPr="007929D9">
        <w:t xml:space="preserve">, declining to around 4 per cent in more recent years. </w:t>
      </w:r>
    </w:p>
    <w:p w:rsidR="007544CA" w:rsidRDefault="007544CA" w:rsidP="00133508">
      <w:pPr>
        <w:pStyle w:val="BodyText"/>
      </w:pPr>
      <w:r w:rsidRPr="00F2351F">
        <w:t xml:space="preserve">Major influences on this </w:t>
      </w:r>
      <w:r>
        <w:t>fall</w:t>
      </w:r>
      <w:r w:rsidRPr="00F2351F">
        <w:t xml:space="preserve"> over the past four decades have been the </w:t>
      </w:r>
      <w:bookmarkStart w:id="15" w:name="OLE_LINK4"/>
      <w:r w:rsidRPr="00F2351F">
        <w:t>25</w:t>
      </w:r>
      <w:r>
        <w:t> </w:t>
      </w:r>
      <w:r w:rsidRPr="00F2351F">
        <w:t>per</w:t>
      </w:r>
      <w:r>
        <w:t> </w:t>
      </w:r>
      <w:r w:rsidRPr="00F2351F">
        <w:t>cent across</w:t>
      </w:r>
      <w:r>
        <w:noBreakHyphen/>
      </w:r>
      <w:r w:rsidRPr="00F2351F">
        <w:t>the</w:t>
      </w:r>
      <w:r>
        <w:noBreakHyphen/>
      </w:r>
      <w:r w:rsidRPr="00F2351F">
        <w:t>board tariff cut</w:t>
      </w:r>
      <w:bookmarkEnd w:id="15"/>
      <w:r w:rsidRPr="00F2351F">
        <w:t xml:space="preserve"> of 1973</w:t>
      </w:r>
      <w:r>
        <w:t xml:space="preserve">, the removal of all quantitative import restrictions (except for textiles, clothing and footwear) by 1988, and the </w:t>
      </w:r>
      <w:r w:rsidRPr="00F2351F">
        <w:t xml:space="preserve">broad programs of tariff reductions that commenced in the late </w:t>
      </w:r>
      <w:proofErr w:type="spellStart"/>
      <w:r w:rsidRPr="00F2351F">
        <w:t>1980s</w:t>
      </w:r>
      <w:proofErr w:type="spellEnd"/>
      <w:r>
        <w:t xml:space="preserve">. Under </w:t>
      </w:r>
      <w:bookmarkStart w:id="16" w:name="OLE_LINK13"/>
      <w:r>
        <w:t xml:space="preserve">the May 1988 </w:t>
      </w:r>
      <w:r w:rsidRPr="008D4FC5">
        <w:rPr>
          <w:i/>
        </w:rPr>
        <w:t>Economic Statement</w:t>
      </w:r>
      <w:r>
        <w:t xml:space="preserve"> the Government introduced an across</w:t>
      </w:r>
      <w:r>
        <w:noBreakHyphen/>
        <w:t>the</w:t>
      </w:r>
      <w:r>
        <w:noBreakHyphen/>
        <w:t>board program to phase down all tariffs (except for passenger motor vehicles and textiles, clothing and footwear activities which had their own tariff reduction programs) to either 10 per cent or 15 per cent by 1992</w:t>
      </w:r>
      <w:bookmarkEnd w:id="16"/>
      <w:r>
        <w:t xml:space="preserve">. </w:t>
      </w:r>
    </w:p>
    <w:p w:rsidR="007544CA" w:rsidRDefault="007544CA" w:rsidP="00133508">
      <w:pPr>
        <w:pStyle w:val="BodyText"/>
      </w:pPr>
      <w:r>
        <w:t xml:space="preserve">Reductions in general tariff rates were continued with </w:t>
      </w:r>
      <w:bookmarkStart w:id="17" w:name="OLE_LINK17"/>
      <w:r>
        <w:t xml:space="preserve">the 1991 </w:t>
      </w:r>
      <w:r w:rsidRPr="008D4FC5">
        <w:rPr>
          <w:i/>
        </w:rPr>
        <w:t>Building a Competitive Australia</w:t>
      </w:r>
      <w:r>
        <w:t xml:space="preserve"> initiative which reduced general tariff rates from 15 and 10 per cent to a single rate of 5 per cent over the four years from 1992 to 1996</w:t>
      </w:r>
      <w:r w:rsidRPr="00F2351F">
        <w:t xml:space="preserve">. </w:t>
      </w:r>
      <w:r>
        <w:t xml:space="preserve">As part of the initiative, tariffs on passenger motor vehicles were reduced to 15 per cent by 2000. </w:t>
      </w:r>
      <w:bookmarkStart w:id="18" w:name="OLE_LINK18"/>
      <w:r>
        <w:t xml:space="preserve">For textiles, clothing and </w:t>
      </w:r>
      <w:r>
        <w:lastRenderedPageBreak/>
        <w:t xml:space="preserve">footwear activities import quotas were abolished by 1993 </w:t>
      </w:r>
      <w:bookmarkEnd w:id="18"/>
      <w:r>
        <w:t xml:space="preserve">and tariffs phased down to a maximum of 25 per cent by 2000. </w:t>
      </w:r>
      <w:bookmarkEnd w:id="17"/>
    </w:p>
    <w:p w:rsidR="007544CA" w:rsidRPr="00E170B5" w:rsidRDefault="007544CA" w:rsidP="00133508">
      <w:pPr>
        <w:pStyle w:val="BodyText"/>
      </w:pPr>
      <w:r>
        <w:t>Subsequent falls</w:t>
      </w:r>
      <w:r w:rsidRPr="00F2351F">
        <w:t xml:space="preserve"> </w:t>
      </w:r>
      <w:r>
        <w:t xml:space="preserve">in effective assistance to manufacturing </w:t>
      </w:r>
      <w:r w:rsidRPr="00F2351F">
        <w:t>have been associated mainly with reductions in tariff assistance to the</w:t>
      </w:r>
      <w:r w:rsidRPr="008F1FA3">
        <w:t xml:space="preserve"> textile, clothing and footwear, and passenger motor vehicle industries</w:t>
      </w:r>
      <w:r w:rsidRPr="00F2351F">
        <w:t xml:space="preserve">. </w:t>
      </w:r>
      <w:r>
        <w:t>Tariffs on passenger motor vehicles were further reduced from the 15 per cent set in January 2000 to 10 per cent in January 2005 and 5 per cent in January 2010. After the termination of tariff quotas in 1993 and the phasing of tariffs to a maximum of 25 per cent by the y</w:t>
      </w:r>
      <w:r w:rsidRPr="00E170B5">
        <w:t>ear 2000</w:t>
      </w:r>
      <w:r>
        <w:t>, m</w:t>
      </w:r>
      <w:r w:rsidRPr="00E170B5">
        <w:t xml:space="preserve">aximum </w:t>
      </w:r>
      <w:r>
        <w:t>TCF</w:t>
      </w:r>
      <w:r w:rsidRPr="00E170B5">
        <w:t xml:space="preserve"> tariffs were </w:t>
      </w:r>
      <w:r>
        <w:t xml:space="preserve">reduced to </w:t>
      </w:r>
      <w:r w:rsidRPr="00E170B5">
        <w:t>17.5</w:t>
      </w:r>
      <w:r>
        <w:t> per cent in January </w:t>
      </w:r>
      <w:r w:rsidRPr="00E170B5">
        <w:t>2005</w:t>
      </w:r>
      <w:r>
        <w:t xml:space="preserve">, </w:t>
      </w:r>
      <w:r w:rsidRPr="00E170B5">
        <w:t>10</w:t>
      </w:r>
      <w:r>
        <w:t> per cent in January </w:t>
      </w:r>
      <w:r w:rsidRPr="00E170B5">
        <w:t>2010</w:t>
      </w:r>
      <w:r>
        <w:t>,</w:t>
      </w:r>
      <w:r w:rsidRPr="00E170B5">
        <w:t xml:space="preserve"> and </w:t>
      </w:r>
      <w:r>
        <w:t xml:space="preserve">5 per cent in </w:t>
      </w:r>
      <w:r w:rsidRPr="00E170B5">
        <w:t>January 2015</w:t>
      </w:r>
      <w:r>
        <w:t xml:space="preserve">. </w:t>
      </w:r>
    </w:p>
    <w:p w:rsidR="007544CA" w:rsidRDefault="007544CA" w:rsidP="00133508">
      <w:pPr>
        <w:pStyle w:val="BodyText"/>
      </w:pPr>
      <w:r>
        <w:t>The</w:t>
      </w:r>
      <w:r w:rsidRPr="00F2351F">
        <w:t xml:space="preserve"> 5</w:t>
      </w:r>
      <w:r>
        <w:t> </w:t>
      </w:r>
      <w:r w:rsidRPr="00F2351F">
        <w:t>per</w:t>
      </w:r>
      <w:r>
        <w:t> </w:t>
      </w:r>
      <w:r w:rsidRPr="00F2351F">
        <w:t xml:space="preserve">cent tariff, </w:t>
      </w:r>
      <w:r>
        <w:t xml:space="preserve">now </w:t>
      </w:r>
      <w:r w:rsidRPr="00F2351F">
        <w:t>levied on over 50</w:t>
      </w:r>
      <w:r>
        <w:t> </w:t>
      </w:r>
      <w:r w:rsidRPr="00F2351F">
        <w:t>per</w:t>
      </w:r>
      <w:r>
        <w:t> </w:t>
      </w:r>
      <w:r w:rsidRPr="00F2351F">
        <w:t>cent of manufactured items of merchandise trade, continues to provide some assistance to many manufacturing activities, and an associated impost on consumers</w:t>
      </w:r>
      <w:r>
        <w:t>,</w:t>
      </w:r>
      <w:r w:rsidRPr="00F2351F">
        <w:t xml:space="preserve"> industry and government administration.</w:t>
      </w:r>
      <w:r>
        <w:t xml:space="preserve"> The tariffs also afford a margin of preference to eligible foreign exporters under Australia’s preferential bilateral and regional trade agreements (box 2.4). To satisfy eligibility requirements, exporters in partner economies must satisfy complex rules of origin (PC 2015). The Commission has long considered that the 5 per cent general tariff rate should be eliminated.</w:t>
      </w:r>
    </w:p>
    <w:p w:rsidR="007544CA" w:rsidRDefault="007544CA" w:rsidP="0013350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F2F2F2"/>
          </w:tcPr>
          <w:p w:rsidR="007544CA" w:rsidRDefault="007544CA" w:rsidP="00133508">
            <w:pPr>
              <w:pStyle w:val="BoxTitle"/>
            </w:pPr>
            <w:r>
              <w:rPr>
                <w:b w:val="0"/>
              </w:rPr>
              <w:t xml:space="preserve">Box </w:t>
            </w:r>
            <w:bookmarkStart w:id="19" w:name="OLE_LINK7"/>
            <w:r>
              <w:rPr>
                <w:b w:val="0"/>
              </w:rPr>
              <w:fldChar w:fldCharType="begin" w:fldLock="1"/>
            </w:r>
            <w:r>
              <w:rPr>
                <w:b w:val="0"/>
              </w:rPr>
              <w:instrText xml:space="preserve"> COMMENTS  \* MERGEFORMAT </w:instrText>
            </w:r>
            <w:r>
              <w:rPr>
                <w:b w:val="0"/>
              </w:rPr>
              <w:fldChar w:fldCharType="separate"/>
            </w:r>
            <w:r>
              <w:rPr>
                <w:b w:val="0"/>
              </w:rPr>
              <w:t>2.</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4</w:t>
            </w:r>
            <w:r>
              <w:rPr>
                <w:b w:val="0"/>
              </w:rPr>
              <w:fldChar w:fldCharType="end"/>
            </w:r>
            <w:bookmarkEnd w:id="19"/>
            <w:r>
              <w:tab/>
              <w:t>Treatment of tariff preferences in assistance estimates</w:t>
            </w:r>
          </w:p>
        </w:tc>
      </w:tr>
      <w:tr w:rsidR="007544CA" w:rsidTr="00133508">
        <w:trPr>
          <w:cantSplit/>
        </w:trPr>
        <w:tc>
          <w:tcPr>
            <w:tcW w:w="8771" w:type="dxa"/>
            <w:tcBorders>
              <w:top w:val="nil"/>
              <w:left w:val="nil"/>
              <w:bottom w:val="nil"/>
              <w:right w:val="nil"/>
            </w:tcBorders>
            <w:shd w:val="clear" w:color="auto" w:fill="F2F2F2"/>
          </w:tcPr>
          <w:p w:rsidR="007544CA" w:rsidRDefault="007544CA" w:rsidP="00133508">
            <w:pPr>
              <w:pStyle w:val="Box"/>
            </w:pPr>
            <w:r>
              <w:t>The tariff preferences provided under Australia’s preferential trading agreements (PTAs) need not result in any change in prices in the domestic market and, thus, in assistance to Australian industry provided by the general (Most Favoured Nation (MFN)) tariff regime. This would be the case if producers in the partner country effectively ‘pocketed’ the tariff concessions, rather than reduced their prices below the prevailing (tariff</w:t>
            </w:r>
            <w:r>
              <w:noBreakHyphen/>
              <w:t xml:space="preserve">inflated) price of rival imports. </w:t>
            </w:r>
          </w:p>
          <w:p w:rsidR="007544CA" w:rsidRDefault="007544CA" w:rsidP="00133508">
            <w:pPr>
              <w:pStyle w:val="Box"/>
            </w:pPr>
            <w:r>
              <w:t xml:space="preserve">However, to the extent that tariff concessions provided by PTAs reduce the prices of imported products in the Australian market, assistance to the relevant industry’s outputs would be lower than that implied by the MFN rate. At the same time though, where the price of imported inputs falls as a result of PTA preferences, the penalties (or negative assistance) on the industry’s inputs will also be lower than implied by the MFN rate. Whether this leads to a net overstatement or understatement of assistance to the Australian industry in question would depend on trade patterns with the PTA partner countries, which products are subject to price reductions, and their relative magnitudes. </w:t>
            </w:r>
          </w:p>
        </w:tc>
      </w:tr>
      <w:tr w:rsidR="007544CA" w:rsidTr="00133508">
        <w:trPr>
          <w:cantSplit/>
        </w:trPr>
        <w:tc>
          <w:tcPr>
            <w:tcW w:w="8771" w:type="dxa"/>
            <w:tcBorders>
              <w:top w:val="nil"/>
              <w:left w:val="nil"/>
              <w:bottom w:val="nil"/>
              <w:right w:val="nil"/>
            </w:tcBorders>
            <w:shd w:val="clear" w:color="auto" w:fill="F2F2F2"/>
          </w:tcPr>
          <w:p w:rsidR="007544CA" w:rsidRDefault="007544CA" w:rsidP="00133508">
            <w:pPr>
              <w:pStyle w:val="BoxSource"/>
            </w:pPr>
            <w:r>
              <w:rPr>
                <w:i/>
              </w:rPr>
              <w:t>Sources</w:t>
            </w:r>
            <w:r w:rsidRPr="00167F06">
              <w:t xml:space="preserve">: </w:t>
            </w:r>
            <w:r>
              <w:t>PC (</w:t>
            </w:r>
            <w:proofErr w:type="spellStart"/>
            <w:r>
              <w:t>2004a</w:t>
            </w:r>
            <w:proofErr w:type="spellEnd"/>
            <w:r>
              <w:t xml:space="preserve">, </w:t>
            </w:r>
            <w:proofErr w:type="spellStart"/>
            <w:r>
              <w:t>2004b</w:t>
            </w:r>
            <w:proofErr w:type="spellEnd"/>
            <w:r>
              <w:t xml:space="preserve">, </w:t>
            </w:r>
            <w:proofErr w:type="spellStart"/>
            <w:r>
              <w:t>2008b</w:t>
            </w:r>
            <w:proofErr w:type="spellEnd"/>
            <w:r>
              <w:t>).</w:t>
            </w:r>
          </w:p>
        </w:tc>
      </w:tr>
      <w:tr w:rsidR="007544CA" w:rsidTr="00133508">
        <w:trPr>
          <w:cantSplit/>
        </w:trPr>
        <w:tc>
          <w:tcPr>
            <w:tcW w:w="8771" w:type="dxa"/>
            <w:tcBorders>
              <w:top w:val="nil"/>
              <w:left w:val="nil"/>
              <w:bottom w:val="single" w:sz="6" w:space="0" w:color="78A22F"/>
              <w:right w:val="nil"/>
            </w:tcBorders>
            <w:shd w:val="clear" w:color="auto" w:fill="F2F2F2"/>
          </w:tcPr>
          <w:p w:rsidR="007544CA" w:rsidRDefault="007544CA" w:rsidP="00133508">
            <w:pPr>
              <w:pStyle w:val="Box"/>
              <w:spacing w:before="0" w:line="120" w:lineRule="exact"/>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Heading3"/>
      </w:pPr>
      <w:r>
        <w:t>Agriculture (primary production)</w:t>
      </w:r>
    </w:p>
    <w:p w:rsidR="007544CA" w:rsidRDefault="007544CA" w:rsidP="00133508">
      <w:pPr>
        <w:pStyle w:val="BodyText"/>
      </w:pPr>
      <w:r>
        <w:t>For agriculture, the estimated effective rate of assistance (as calculated in the first series) was over 25 per cent in 1970</w:t>
      </w:r>
      <w:r>
        <w:noBreakHyphen/>
        <w:t>71. By 1974</w:t>
      </w:r>
      <w:r>
        <w:noBreakHyphen/>
        <w:t xml:space="preserve">75 it had fallen to about 8 per cent. The subsequent volatility in the agricultural estimates, particularly through the </w:t>
      </w:r>
      <w:proofErr w:type="spellStart"/>
      <w:r>
        <w:t>1970s</w:t>
      </w:r>
      <w:proofErr w:type="spellEnd"/>
      <w:r>
        <w:t xml:space="preserve"> and </w:t>
      </w:r>
      <w:proofErr w:type="spellStart"/>
      <w:r>
        <w:t>1980s</w:t>
      </w:r>
      <w:proofErr w:type="spellEnd"/>
      <w:r>
        <w:t xml:space="preserve">, reflects variation in domestic support prices and world prices (used for assistance benchmarks) as well as the impact of drought and other factors on output. </w:t>
      </w:r>
    </w:p>
    <w:p w:rsidR="007544CA" w:rsidRDefault="007544CA" w:rsidP="00133508">
      <w:pPr>
        <w:pStyle w:val="BodyText"/>
      </w:pPr>
      <w:r w:rsidRPr="00193E5A">
        <w:lastRenderedPageBreak/>
        <w:t>The rise in the effective rate of assistance to agriculture in 2006</w:t>
      </w:r>
      <w:r w:rsidRPr="00193E5A">
        <w:noBreakHyphen/>
        <w:t>07 and 2007</w:t>
      </w:r>
      <w:r w:rsidRPr="00193E5A">
        <w:noBreakHyphen/>
        <w:t>08 reflects significant increases in Exceptional Circumstances drought relief payments and interest rate subsidies at the height of the drought through much of Australia</w:t>
      </w:r>
      <w:r>
        <w:t xml:space="preserve">. It also includes </w:t>
      </w:r>
      <w:r w:rsidRPr="00193E5A">
        <w:t xml:space="preserve">the Dairy Industry Structural Adjustment package. Such assistance has since </w:t>
      </w:r>
      <w:r>
        <w:t>fallen</w:t>
      </w:r>
      <w:r w:rsidRPr="00193E5A">
        <w:t xml:space="preserve"> significantly and the estimated assistance to the </w:t>
      </w:r>
      <w:r>
        <w:t xml:space="preserve">agricultural </w:t>
      </w:r>
      <w:r w:rsidRPr="00193E5A">
        <w:t>sector overall has declined to around 2.</w:t>
      </w:r>
      <w:r>
        <w:t>5</w:t>
      </w:r>
      <w:r w:rsidRPr="00193E5A">
        <w:t xml:space="preserve"> per cent. </w:t>
      </w:r>
    </w:p>
    <w:p w:rsidR="007544CA" w:rsidRDefault="007544CA" w:rsidP="00133508">
      <w:pPr>
        <w:pStyle w:val="BodyText"/>
      </w:pPr>
    </w:p>
    <w:p w:rsidR="007544CA" w:rsidRDefault="007544CA" w:rsidP="007544CA">
      <w:pPr>
        <w:sectPr w:rsidR="007544CA" w:rsidSect="007544CA">
          <w:headerReference w:type="even" r:id="rId26"/>
          <w:headerReference w:type="default" r:id="rId27"/>
          <w:footerReference w:type="even" r:id="rId28"/>
          <w:footerReference w:type="default" r:id="rId29"/>
          <w:type w:val="oddPage"/>
          <w:pgSz w:w="11907" w:h="16840" w:code="9"/>
          <w:pgMar w:top="1985" w:right="1304" w:bottom="1247" w:left="1814" w:header="1701" w:footer="397" w:gutter="0"/>
          <w:pgNumType w:chapSep="period"/>
          <w:cols w:space="720"/>
          <w:docGrid w:linePitch="326"/>
        </w:sectPr>
      </w:pPr>
    </w:p>
    <w:p w:rsidR="007544CA" w:rsidRDefault="007544CA" w:rsidP="00133508">
      <w:pPr>
        <w:pStyle w:val="Heading1"/>
        <w:spacing w:before="0" w:after="1080"/>
      </w:pPr>
      <w:r>
        <w:lastRenderedPageBreak/>
        <w:t>3</w:t>
      </w:r>
      <w:r>
        <w:tab/>
        <w:t>Five recent developments in industry assistance</w:t>
      </w:r>
    </w:p>
    <w:p w:rsidR="007544CA" w:rsidRDefault="007544CA" w:rsidP="00133508">
      <w:pPr>
        <w:pStyle w:val="BodyText"/>
      </w:pPr>
      <w:r>
        <w:t>This chapter outlines a selection of recent developments that have significant implications for industry assistance, namely:</w:t>
      </w:r>
    </w:p>
    <w:p w:rsidR="007544CA" w:rsidRDefault="007544CA" w:rsidP="00133508">
      <w:pPr>
        <w:pStyle w:val="ListBullet"/>
        <w:spacing w:before="100"/>
      </w:pPr>
      <w:r>
        <w:t>the Agricultural Competitiveness White Paper (July 2015)</w:t>
      </w:r>
    </w:p>
    <w:p w:rsidR="007544CA" w:rsidRDefault="007544CA" w:rsidP="00133508">
      <w:pPr>
        <w:pStyle w:val="ListBullet"/>
        <w:spacing w:before="100"/>
      </w:pPr>
      <w:r>
        <w:t xml:space="preserve">the Defence Industry Policy Statement (March 2016) and a local build of submarines </w:t>
      </w:r>
    </w:p>
    <w:p w:rsidR="007544CA" w:rsidRDefault="007544CA" w:rsidP="00133508">
      <w:pPr>
        <w:pStyle w:val="ListBullet"/>
        <w:spacing w:before="100"/>
      </w:pPr>
      <w:r>
        <w:t>setting of the Renewable Energy Target (June 2015) and programs to meet the target and achieve carbon emissions reduction</w:t>
      </w:r>
    </w:p>
    <w:p w:rsidR="007544CA" w:rsidRDefault="007544CA" w:rsidP="00133508">
      <w:pPr>
        <w:pStyle w:val="ListBullet"/>
        <w:spacing w:before="100"/>
      </w:pPr>
      <w:r>
        <w:t xml:space="preserve">regional business investment grants programs, many of which relate to ‘life’ after cessation of automotive manufacturing. Similar programs are a response to more general economic growth concerns for Tasmania </w:t>
      </w:r>
    </w:p>
    <w:p w:rsidR="007544CA" w:rsidRDefault="007544CA" w:rsidP="00133508">
      <w:pPr>
        <w:pStyle w:val="ListBullet"/>
        <w:spacing w:before="100"/>
      </w:pPr>
      <w:r>
        <w:t xml:space="preserve">support for business innovation, research collaboration and commercialisation announced in the </w:t>
      </w:r>
      <w:r w:rsidRPr="008F5EFD">
        <w:rPr>
          <w:i/>
        </w:rPr>
        <w:t>Industry Innovation and Competiveness Agenda</w:t>
      </w:r>
      <w:r>
        <w:t xml:space="preserve"> (October 2014) and the </w:t>
      </w:r>
      <w:r w:rsidRPr="008F5EFD">
        <w:rPr>
          <w:i/>
        </w:rPr>
        <w:t>National Innovation and Science Agenda</w:t>
      </w:r>
      <w:r>
        <w:t xml:space="preserve"> (December 2015).</w:t>
      </w:r>
    </w:p>
    <w:p w:rsidR="007544CA" w:rsidRPr="00575350" w:rsidRDefault="007544CA" w:rsidP="00133508">
      <w:pPr>
        <w:pStyle w:val="BodyText"/>
        <w:rPr>
          <w:spacing w:val="-2"/>
        </w:rPr>
      </w:pPr>
      <w:r w:rsidRPr="00575350">
        <w:rPr>
          <w:spacing w:val="-2"/>
        </w:rPr>
        <w:t>As noted in the previous chapters assessing what constitutes industry assistance, and estimating the amount of assistance, is not always straightforward. This chapter seeks to guide the reader as to how the above developments fit into an industry assistance framework.</w:t>
      </w:r>
    </w:p>
    <w:p w:rsidR="007544CA" w:rsidRDefault="00133508" w:rsidP="00133508">
      <w:pPr>
        <w:pStyle w:val="Heading2"/>
      </w:pPr>
      <w:r>
        <w:t>3.1</w:t>
      </w:r>
      <w:r>
        <w:tab/>
      </w:r>
      <w:r w:rsidR="007544CA">
        <w:t>The Agricultural Competitiveness White Paper</w:t>
      </w:r>
    </w:p>
    <w:p w:rsidR="007544CA" w:rsidRDefault="007544CA" w:rsidP="00133508">
      <w:pPr>
        <w:pStyle w:val="BodyText"/>
      </w:pPr>
      <w:r>
        <w:t xml:space="preserve">The industry assistance announced in the Agricultural Competitiveness White Paper (July 2015) involves both changes to existing support measures as well as new measures, and direct and indirect support to farm businesses (table 3.1). The package is described as a $4 billion investment (extending beyond the four year forward estimates period), although not all of this is in the form of expenditure, nor is it all industry assistance. </w:t>
      </w:r>
    </w:p>
    <w:p w:rsidR="007544CA" w:rsidRDefault="007544CA" w:rsidP="00133508">
      <w:pPr>
        <w:pStyle w:val="BodyText"/>
      </w:pPr>
      <w:r>
        <w:t>White Paper measures that would affect the Commission’s measured industry assistance include:</w:t>
      </w:r>
    </w:p>
    <w:p w:rsidR="007544CA" w:rsidRDefault="007544CA" w:rsidP="00133508">
      <w:pPr>
        <w:pStyle w:val="ListBullet"/>
        <w:spacing w:before="100"/>
      </w:pPr>
      <w:r>
        <w:t>direct financial support provided through the tax system (for instance, more favourable treatment of income averaging, Farm Management Deposits, and asset depreciation) and concessional loans</w:t>
      </w:r>
    </w:p>
    <w:p w:rsidR="007544CA" w:rsidRDefault="007544CA" w:rsidP="00133508">
      <w:pPr>
        <w:pStyle w:val="ListBullet"/>
        <w:spacing w:before="100"/>
      </w:pPr>
      <w:r>
        <w:t>direct support for specific services related to the farm business such as grants for insurance advice and risk assessment, and financial counselling</w:t>
      </w:r>
    </w:p>
    <w:p w:rsidR="007544CA" w:rsidRDefault="007544CA" w:rsidP="00133508">
      <w:pPr>
        <w:pStyle w:val="ListBullet"/>
        <w:spacing w:before="100"/>
      </w:pPr>
      <w:r>
        <w:t>indirect support for agricultural activities provided through R&amp;D programs, and pest and disease control.</w:t>
      </w: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Pr="00784A05" w:rsidRDefault="007544CA" w:rsidP="00133508">
            <w:pPr>
              <w:pStyle w:val="TableTitle"/>
            </w:pPr>
            <w:r>
              <w:rPr>
                <w:b w:val="0"/>
              </w:rPr>
              <w:lastRenderedPageBreak/>
              <w:t xml:space="preserve">Table </w:t>
            </w:r>
            <w:r>
              <w:rPr>
                <w:b w:val="0"/>
              </w:rPr>
              <w:fldChar w:fldCharType="begin" w:fldLock="1"/>
            </w:r>
            <w:r>
              <w:rPr>
                <w:b w:val="0"/>
              </w:rPr>
              <w:instrText xml:space="preserve"> COMMENTS  \* MERGEFORMAT </w:instrText>
            </w:r>
            <w:r>
              <w:rPr>
                <w:b w:val="0"/>
              </w:rPr>
              <w:fldChar w:fldCharType="separate"/>
            </w:r>
            <w:r>
              <w:rPr>
                <w:b w:val="0"/>
              </w:rPr>
              <w:t>3.</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1</w:t>
            </w:r>
            <w:r>
              <w:rPr>
                <w:b w:val="0"/>
              </w:rPr>
              <w:fldChar w:fldCharType="end"/>
            </w:r>
            <w:r>
              <w:tab/>
              <w:t>Industry assistance categorisation of principal measures in the Agricultural Competitiveness White Paper</w:t>
            </w:r>
          </w:p>
        </w:tc>
      </w:tr>
      <w:tr w:rsidR="007544CA" w:rsidTr="0013350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5647"/>
              <w:gridCol w:w="2840"/>
            </w:tblGrid>
            <w:tr w:rsidR="007544CA" w:rsidTr="00133508">
              <w:tc>
                <w:tcPr>
                  <w:tcW w:w="3327" w:type="pct"/>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r>
                    <w:t>New initiatives</w:t>
                  </w:r>
                </w:p>
              </w:tc>
              <w:tc>
                <w:tcPr>
                  <w:tcW w:w="1673" w:type="pct"/>
                  <w:tcBorders>
                    <w:top w:val="single" w:sz="6" w:space="0" w:color="BFBFBF"/>
                    <w:bottom w:val="single" w:sz="6" w:space="0" w:color="BFBFBF"/>
                  </w:tcBorders>
                </w:tcPr>
                <w:p w:rsidR="007544CA" w:rsidRDefault="007544CA" w:rsidP="00133508">
                  <w:pPr>
                    <w:pStyle w:val="TableColumnHeading"/>
                  </w:pPr>
                  <w:r>
                    <w:t>Indicative costing by government</w:t>
                  </w:r>
                </w:p>
              </w:tc>
            </w:tr>
            <w:tr w:rsidR="007544CA" w:rsidTr="00133508">
              <w:tc>
                <w:tcPr>
                  <w:tcW w:w="3327" w:type="pct"/>
                  <w:tcBorders>
                    <w:top w:val="single" w:sz="6" w:space="0" w:color="BFBFBF"/>
                  </w:tcBorders>
                </w:tcPr>
                <w:p w:rsidR="007544CA" w:rsidRPr="009327F8" w:rsidRDefault="007544CA" w:rsidP="00133508">
                  <w:pPr>
                    <w:pStyle w:val="TableUnitsRow"/>
                    <w:spacing w:before="80"/>
                    <w:jc w:val="left"/>
                    <w:rPr>
                      <w:b/>
                    </w:rPr>
                  </w:pPr>
                  <w:r w:rsidRPr="009327F8">
                    <w:rPr>
                      <w:b/>
                    </w:rPr>
                    <w:t>Direct financial assistance</w:t>
                  </w:r>
                </w:p>
              </w:tc>
              <w:tc>
                <w:tcPr>
                  <w:tcW w:w="1673" w:type="pct"/>
                  <w:tcBorders>
                    <w:top w:val="single" w:sz="6" w:space="0" w:color="BFBFBF"/>
                  </w:tcBorders>
                </w:tcPr>
                <w:p w:rsidR="007544CA" w:rsidRPr="009327F8" w:rsidRDefault="007544CA" w:rsidP="00133508">
                  <w:pPr>
                    <w:pStyle w:val="TableUnitsRow"/>
                    <w:spacing w:before="80"/>
                    <w:jc w:val="left"/>
                    <w:rPr>
                      <w:b/>
                    </w:rPr>
                  </w:pPr>
                </w:p>
              </w:tc>
            </w:tr>
            <w:tr w:rsidR="007544CA" w:rsidTr="00133508">
              <w:tc>
                <w:tcPr>
                  <w:tcW w:w="3327" w:type="pct"/>
                </w:tcPr>
                <w:p w:rsidR="007544CA" w:rsidRDefault="007544CA" w:rsidP="00133508">
                  <w:pPr>
                    <w:pStyle w:val="TableBodyText"/>
                    <w:jc w:val="left"/>
                  </w:pPr>
                  <w:r>
                    <w:t xml:space="preserve">Drought concessional loans </w:t>
                  </w:r>
                </w:p>
              </w:tc>
              <w:tc>
                <w:tcPr>
                  <w:tcW w:w="1673" w:type="pct"/>
                </w:tcPr>
                <w:p w:rsidR="007544CA" w:rsidRDefault="007544CA" w:rsidP="00133508">
                  <w:pPr>
                    <w:pStyle w:val="TableBodyText"/>
                  </w:pPr>
                  <w:r>
                    <w:t>Up to $250 m a year for 11 years</w:t>
                  </w:r>
                  <w:r>
                    <w:br/>
                    <w:t>Interest saving to farmer is not costed</w:t>
                  </w:r>
                </w:p>
              </w:tc>
            </w:tr>
            <w:tr w:rsidR="007544CA" w:rsidTr="00133508">
              <w:tc>
                <w:tcPr>
                  <w:tcW w:w="3327" w:type="pct"/>
                </w:tcPr>
                <w:p w:rsidR="007544CA" w:rsidRPr="009327F8" w:rsidRDefault="007544CA" w:rsidP="00133508">
                  <w:pPr>
                    <w:pStyle w:val="TableBodyText"/>
                    <w:spacing w:before="120"/>
                    <w:jc w:val="left"/>
                    <w:rPr>
                      <w:b/>
                    </w:rPr>
                  </w:pPr>
                  <w:r w:rsidRPr="009327F8">
                    <w:rPr>
                      <w:b/>
                    </w:rPr>
                    <w:t>Tax concessions</w:t>
                  </w:r>
                </w:p>
              </w:tc>
              <w:tc>
                <w:tcPr>
                  <w:tcW w:w="1673" w:type="pct"/>
                </w:tcPr>
                <w:p w:rsidR="007544CA" w:rsidRPr="009327F8" w:rsidRDefault="007544CA" w:rsidP="00133508">
                  <w:pPr>
                    <w:pStyle w:val="TableBodyText"/>
                    <w:spacing w:before="120"/>
                    <w:jc w:val="left"/>
                    <w:rPr>
                      <w:b/>
                    </w:rPr>
                  </w:pPr>
                </w:p>
              </w:tc>
            </w:tr>
            <w:tr w:rsidR="007544CA" w:rsidRPr="00602FD7" w:rsidTr="00133508">
              <w:tc>
                <w:tcPr>
                  <w:tcW w:w="3327" w:type="pct"/>
                </w:tcPr>
                <w:p w:rsidR="007544CA" w:rsidRPr="00602FD7" w:rsidRDefault="007544CA" w:rsidP="00133508">
                  <w:pPr>
                    <w:pStyle w:val="TableBodyText"/>
                    <w:jc w:val="left"/>
                  </w:pPr>
                  <w:r w:rsidRPr="00602FD7">
                    <w:t>Allowing farmers to opt back into income tax averaging</w:t>
                  </w:r>
                </w:p>
              </w:tc>
              <w:tc>
                <w:tcPr>
                  <w:tcW w:w="1673" w:type="pct"/>
                </w:tcPr>
                <w:p w:rsidR="007544CA" w:rsidRPr="00602FD7" w:rsidRDefault="007544CA" w:rsidP="00133508">
                  <w:pPr>
                    <w:pStyle w:val="TableBodyText"/>
                    <w:jc w:val="left"/>
                  </w:pPr>
                </w:p>
              </w:tc>
            </w:tr>
            <w:tr w:rsidR="007544CA" w:rsidTr="00133508">
              <w:tc>
                <w:tcPr>
                  <w:tcW w:w="3327" w:type="pct"/>
                </w:tcPr>
                <w:p w:rsidR="007544CA" w:rsidRDefault="007544CA" w:rsidP="00133508">
                  <w:pPr>
                    <w:pStyle w:val="TableBodyText"/>
                    <w:jc w:val="left"/>
                  </w:pPr>
                  <w:r>
                    <w:t>Increase the deposit limit for Farm Management Deposits</w:t>
                  </w:r>
                </w:p>
              </w:tc>
              <w:tc>
                <w:tcPr>
                  <w:tcW w:w="1673" w:type="pct"/>
                </w:tcPr>
                <w:p w:rsidR="007544CA" w:rsidRDefault="007544CA" w:rsidP="00133508">
                  <w:pPr>
                    <w:pStyle w:val="TableBodyText"/>
                    <w:jc w:val="left"/>
                  </w:pPr>
                </w:p>
              </w:tc>
            </w:tr>
            <w:tr w:rsidR="007544CA" w:rsidTr="00133508">
              <w:tc>
                <w:tcPr>
                  <w:tcW w:w="3327" w:type="pct"/>
                </w:tcPr>
                <w:p w:rsidR="007544CA" w:rsidRDefault="007544CA" w:rsidP="00133508">
                  <w:pPr>
                    <w:pStyle w:val="TableBodyText"/>
                    <w:jc w:val="left"/>
                  </w:pPr>
                  <w:r>
                    <w:t>Early access provisions for the Farm Management Deposits Scheme</w:t>
                  </w:r>
                </w:p>
              </w:tc>
              <w:tc>
                <w:tcPr>
                  <w:tcW w:w="1673" w:type="pct"/>
                </w:tcPr>
                <w:p w:rsidR="007544CA" w:rsidRDefault="007544CA" w:rsidP="00133508">
                  <w:pPr>
                    <w:pStyle w:val="TableBodyText"/>
                    <w:jc w:val="left"/>
                  </w:pPr>
                </w:p>
              </w:tc>
            </w:tr>
            <w:tr w:rsidR="007544CA" w:rsidTr="00133508">
              <w:tc>
                <w:tcPr>
                  <w:tcW w:w="3327" w:type="pct"/>
                </w:tcPr>
                <w:p w:rsidR="007544CA" w:rsidRDefault="007544CA" w:rsidP="00133508">
                  <w:pPr>
                    <w:pStyle w:val="TableBodyText"/>
                    <w:jc w:val="left"/>
                  </w:pPr>
                  <w:r>
                    <w:t xml:space="preserve">Accelerated depreciation for new fencing, new water facilities and fodder storage </w:t>
                  </w:r>
                </w:p>
              </w:tc>
              <w:tc>
                <w:tcPr>
                  <w:tcW w:w="1673" w:type="pct"/>
                </w:tcPr>
                <w:p w:rsidR="007544CA" w:rsidRDefault="007544CA" w:rsidP="00133508">
                  <w:pPr>
                    <w:pStyle w:val="TableBodyText"/>
                  </w:pPr>
                  <w:r>
                    <w:t>$142 million</w:t>
                  </w:r>
                </w:p>
              </w:tc>
            </w:tr>
            <w:tr w:rsidR="007544CA" w:rsidTr="00133508">
              <w:tc>
                <w:tcPr>
                  <w:tcW w:w="3327" w:type="pct"/>
                </w:tcPr>
                <w:p w:rsidR="007544CA" w:rsidRPr="009327F8" w:rsidRDefault="007544CA" w:rsidP="00133508">
                  <w:pPr>
                    <w:pStyle w:val="TableBodyText"/>
                    <w:spacing w:before="120"/>
                    <w:jc w:val="left"/>
                    <w:rPr>
                      <w:b/>
                    </w:rPr>
                  </w:pPr>
                  <w:r>
                    <w:rPr>
                      <w:b/>
                    </w:rPr>
                    <w:t xml:space="preserve">Likely to provide some </w:t>
                  </w:r>
                  <w:r w:rsidRPr="009327F8">
                    <w:rPr>
                      <w:b/>
                    </w:rPr>
                    <w:t>Indirect</w:t>
                  </w:r>
                  <w:r>
                    <w:rPr>
                      <w:b/>
                    </w:rPr>
                    <w:t xml:space="preserve"> assistance to farm business</w:t>
                  </w:r>
                </w:p>
              </w:tc>
              <w:tc>
                <w:tcPr>
                  <w:tcW w:w="1673" w:type="pct"/>
                </w:tcPr>
                <w:p w:rsidR="007544CA" w:rsidRDefault="007544CA" w:rsidP="00133508">
                  <w:pPr>
                    <w:pStyle w:val="TableBodyText"/>
                    <w:spacing w:before="120"/>
                    <w:jc w:val="left"/>
                    <w:rPr>
                      <w:b/>
                    </w:rPr>
                  </w:pPr>
                </w:p>
              </w:tc>
            </w:tr>
            <w:tr w:rsidR="007544CA" w:rsidTr="00133508">
              <w:tc>
                <w:tcPr>
                  <w:tcW w:w="3327" w:type="pct"/>
                </w:tcPr>
                <w:p w:rsidR="007544CA" w:rsidRDefault="007544CA" w:rsidP="00133508">
                  <w:pPr>
                    <w:pStyle w:val="TableBodyText"/>
                    <w:jc w:val="left"/>
                  </w:pPr>
                  <w:r>
                    <w:t>Extend the Rural R&amp;D for Profit program after 2017–2018 to 2021</w:t>
                  </w:r>
                  <w:r>
                    <w:noBreakHyphen/>
                    <w:t>22</w:t>
                  </w:r>
                </w:p>
              </w:tc>
              <w:tc>
                <w:tcPr>
                  <w:tcW w:w="1673" w:type="pct"/>
                </w:tcPr>
                <w:p w:rsidR="007544CA" w:rsidRDefault="007544CA" w:rsidP="00133508">
                  <w:pPr>
                    <w:pStyle w:val="TableBodyText"/>
                  </w:pPr>
                  <w:r>
                    <w:t>$100 million over 4 years</w:t>
                  </w:r>
                </w:p>
              </w:tc>
            </w:tr>
            <w:tr w:rsidR="007544CA" w:rsidTr="00133508">
              <w:tc>
                <w:tcPr>
                  <w:tcW w:w="3327" w:type="pct"/>
                </w:tcPr>
                <w:p w:rsidR="007544CA" w:rsidRDefault="007544CA" w:rsidP="00133508">
                  <w:pPr>
                    <w:pStyle w:val="TableBodyText"/>
                    <w:jc w:val="left"/>
                  </w:pPr>
                  <w:r>
                    <w:t xml:space="preserve">Match new agricultural production levies in the export fodder and tea tree oil industries, </w:t>
                  </w:r>
                </w:p>
              </w:tc>
              <w:tc>
                <w:tcPr>
                  <w:tcW w:w="1673" w:type="pct"/>
                </w:tcPr>
                <w:p w:rsidR="007544CA" w:rsidRDefault="007544CA" w:rsidP="00133508">
                  <w:pPr>
                    <w:pStyle w:val="TableBodyText"/>
                  </w:pPr>
                  <w:r>
                    <w:t>$1.4 million over 4 years</w:t>
                  </w:r>
                </w:p>
              </w:tc>
            </w:tr>
            <w:tr w:rsidR="007544CA" w:rsidTr="00133508">
              <w:tc>
                <w:tcPr>
                  <w:tcW w:w="3327" w:type="pct"/>
                </w:tcPr>
                <w:p w:rsidR="007544CA" w:rsidRDefault="007544CA" w:rsidP="00133508">
                  <w:pPr>
                    <w:pStyle w:val="TableBodyText"/>
                    <w:jc w:val="left"/>
                  </w:pPr>
                  <w:r>
                    <w:t>Funding for the existing Rural Industries Research and Development Corporation for R&amp;D for small agricultural industries.</w:t>
                  </w:r>
                </w:p>
              </w:tc>
              <w:tc>
                <w:tcPr>
                  <w:tcW w:w="1673" w:type="pct"/>
                </w:tcPr>
                <w:p w:rsidR="007544CA" w:rsidRDefault="007544CA" w:rsidP="00133508">
                  <w:pPr>
                    <w:pStyle w:val="TableBodyText"/>
                  </w:pPr>
                  <w:r>
                    <w:t>$1.2 million over 4 years</w:t>
                  </w:r>
                </w:p>
              </w:tc>
            </w:tr>
            <w:tr w:rsidR="007544CA" w:rsidTr="00133508">
              <w:tc>
                <w:tcPr>
                  <w:tcW w:w="3327" w:type="pct"/>
                </w:tcPr>
                <w:p w:rsidR="007544CA" w:rsidRDefault="007544CA" w:rsidP="00133508">
                  <w:pPr>
                    <w:pStyle w:val="TableBodyText"/>
                    <w:jc w:val="left"/>
                  </w:pPr>
                  <w:r>
                    <w:t>Two</w:t>
                  </w:r>
                  <w:r>
                    <w:noBreakHyphen/>
                    <w:t>year pilot program to provide farmers with knowledge and materials on cooperatives, collective bargaining and innovative business models.</w:t>
                  </w:r>
                </w:p>
              </w:tc>
              <w:tc>
                <w:tcPr>
                  <w:tcW w:w="1673" w:type="pct"/>
                </w:tcPr>
                <w:p w:rsidR="007544CA" w:rsidRDefault="007544CA" w:rsidP="00133508">
                  <w:pPr>
                    <w:pStyle w:val="TableBodyText"/>
                  </w:pPr>
                  <w:r>
                    <w:t>$13.8 million over 2 years</w:t>
                  </w:r>
                </w:p>
              </w:tc>
            </w:tr>
            <w:tr w:rsidR="007544CA" w:rsidTr="00133508">
              <w:tc>
                <w:tcPr>
                  <w:tcW w:w="3327" w:type="pct"/>
                </w:tcPr>
                <w:p w:rsidR="007544CA" w:rsidRDefault="007544CA" w:rsidP="00133508">
                  <w:pPr>
                    <w:pStyle w:val="TableBodyText"/>
                    <w:jc w:val="left"/>
                  </w:pPr>
                  <w:r>
                    <w:t>Farm insurance advice and risk assessment</w:t>
                  </w:r>
                </w:p>
              </w:tc>
              <w:tc>
                <w:tcPr>
                  <w:tcW w:w="1673" w:type="pct"/>
                </w:tcPr>
                <w:p w:rsidR="007544CA" w:rsidRDefault="007544CA" w:rsidP="00133508">
                  <w:pPr>
                    <w:pStyle w:val="TableBodyText"/>
                  </w:pPr>
                  <w:r>
                    <w:t>$29.9 million over 4 years</w:t>
                  </w:r>
                </w:p>
              </w:tc>
            </w:tr>
            <w:tr w:rsidR="007544CA" w:rsidTr="00133508">
              <w:tc>
                <w:tcPr>
                  <w:tcW w:w="3327" w:type="pct"/>
                </w:tcPr>
                <w:p w:rsidR="007544CA" w:rsidRDefault="007544CA" w:rsidP="00133508">
                  <w:pPr>
                    <w:pStyle w:val="TableBodyText"/>
                    <w:jc w:val="left"/>
                  </w:pPr>
                  <w:r>
                    <w:t>Additional resources for Rural Financial Counselling Service providers in drought</w:t>
                  </w:r>
                  <w:r>
                    <w:noBreakHyphen/>
                    <w:t>affected areas (for 2015</w:t>
                  </w:r>
                  <w:r>
                    <w:noBreakHyphen/>
                    <w:t>16)</w:t>
                  </w:r>
                </w:p>
              </w:tc>
              <w:tc>
                <w:tcPr>
                  <w:tcW w:w="1673" w:type="pct"/>
                </w:tcPr>
                <w:p w:rsidR="007544CA" w:rsidRDefault="007544CA" w:rsidP="00133508">
                  <w:pPr>
                    <w:pStyle w:val="TableBodyText"/>
                  </w:pPr>
                  <w:r>
                    <w:t>$1.8 million for 1 year</w:t>
                  </w:r>
                </w:p>
              </w:tc>
            </w:tr>
            <w:tr w:rsidR="007544CA" w:rsidTr="00133508">
              <w:tc>
                <w:tcPr>
                  <w:tcW w:w="3327" w:type="pct"/>
                </w:tcPr>
                <w:p w:rsidR="007544CA" w:rsidRDefault="007544CA" w:rsidP="00133508">
                  <w:pPr>
                    <w:pStyle w:val="TableBodyText"/>
                    <w:jc w:val="left"/>
                  </w:pPr>
                  <w:r>
                    <w:t>Help the State and territory governments manage pest animals and weeds in drought</w:t>
                  </w:r>
                  <w:r>
                    <w:noBreakHyphen/>
                    <w:t>affected areas</w:t>
                  </w:r>
                </w:p>
              </w:tc>
              <w:tc>
                <w:tcPr>
                  <w:tcW w:w="1673" w:type="pct"/>
                </w:tcPr>
                <w:p w:rsidR="007544CA" w:rsidRDefault="007544CA" w:rsidP="00133508">
                  <w:pPr>
                    <w:pStyle w:val="TableBodyText"/>
                  </w:pPr>
                  <w:r>
                    <w:t>$25.8 million over 4 years</w:t>
                  </w:r>
                </w:p>
              </w:tc>
            </w:tr>
            <w:tr w:rsidR="007544CA" w:rsidTr="00133508">
              <w:tc>
                <w:tcPr>
                  <w:tcW w:w="3327" w:type="pct"/>
                </w:tcPr>
                <w:p w:rsidR="007544CA" w:rsidRDefault="007544CA" w:rsidP="00133508">
                  <w:pPr>
                    <w:pStyle w:val="TableBodyText"/>
                    <w:jc w:val="left"/>
                  </w:pPr>
                  <w:r>
                    <w:t>Boost emergency pest and disease eradication and national response capacity</w:t>
                  </w:r>
                </w:p>
              </w:tc>
              <w:tc>
                <w:tcPr>
                  <w:tcW w:w="1673" w:type="pct"/>
                </w:tcPr>
                <w:p w:rsidR="007544CA" w:rsidRDefault="007544CA" w:rsidP="00133508">
                  <w:pPr>
                    <w:pStyle w:val="TableBodyText"/>
                  </w:pPr>
                  <w:r>
                    <w:t>$50 million</w:t>
                  </w:r>
                </w:p>
              </w:tc>
            </w:tr>
            <w:tr w:rsidR="007544CA" w:rsidTr="00133508">
              <w:tc>
                <w:tcPr>
                  <w:tcW w:w="3327" w:type="pct"/>
                </w:tcPr>
                <w:p w:rsidR="007544CA" w:rsidRDefault="007544CA" w:rsidP="00133508">
                  <w:pPr>
                    <w:pStyle w:val="TableBodyText"/>
                    <w:jc w:val="left"/>
                  </w:pPr>
                  <w:r>
                    <w:t>Manage established pest and animals and weeds</w:t>
                  </w:r>
                </w:p>
              </w:tc>
              <w:tc>
                <w:tcPr>
                  <w:tcW w:w="1673" w:type="pct"/>
                </w:tcPr>
                <w:p w:rsidR="007544CA" w:rsidRDefault="007544CA" w:rsidP="00133508">
                  <w:pPr>
                    <w:pStyle w:val="TableBodyText"/>
                  </w:pPr>
                  <w:r>
                    <w:t>$50 million</w:t>
                  </w:r>
                </w:p>
              </w:tc>
            </w:tr>
            <w:tr w:rsidR="007544CA" w:rsidTr="00133508">
              <w:tc>
                <w:tcPr>
                  <w:tcW w:w="3327" w:type="pct"/>
                </w:tcPr>
                <w:p w:rsidR="007544CA" w:rsidRDefault="007544CA" w:rsidP="00133508">
                  <w:pPr>
                    <w:pStyle w:val="TableBodyText"/>
                    <w:jc w:val="left"/>
                  </w:pPr>
                  <w:r>
                    <w:t>Modernise Australia’s traceability systems, to verify produce integrity and secure access to overseas markets</w:t>
                  </w:r>
                </w:p>
              </w:tc>
              <w:tc>
                <w:tcPr>
                  <w:tcW w:w="1673" w:type="pct"/>
                </w:tcPr>
                <w:p w:rsidR="007544CA" w:rsidRDefault="007544CA" w:rsidP="00133508">
                  <w:pPr>
                    <w:pStyle w:val="TableBodyText"/>
                  </w:pPr>
                  <w:r>
                    <w:t>$12.4 million</w:t>
                  </w:r>
                </w:p>
              </w:tc>
            </w:tr>
            <w:tr w:rsidR="007544CA" w:rsidTr="00133508">
              <w:tc>
                <w:tcPr>
                  <w:tcW w:w="5000" w:type="pct"/>
                  <w:gridSpan w:val="2"/>
                </w:tcPr>
                <w:p w:rsidR="007544CA" w:rsidRDefault="007544CA" w:rsidP="00133508">
                  <w:pPr>
                    <w:pStyle w:val="TableBodyText"/>
                    <w:spacing w:before="120"/>
                    <w:jc w:val="left"/>
                    <w:rPr>
                      <w:b/>
                    </w:rPr>
                  </w:pPr>
                  <w:r>
                    <w:rPr>
                      <w:b/>
                    </w:rPr>
                    <w:t>Not likely to be treated as assistance — indirect benefit to farm business difficult to ascertain or measure, or of a community nature</w:t>
                  </w:r>
                </w:p>
              </w:tc>
            </w:tr>
            <w:tr w:rsidR="007544CA" w:rsidTr="00133508">
              <w:tc>
                <w:tcPr>
                  <w:tcW w:w="3327" w:type="pct"/>
                </w:tcPr>
                <w:p w:rsidR="007544CA" w:rsidRDefault="007544CA" w:rsidP="00133508">
                  <w:pPr>
                    <w:pStyle w:val="TableBodyText"/>
                    <w:jc w:val="left"/>
                  </w:pPr>
                  <w:r>
                    <w:t>Water infrastructure</w:t>
                  </w:r>
                </w:p>
              </w:tc>
              <w:tc>
                <w:tcPr>
                  <w:tcW w:w="1673" w:type="pct"/>
                </w:tcPr>
                <w:p w:rsidR="007544CA" w:rsidRDefault="007544CA" w:rsidP="00133508">
                  <w:pPr>
                    <w:pStyle w:val="TableBodyText"/>
                  </w:pPr>
                  <w:r>
                    <w:t>$500 million</w:t>
                  </w:r>
                </w:p>
              </w:tc>
            </w:tr>
            <w:tr w:rsidR="007544CA" w:rsidTr="00133508">
              <w:tc>
                <w:tcPr>
                  <w:tcW w:w="3327" w:type="pct"/>
                </w:tcPr>
                <w:p w:rsidR="007544CA" w:rsidRDefault="007544CA" w:rsidP="00133508">
                  <w:pPr>
                    <w:pStyle w:val="TableBodyText"/>
                    <w:jc w:val="left"/>
                  </w:pPr>
                  <w:r>
                    <w:t>Streamline the approval of agricultural and veterinary chemicals</w:t>
                  </w:r>
                </w:p>
              </w:tc>
              <w:tc>
                <w:tcPr>
                  <w:tcW w:w="1673" w:type="pct"/>
                </w:tcPr>
                <w:p w:rsidR="007544CA" w:rsidRDefault="007544CA" w:rsidP="00133508">
                  <w:pPr>
                    <w:pStyle w:val="TableBodyText"/>
                  </w:pPr>
                  <w:r>
                    <w:t>$20.4 million</w:t>
                  </w:r>
                  <w:r>
                    <w:br/>
                    <w:t>Compliance cost saving to farmers $68 million</w:t>
                  </w:r>
                </w:p>
              </w:tc>
            </w:tr>
            <w:tr w:rsidR="007544CA" w:rsidTr="00133508">
              <w:tc>
                <w:tcPr>
                  <w:tcW w:w="3327" w:type="pct"/>
                </w:tcPr>
                <w:p w:rsidR="007544CA" w:rsidRDefault="007544CA" w:rsidP="00133508">
                  <w:pPr>
                    <w:pStyle w:val="TableBodyText"/>
                    <w:jc w:val="left"/>
                  </w:pPr>
                  <w:r>
                    <w:t>Improved Country of Origin Labelling</w:t>
                  </w:r>
                </w:p>
              </w:tc>
              <w:tc>
                <w:tcPr>
                  <w:tcW w:w="1673" w:type="pct"/>
                </w:tcPr>
                <w:p w:rsidR="007544CA" w:rsidRDefault="007544CA" w:rsidP="00133508">
                  <w:pPr>
                    <w:pStyle w:val="TableBodyText"/>
                  </w:pPr>
                </w:p>
              </w:tc>
            </w:tr>
            <w:tr w:rsidR="007544CA" w:rsidTr="00133508">
              <w:tc>
                <w:tcPr>
                  <w:tcW w:w="3327" w:type="pct"/>
                </w:tcPr>
                <w:p w:rsidR="007544CA" w:rsidRDefault="007544CA" w:rsidP="00133508">
                  <w:pPr>
                    <w:pStyle w:val="TableBodyText"/>
                    <w:jc w:val="left"/>
                  </w:pPr>
                  <w:r>
                    <w:t>Boost Australian Competition and Consumer (</w:t>
                  </w:r>
                  <w:proofErr w:type="spellStart"/>
                  <w:r>
                    <w:t>ACCC</w:t>
                  </w:r>
                  <w:proofErr w:type="spellEnd"/>
                  <w:r>
                    <w:t>) engagement with the agricultural sector and a new commissioner dedicated to agriculture</w:t>
                  </w:r>
                </w:p>
              </w:tc>
              <w:tc>
                <w:tcPr>
                  <w:tcW w:w="1673" w:type="pct"/>
                </w:tcPr>
                <w:p w:rsidR="007544CA" w:rsidRDefault="007544CA" w:rsidP="00133508">
                  <w:pPr>
                    <w:pStyle w:val="TableBodyText"/>
                  </w:pPr>
                  <w:r>
                    <w:t>$11.4 million over 4 years</w:t>
                  </w:r>
                </w:p>
              </w:tc>
            </w:tr>
            <w:tr w:rsidR="007544CA" w:rsidTr="00133508">
              <w:tc>
                <w:tcPr>
                  <w:tcW w:w="3327" w:type="pct"/>
                </w:tcPr>
                <w:p w:rsidR="007544CA" w:rsidRDefault="007544CA" w:rsidP="00133508">
                  <w:pPr>
                    <w:pStyle w:val="TableBodyText"/>
                    <w:jc w:val="left"/>
                  </w:pPr>
                  <w:r>
                    <w:t>Improved seasonal weather forecasting</w:t>
                  </w:r>
                </w:p>
              </w:tc>
              <w:tc>
                <w:tcPr>
                  <w:tcW w:w="1673" w:type="pct"/>
                </w:tcPr>
                <w:p w:rsidR="007544CA" w:rsidRDefault="007544CA" w:rsidP="00133508">
                  <w:pPr>
                    <w:pStyle w:val="TableBodyText"/>
                  </w:pPr>
                  <w:r>
                    <w:t>$3.3 million</w:t>
                  </w:r>
                </w:p>
              </w:tc>
            </w:tr>
            <w:tr w:rsidR="007544CA" w:rsidTr="00133508">
              <w:tc>
                <w:tcPr>
                  <w:tcW w:w="3327" w:type="pct"/>
                </w:tcPr>
                <w:p w:rsidR="007544CA" w:rsidRDefault="007544CA" w:rsidP="00133508">
                  <w:pPr>
                    <w:pStyle w:val="TableBodyText"/>
                    <w:jc w:val="left"/>
                  </w:pPr>
                  <w:r>
                    <w:t>Local projects to provide short</w:t>
                  </w:r>
                  <w:r>
                    <w:noBreakHyphen/>
                    <w:t>term help to communities that are suffering economic downturn due to drought</w:t>
                  </w:r>
                </w:p>
              </w:tc>
              <w:tc>
                <w:tcPr>
                  <w:tcW w:w="1673" w:type="pct"/>
                </w:tcPr>
                <w:p w:rsidR="007544CA" w:rsidRDefault="007544CA" w:rsidP="00133508">
                  <w:pPr>
                    <w:pStyle w:val="TableBodyText"/>
                  </w:pPr>
                  <w:r>
                    <w:t>$35 million</w:t>
                  </w:r>
                </w:p>
              </w:tc>
            </w:tr>
            <w:tr w:rsidR="007544CA" w:rsidTr="00133508">
              <w:tc>
                <w:tcPr>
                  <w:tcW w:w="3327" w:type="pct"/>
                  <w:shd w:val="clear" w:color="auto" w:fill="auto"/>
                </w:tcPr>
                <w:p w:rsidR="007544CA" w:rsidRDefault="007544CA" w:rsidP="00133508">
                  <w:pPr>
                    <w:pStyle w:val="TableBodyText"/>
                    <w:jc w:val="left"/>
                  </w:pPr>
                  <w:r>
                    <w:t>Break down technical barriers to trade, including appointment of five new agricultural counsellors in key markets</w:t>
                  </w:r>
                </w:p>
              </w:tc>
              <w:tc>
                <w:tcPr>
                  <w:tcW w:w="1673" w:type="pct"/>
                </w:tcPr>
                <w:p w:rsidR="007544CA" w:rsidRDefault="007544CA" w:rsidP="00133508">
                  <w:pPr>
                    <w:pStyle w:val="TableBodyText"/>
                  </w:pPr>
                  <w:r>
                    <w:t>$30.8 million</w:t>
                  </w:r>
                </w:p>
              </w:tc>
            </w:tr>
            <w:tr w:rsidR="007544CA" w:rsidTr="00133508">
              <w:tc>
                <w:tcPr>
                  <w:tcW w:w="3327" w:type="pct"/>
                  <w:tcBorders>
                    <w:bottom w:val="single" w:sz="6" w:space="0" w:color="BFBFBF"/>
                  </w:tcBorders>
                  <w:shd w:val="clear" w:color="auto" w:fill="auto"/>
                </w:tcPr>
                <w:p w:rsidR="007544CA" w:rsidRDefault="007544CA" w:rsidP="00133508">
                  <w:pPr>
                    <w:pStyle w:val="TableBodyText"/>
                    <w:jc w:val="left"/>
                  </w:pPr>
                  <w:r>
                    <w:t>To improve biosecurity surveillance, including in northern Australia</w:t>
                  </w:r>
                </w:p>
              </w:tc>
              <w:tc>
                <w:tcPr>
                  <w:tcW w:w="1673" w:type="pct"/>
                  <w:tcBorders>
                    <w:bottom w:val="single" w:sz="6" w:space="0" w:color="BFBFBF"/>
                  </w:tcBorders>
                </w:tcPr>
                <w:p w:rsidR="007544CA" w:rsidRDefault="007544CA" w:rsidP="00133508">
                  <w:pPr>
                    <w:pStyle w:val="TableBodyText"/>
                  </w:pPr>
                  <w:r>
                    <w:t>$200 million</w:t>
                  </w:r>
                </w:p>
              </w:tc>
            </w:tr>
          </w:tbl>
          <w:p w:rsidR="007544CA" w:rsidRDefault="007544CA" w:rsidP="00133508">
            <w:pPr>
              <w:pStyle w:val="Box"/>
            </w:pP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Source"/>
            </w:pPr>
            <w:r w:rsidRPr="00C47D08">
              <w:rPr>
                <w:i/>
              </w:rPr>
              <w:t>Source</w:t>
            </w:r>
            <w:r w:rsidRPr="00C47D08">
              <w:t xml:space="preserve">: </w:t>
            </w:r>
            <w:r>
              <w:t>Australian Government (</w:t>
            </w:r>
            <w:proofErr w:type="spellStart"/>
            <w:r>
              <w:t>2015a</w:t>
            </w:r>
            <w:proofErr w:type="spellEnd"/>
            <w:r>
              <w:t>).</w:t>
            </w:r>
          </w:p>
        </w:tc>
      </w:tr>
      <w:tr w:rsidR="007544CA" w:rsidTr="00133508">
        <w:trPr>
          <w:cantSplit/>
        </w:trPr>
        <w:tc>
          <w:tcPr>
            <w:tcW w:w="8771" w:type="dxa"/>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BodyText"/>
      </w:pPr>
      <w:r>
        <w:lastRenderedPageBreak/>
        <w:t>The majority of the reported $4 billion package is $2.7 billion for concessional loans ($250 million a year for 11 years).</w:t>
      </w:r>
      <w:r>
        <w:rPr>
          <w:rStyle w:val="FootnoteReference"/>
        </w:rPr>
        <w:footnoteReference w:id="12"/>
      </w:r>
      <w:r>
        <w:t xml:space="preserve"> The industry assistance value to farmers is substantially less than the loan amounts, unless loans are subsequently written off. This is because only the interest saving (the difference between the concessional loan rate and the interest rate a commercial provider would charge for the loan) constitutes assistance, assuming the loans themselves are made only to otherwise viable producers.</w:t>
      </w:r>
      <w:r>
        <w:rPr>
          <w:rStyle w:val="FootnoteReference"/>
        </w:rPr>
        <w:footnoteReference w:id="13"/>
      </w:r>
      <w:r>
        <w:t xml:space="preserve"> </w:t>
      </w:r>
    </w:p>
    <w:p w:rsidR="007544CA" w:rsidRDefault="007544CA" w:rsidP="00133508">
      <w:pPr>
        <w:pStyle w:val="BodyText"/>
      </w:pPr>
      <w:r>
        <w:t xml:space="preserve">The White Paper also includes measures that are intended to benefit agricultural </w:t>
      </w:r>
      <w:r w:rsidRPr="00227C5B">
        <w:rPr>
          <w:i/>
        </w:rPr>
        <w:t xml:space="preserve">activities </w:t>
      </w:r>
      <w:r>
        <w:t xml:space="preserve">but are not typically included in the Commission’s industry assistance estimates. Some examples that are not included in the estimates are: water and transport infrastructure; changes to agricultural and veterinary chemical approval; country of origin labelling; an </w:t>
      </w:r>
      <w:proofErr w:type="spellStart"/>
      <w:r>
        <w:t>ACCC</w:t>
      </w:r>
      <w:proofErr w:type="spellEnd"/>
      <w:r>
        <w:t xml:space="preserve"> agricultural commissioner; weather forecasting; and biosecurity measures. This is because the extent of assistance is either difficult to estimate (as with country of origin labelling) or the benefits accrue to a much wider group (as with public safety from agricultural and veterinary chemical vetting approval).</w:t>
      </w:r>
    </w:p>
    <w:p w:rsidR="007544CA" w:rsidRDefault="007544CA" w:rsidP="00133508">
      <w:pPr>
        <w:pStyle w:val="BodyText"/>
      </w:pPr>
      <w:r>
        <w:t xml:space="preserve">Support for </w:t>
      </w:r>
      <w:r w:rsidRPr="00227C5B">
        <w:rPr>
          <w:i/>
        </w:rPr>
        <w:t>households</w:t>
      </w:r>
      <w:r>
        <w:t xml:space="preserve"> through the Farm Household Allowance is also not included in estimates of industry assistance, nor is support for the broader local </w:t>
      </w:r>
      <w:r w:rsidRPr="00227C5B">
        <w:rPr>
          <w:i/>
        </w:rPr>
        <w:t>community</w:t>
      </w:r>
      <w:r>
        <w:t xml:space="preserve"> such as for mental health support services and local projects. Such assistance is provided to households and communities based on need and is part of the broader social welfare system, rather than assistance to a specific industry. </w:t>
      </w:r>
    </w:p>
    <w:p w:rsidR="007544CA" w:rsidRDefault="007544CA" w:rsidP="00133508">
      <w:pPr>
        <w:pStyle w:val="BodyText"/>
      </w:pPr>
      <w:r>
        <w:t>The White Paper provides an additional $100 million (2018</w:t>
      </w:r>
      <w:r>
        <w:noBreakHyphen/>
        <w:t>19 through to 2021</w:t>
      </w:r>
      <w:r>
        <w:noBreakHyphen/>
        <w:t>22) for the Rural R&amp;D For Profit program, on top of the existing $100 million allocation through to 2017</w:t>
      </w:r>
      <w:r>
        <w:noBreakHyphen/>
        <w:t xml:space="preserve">18. Separately, the government contributes around $240 million per year to Rural R&amp;D Corporations. The additional R&amp;D to be funded by the White Paper </w:t>
      </w:r>
      <w:r w:rsidRPr="00000B1C">
        <w:t>could boost activity to the benefit of the sector and the Australian economy. However, this requires that the s</w:t>
      </w:r>
      <w:r>
        <w:t>ubsidy</w:t>
      </w:r>
      <w:r w:rsidRPr="00000B1C">
        <w:t xml:space="preserve"> does not simply crowd out private efforts</w:t>
      </w:r>
      <w:r>
        <w:t>. E</w:t>
      </w:r>
      <w:r w:rsidRPr="00000B1C">
        <w:t xml:space="preserve">ven where </w:t>
      </w:r>
      <w:r>
        <w:t xml:space="preserve">the result is a </w:t>
      </w:r>
      <w:r w:rsidRPr="00000B1C">
        <w:t>higher level of R&amp;D</w:t>
      </w:r>
      <w:r>
        <w:t>,</w:t>
      </w:r>
      <w:r w:rsidRPr="00000B1C">
        <w:t xml:space="preserve"> the gains in profits to farmers, lower prices to consumers, and/or lower environmental impacts for example, </w:t>
      </w:r>
      <w:r>
        <w:t xml:space="preserve">need to </w:t>
      </w:r>
      <w:r w:rsidRPr="00000B1C">
        <w:t>outweigh the cost of such support</w:t>
      </w:r>
      <w:r>
        <w:t>. The Commission (PC </w:t>
      </w:r>
      <w:proofErr w:type="spellStart"/>
      <w:r>
        <w:t>2011a</w:t>
      </w:r>
      <w:proofErr w:type="spellEnd"/>
      <w:r>
        <w:t>) has previously questioned whether the extent of support for rural R&amp;D was warranted, given the strong profit focus of the investments. Given this, close attention to the governance arrangements is required to ensure that the knowledge generated benefits the economy as a whole and not a small share of producers</w:t>
      </w:r>
      <w:r w:rsidRPr="00000B1C">
        <w:t xml:space="preserve">. </w:t>
      </w:r>
    </w:p>
    <w:p w:rsidR="007544CA" w:rsidRDefault="007544CA">
      <w:pPr>
        <w:rPr>
          <w:szCs w:val="20"/>
        </w:rPr>
      </w:pPr>
      <w:r>
        <w:br w:type="page"/>
      </w:r>
    </w:p>
    <w:p w:rsidR="007544CA" w:rsidRDefault="007544CA" w:rsidP="00133508">
      <w:pPr>
        <w:pStyle w:val="BodyText"/>
      </w:pPr>
      <w:r>
        <w:lastRenderedPageBreak/>
        <w:t>Also of concern with the White Paper package is that s</w:t>
      </w:r>
      <w:r w:rsidRPr="00000B1C">
        <w:t xml:space="preserve">ome measures may hamper much needed adjustment in </w:t>
      </w:r>
      <w:r>
        <w:t>certain</w:t>
      </w:r>
      <w:r w:rsidRPr="00000B1C">
        <w:t xml:space="preserve"> agricultural industries. For example, </w:t>
      </w:r>
      <w:r>
        <w:t xml:space="preserve">as </w:t>
      </w:r>
      <w:r w:rsidRPr="00000B1C">
        <w:t xml:space="preserve">concessional loans lower the cost of debt for eligible farmers, less </w:t>
      </w:r>
      <w:r>
        <w:t>effective producers are encouraged to remain in the industry when exit may be of greater personal and economy</w:t>
      </w:r>
      <w:r>
        <w:noBreakHyphen/>
        <w:t xml:space="preserve">wide benefit. </w:t>
      </w:r>
      <w:r w:rsidRPr="00000B1C">
        <w:t xml:space="preserve">As explained in the </w:t>
      </w:r>
      <w:r>
        <w:t>Commission’s Report into Drought (PC 2009)</w:t>
      </w:r>
      <w:r w:rsidRPr="00000B1C">
        <w:t xml:space="preserve"> such measures, like </w:t>
      </w:r>
      <w:r>
        <w:t xml:space="preserve">State government </w:t>
      </w:r>
      <w:r w:rsidRPr="00000B1C">
        <w:t>subsidies for fodder, reduce the incentives to adjust farming practices in ways that would increase resilience in times of drought and price downturns</w:t>
      </w:r>
      <w:r>
        <w:t>. They can also provide perverse incentives for eligible farmers to manage their properties well over climatic cycles that include drought, for example by reducing the incentives to destock</w:t>
      </w:r>
      <w:r w:rsidRPr="00000B1C">
        <w:t xml:space="preserve">. </w:t>
      </w:r>
    </w:p>
    <w:p w:rsidR="007544CA" w:rsidRDefault="00133508" w:rsidP="00133508">
      <w:pPr>
        <w:pStyle w:val="Heading2"/>
      </w:pPr>
      <w:r>
        <w:t>3.2</w:t>
      </w:r>
      <w:r>
        <w:tab/>
      </w:r>
      <w:r w:rsidR="007544CA">
        <w:t xml:space="preserve">The Defence Industry Policy Statement and the submarine procurement decision </w:t>
      </w:r>
    </w:p>
    <w:p w:rsidR="007544CA" w:rsidRDefault="007544CA" w:rsidP="00133508">
      <w:pPr>
        <w:pStyle w:val="BodyText"/>
      </w:pPr>
      <w:r>
        <w:t>The 2016 Defence Industry Policy Statement signals expenditure of $1.6 billion on defence industry and innovation programs over the coming decade — the Centre for Defence Industry Capability (</w:t>
      </w:r>
      <w:proofErr w:type="spellStart"/>
      <w:r>
        <w:t>CIDC</w:t>
      </w:r>
      <w:proofErr w:type="spellEnd"/>
      <w:r>
        <w:t>) ($230 million); the Next Generation Technologies Fund ($730 million) and a Defence Innovation Hub ($640 million). This consolidates a multitude of previous support programs. It is difficult to ascertain whether the intended support is an increase in what would have been provided had previous programs continued, as previous funding arrangements were not transparent (TAR 2012</w:t>
      </w:r>
      <w:r>
        <w:noBreakHyphen/>
        <w:t xml:space="preserve">13). </w:t>
      </w:r>
    </w:p>
    <w:p w:rsidR="007544CA" w:rsidRDefault="007544CA" w:rsidP="00133508">
      <w:pPr>
        <w:pStyle w:val="BodyText"/>
      </w:pPr>
      <w:r>
        <w:t xml:space="preserve">The budgetary assistance provided to defence industry businesses includes: discretionary grants to companies (such as for skills training, technology demonstration, and commercialisation); government expenditure on third party R&amp;D; payments to multinational prime contractors to promote Australian industry participation, and export marketing and promotion services. </w:t>
      </w:r>
    </w:p>
    <w:p w:rsidR="007544CA" w:rsidRDefault="007544CA" w:rsidP="00133508">
      <w:pPr>
        <w:pStyle w:val="BodyText"/>
      </w:pPr>
      <w:r>
        <w:t>In light of the significant size of the budgetary assistance to the defence industry, and its role in delivering Australian Defence Force (</w:t>
      </w:r>
      <w:proofErr w:type="spellStart"/>
      <w:r>
        <w:t>ADF</w:t>
      </w:r>
      <w:proofErr w:type="spellEnd"/>
      <w:r>
        <w:t>) capability, close attention to future evaluation of the effectiveness and efficiency of the revised industry support is paramount. A 2016 Australian National Audit Office (</w:t>
      </w:r>
      <w:proofErr w:type="spellStart"/>
      <w:r>
        <w:t>ANAO</w:t>
      </w:r>
      <w:proofErr w:type="spellEnd"/>
      <w:r>
        <w:t>) performance audit of the 11 principal defence industry support programs concluded that less than half had effective performance frameworks in place (</w:t>
      </w:r>
      <w:proofErr w:type="spellStart"/>
      <w:r>
        <w:t>ANAO</w:t>
      </w:r>
      <w:proofErr w:type="spellEnd"/>
      <w:r>
        <w:t> 2016).</w:t>
      </w:r>
    </w:p>
    <w:p w:rsidR="007544CA" w:rsidRDefault="007544CA" w:rsidP="00133508">
      <w:pPr>
        <w:pStyle w:val="BodyText"/>
      </w:pPr>
      <w:r>
        <w:t>The defence industry also receives assistance through the Priority and Strategic Industrial Capability policy which dictates that certain designated ‘industrial capabilities’ must be resident in Australia. This is on the basis that the lack of availability of such capabilities would significantly undermine defence self</w:t>
      </w:r>
      <w:r>
        <w:noBreakHyphen/>
        <w:t xml:space="preserve">reliance and </w:t>
      </w:r>
      <w:proofErr w:type="spellStart"/>
      <w:r>
        <w:t>ADF</w:t>
      </w:r>
      <w:proofErr w:type="spellEnd"/>
      <w:r>
        <w:t xml:space="preserve"> operational capability. The assistance delivered to the Australian defence industry through this ‘local preference’ policy is difficult to quantify because the counterfactual is not observable — the local supply in the absence of a local procurement policy. An indicative measure of the potential assistance, on a project basis, is the cost premium to build locally. (Local cost premiums — the total cost of a local build in excess of the total cost for the same equipment sourced from other countries — may also be incurred for projects which are not on the designated </w:t>
      </w:r>
      <w:r>
        <w:lastRenderedPageBreak/>
        <w:t xml:space="preserve">capability list). However, under current defence procurement disclosure decision making, the local cost premium for the </w:t>
      </w:r>
      <w:r w:rsidRPr="009E20E3">
        <w:rPr>
          <w:i/>
        </w:rPr>
        <w:t>same</w:t>
      </w:r>
      <w:r>
        <w:t xml:space="preserve"> equipment is not publicly revealed, and the equipment built in Australia can vary from the alternative. Consequently, for practical data reasons, such assistance is not included in the Commission’s core industry assistance estimates. The Commission has called for transparency of the cost premiums, and pointed to ways to support transparency while respecting confidentiality (TAR 2012</w:t>
      </w:r>
      <w:r>
        <w:noBreakHyphen/>
        <w:t xml:space="preserve">13, pp. 29–31). </w:t>
      </w:r>
    </w:p>
    <w:p w:rsidR="007544CA" w:rsidRDefault="007544CA" w:rsidP="00133508">
      <w:pPr>
        <w:pStyle w:val="BodyText"/>
      </w:pPr>
      <w:r>
        <w:t>The cost premium provides a hurdle that self</w:t>
      </w:r>
      <w:r>
        <w:noBreakHyphen/>
        <w:t xml:space="preserve">reliance benefits must exceed before a decision to build locally should be made. These benefits are difficult to enumerate. There does not appear to be a public evaluation of whether, in the past, the ‘insurance policy’ of local manufacture was either necessary or useful in maintaining </w:t>
      </w:r>
      <w:proofErr w:type="spellStart"/>
      <w:r>
        <w:t>ADF</w:t>
      </w:r>
      <w:proofErr w:type="spellEnd"/>
      <w:r>
        <w:t xml:space="preserve"> operational capability. There are notable examples, such as Australia’s over</w:t>
      </w:r>
      <w:r>
        <w:noBreakHyphen/>
        <w:t>the</w:t>
      </w:r>
      <w:r>
        <w:noBreakHyphen/>
        <w:t xml:space="preserve">horizon radar technology, which is likely to be superior to other available systems. However, it is equally likely that some capabilities do not pass the test. </w:t>
      </w:r>
    </w:p>
    <w:p w:rsidR="007544CA" w:rsidRDefault="007544CA" w:rsidP="00133508">
      <w:pPr>
        <w:pStyle w:val="BodyText"/>
      </w:pPr>
      <w:r>
        <w:t xml:space="preserve">The other main argument for local defence equipment construction is technology and skill spillovers. It is easier to assert that such spillovers will eventuate than to prove they have. Spillover value is created when the defence project develops or adapts new technology or builds skills that are then </w:t>
      </w:r>
      <w:r w:rsidRPr="00551C69">
        <w:rPr>
          <w:i/>
        </w:rPr>
        <w:t>transferred and taken</w:t>
      </w:r>
      <w:r>
        <w:rPr>
          <w:i/>
        </w:rPr>
        <w:noBreakHyphen/>
      </w:r>
      <w:r w:rsidRPr="00551C69">
        <w:rPr>
          <w:i/>
        </w:rPr>
        <w:t>up</w:t>
      </w:r>
      <w:r>
        <w:t xml:space="preserve"> by industries beyond those involved in the defence construction. Technology spillovers are more likely if high</w:t>
      </w:r>
      <w:r>
        <w:noBreakHyphen/>
        <w:t>tech activities such as R&amp;D are conducted in Australia. Local assembly of high</w:t>
      </w:r>
      <w:r>
        <w:noBreakHyphen/>
        <w:t>tech defence components (developed overseas) is likely to yield less in the way of spillover benefits. Spillovers are not the primary objective of defence acquisitions. (Technical capabilities may be required that are, in any case, not available locally).</w:t>
      </w:r>
    </w:p>
    <w:p w:rsidR="007544CA" w:rsidRPr="0096472F" w:rsidRDefault="007544CA" w:rsidP="00133508">
      <w:pPr>
        <w:pStyle w:val="BodyText"/>
        <w:rPr>
          <w:spacing w:val="-2"/>
        </w:rPr>
      </w:pPr>
      <w:r w:rsidRPr="0096472F">
        <w:rPr>
          <w:spacing w:val="-2"/>
        </w:rPr>
        <w:t>Paying more for local builds, without sufficient strategic defence and spillover benefits to offset the additional cost, diverts productive resources (labour, capital and land) away from relatively more efficient (less assisted) uses. It can also create a permanent expectation of more such high</w:t>
      </w:r>
      <w:r w:rsidRPr="0096472F">
        <w:rPr>
          <w:spacing w:val="-2"/>
        </w:rPr>
        <w:noBreakHyphen/>
        <w:t xml:space="preserve">cost work, as the recent heavily promoted ‘valley of death’ in naval ship building exemplifies. Such distortion detracts from Australia’s capacity to maximise economic and social wellbeing from the community’s resources. The recent decision to build the new submarines locally at a reported 30 per cent cost premium, and a preference for using local steel, provides an illustrative example of how a local cost premium can deliver a very high rate of effective assistance for the defence contractor and the firms providing the major steel inputs (box 3.1). While based on hypothetical data, the example reveals that the effective rate of assistance provided by purchasing preferences can be higher than the peak historical levels recorded for the automotive and textiles, clothing and footwear industries prior to the significant economic reforms of protection. It is notable that this cost premium does not include any delays in deploying the new submarine capability. </w:t>
      </w:r>
    </w:p>
    <w:p w:rsidR="007544CA" w:rsidRDefault="007544C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F2F2F2"/>
          </w:tcPr>
          <w:p w:rsidR="007544CA" w:rsidRDefault="007544CA" w:rsidP="00133508">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3.</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1</w:t>
            </w:r>
            <w:r>
              <w:rPr>
                <w:b w:val="0"/>
              </w:rPr>
              <w:fldChar w:fldCharType="end"/>
            </w:r>
            <w:r>
              <w:tab/>
              <w:t>Illustrative effective rate of assistance for locally built submarines and local steel supply</w:t>
            </w:r>
          </w:p>
        </w:tc>
      </w:tr>
      <w:tr w:rsidR="007544CA" w:rsidTr="00133508">
        <w:trPr>
          <w:cantSplit/>
        </w:trPr>
        <w:tc>
          <w:tcPr>
            <w:tcW w:w="8771" w:type="dxa"/>
            <w:tcBorders>
              <w:top w:val="nil"/>
              <w:left w:val="nil"/>
              <w:bottom w:val="nil"/>
              <w:right w:val="nil"/>
            </w:tcBorders>
            <w:shd w:val="clear" w:color="auto" w:fill="F2F2F2"/>
          </w:tcPr>
          <w:p w:rsidR="007544CA" w:rsidRDefault="007544CA" w:rsidP="00133508">
            <w:pPr>
              <w:pStyle w:val="Box"/>
            </w:pPr>
            <w:r>
              <w:t>A useful indicator of the potential distortion of resource allocation from the provision of industry assistance is the ‘effective rate of assistance’ (ERA). This is a measure of the incentive to attract labour, capital and land (the so</w:t>
            </w:r>
            <w:r>
              <w:noBreakHyphen/>
              <w:t>called ‘value added’) into an activity. The ERA is calculated as the amount of assistance (net subsidy equivalent) per unit of ‘unassisted net output’ (also termed ‘unassisted value added’). The higher the ERA the greater is the potential incentive to draw productive resources into an activity and hence distort economic activity.</w:t>
            </w:r>
          </w:p>
          <w:p w:rsidR="007544CA" w:rsidRDefault="007544CA" w:rsidP="00133508">
            <w:pPr>
              <w:pStyle w:val="BoxHeading2"/>
            </w:pPr>
            <w:r>
              <w:t>Assistance to the Australian submarine assembly industry</w:t>
            </w:r>
          </w:p>
          <w:p w:rsidR="007544CA" w:rsidRDefault="007544CA" w:rsidP="00133508">
            <w:pPr>
              <w:pStyle w:val="Box"/>
            </w:pPr>
            <w:r>
              <w:t xml:space="preserve">Consider a local submarine build at a 30 per cent premium and 50 per cent of the project spent in Australia (covering wages and local materials). </w:t>
            </w:r>
          </w:p>
          <w:p w:rsidR="007544CA" w:rsidRDefault="007544CA" w:rsidP="00133508">
            <w:pPr>
              <w:pStyle w:val="BoxListBullet"/>
              <w:spacing w:before="80"/>
            </w:pPr>
            <w:r>
              <w:t xml:space="preserve">Assume the submarine that costs $130 to build in Australia, and involves local expenditure of 50 per cent comprising $30 local steel, and $35 local labour and capital (known as value added). It also requires $65 imported materials (including complex systems costs and installation wages of foreign contractors). </w:t>
            </w:r>
          </w:p>
          <w:p w:rsidR="007544CA" w:rsidRDefault="007544CA" w:rsidP="00133508">
            <w:pPr>
              <w:pStyle w:val="BoxListBullet"/>
              <w:spacing w:before="80"/>
            </w:pPr>
            <w:r>
              <w:t xml:space="preserve">This is 30 per cent higher than the cost to build the same submarine overseas of $130/1.3 = $100. </w:t>
            </w:r>
          </w:p>
          <w:p w:rsidR="007544CA" w:rsidRDefault="007544CA" w:rsidP="00133508">
            <w:pPr>
              <w:pStyle w:val="BoxListBullet"/>
              <w:spacing w:before="80"/>
            </w:pPr>
            <w:r>
              <w:t>Part of this higher cost is due to a requirement to purchase local steel. The illustrative calculations assume that foreign steel would have been available for a cost of $25.</w:t>
            </w:r>
          </w:p>
          <w:p w:rsidR="007544CA" w:rsidRDefault="007544CA" w:rsidP="00133508">
            <w:pPr>
              <w:pStyle w:val="Box"/>
            </w:pPr>
            <w:r>
              <w:t xml:space="preserve">The ERA is calculated as the </w:t>
            </w:r>
            <w:r w:rsidRPr="00830373">
              <w:rPr>
                <w:i/>
              </w:rPr>
              <w:t>net</w:t>
            </w:r>
            <w:r>
              <w:t xml:space="preserve"> subsidy equivalent (</w:t>
            </w:r>
            <w:proofErr w:type="spellStart"/>
            <w:r>
              <w:t>NSE</w:t>
            </w:r>
            <w:proofErr w:type="spellEnd"/>
            <w:r>
              <w:t xml:space="preserve">) divided by the </w:t>
            </w:r>
            <w:r w:rsidRPr="00830373">
              <w:rPr>
                <w:i/>
              </w:rPr>
              <w:t>unassisted</w:t>
            </w:r>
            <w:r>
              <w:t xml:space="preserve"> value added (UVA).</w:t>
            </w:r>
          </w:p>
          <w:p w:rsidR="007544CA" w:rsidRDefault="007544CA" w:rsidP="00133508">
            <w:pPr>
              <w:pStyle w:val="BoxListBullet"/>
              <w:spacing w:before="80"/>
            </w:pPr>
            <w:r>
              <w:t>The dollar amount of assistance provided by the cost premium (the gross subsidy equivalent) is $130 less $100 (the efficient benchmark price) = $30. However, the net subsidy equivalent (</w:t>
            </w:r>
            <w:proofErr w:type="spellStart"/>
            <w:r>
              <w:t>NSE</w:t>
            </w:r>
            <w:proofErr w:type="spellEnd"/>
            <w:r>
              <w:t xml:space="preserve">) must take account of the cost penalty ($5) imposed on submarine assembly by mandating the use of higher cost local steel. So the </w:t>
            </w:r>
            <w:proofErr w:type="spellStart"/>
            <w:r>
              <w:t>NSE</w:t>
            </w:r>
            <w:proofErr w:type="spellEnd"/>
            <w:r>
              <w:t xml:space="preserve"> =$25. </w:t>
            </w:r>
          </w:p>
          <w:p w:rsidR="007544CA" w:rsidRDefault="007544CA" w:rsidP="00133508">
            <w:pPr>
              <w:pStyle w:val="BoxListBullet"/>
              <w:spacing w:before="80"/>
            </w:pPr>
            <w:r>
              <w:t xml:space="preserve">The </w:t>
            </w:r>
            <w:r w:rsidRPr="00411DB9">
              <w:rPr>
                <w:i/>
              </w:rPr>
              <w:t>unassisted</w:t>
            </w:r>
            <w:r>
              <w:t xml:space="preserve"> value added is calculated as the </w:t>
            </w:r>
            <w:r w:rsidRPr="00411DB9">
              <w:rPr>
                <w:i/>
              </w:rPr>
              <w:t>assisted</w:t>
            </w:r>
            <w:r>
              <w:t xml:space="preserve"> value added of $35 less the net assistance of $25 = $10. </w:t>
            </w:r>
          </w:p>
          <w:p w:rsidR="007544CA" w:rsidRDefault="007544CA" w:rsidP="00133508">
            <w:pPr>
              <w:pStyle w:val="BoxListBullet"/>
              <w:spacing w:before="80"/>
            </w:pPr>
            <w:r>
              <w:t xml:space="preserve">The ERA = $25 divided by $10 = 2.5, or 250 per cent. </w:t>
            </w:r>
          </w:p>
          <w:p w:rsidR="007544CA" w:rsidRDefault="007544CA" w:rsidP="00133508">
            <w:pPr>
              <w:pStyle w:val="Box"/>
            </w:pPr>
            <w:r>
              <w:t xml:space="preserve">These costs structures are hypothetical, but reflect the scant public information on the likely premium (30 per cent) and claims that 50 per cent of costs will be the spent in Australia. The example is intended to illustrate the methodology. It should be noted that the requirement to purchase more expensive steel reduces the ERA for the submarine industry. If they could instead purchase foreign steel at $25, the assisted value would be $40, their </w:t>
            </w:r>
            <w:proofErr w:type="spellStart"/>
            <w:r>
              <w:t>NSE</w:t>
            </w:r>
            <w:proofErr w:type="spellEnd"/>
            <w:r>
              <w:t xml:space="preserve"> $30, the unassisted value added would still be $10, and the ERA 300 per cent.</w:t>
            </w:r>
          </w:p>
          <w:p w:rsidR="007544CA" w:rsidRDefault="007544CA" w:rsidP="00133508">
            <w:pPr>
              <w:pStyle w:val="BoxHeading2"/>
            </w:pPr>
            <w:r>
              <w:t>Assistance to the steel industry from mandated supply by higher cost local steel supply</w:t>
            </w:r>
          </w:p>
          <w:p w:rsidR="007544CA" w:rsidRDefault="007544CA" w:rsidP="00133508">
            <w:pPr>
              <w:pStyle w:val="Box"/>
            </w:pPr>
            <w:r>
              <w:t>Assume the $30 local steel input to the submarine comprise $20 local materials and $10 local value add. If the government mandates use of Australia steel in the local submarine build then assistance is conferred to the domestic steel industry (while penalising the assembly industry, as above). The ERA to the Australian steel company in this hypothetical example is the net subsidy equivalent of $5 ($30</w:t>
            </w:r>
            <w:r>
              <w:noBreakHyphen/>
              <w:t>$25) divided by unassisted value added ($5) = 1.0 or 100 per cent.</w:t>
            </w:r>
          </w:p>
        </w:tc>
      </w:tr>
      <w:tr w:rsidR="007544CA" w:rsidTr="00133508">
        <w:trPr>
          <w:cantSplit/>
        </w:trPr>
        <w:tc>
          <w:tcPr>
            <w:tcW w:w="8771" w:type="dxa"/>
            <w:tcBorders>
              <w:top w:val="nil"/>
              <w:left w:val="nil"/>
              <w:bottom w:val="single" w:sz="6" w:space="0" w:color="78A22F"/>
              <w:right w:val="nil"/>
            </w:tcBorders>
            <w:shd w:val="clear" w:color="auto" w:fill="F2F2F2"/>
          </w:tcPr>
          <w:p w:rsidR="007544CA" w:rsidRDefault="007544CA">
            <w:pPr>
              <w:pStyle w:val="Box"/>
              <w:spacing w:before="0" w:line="120" w:lineRule="exact"/>
            </w:pPr>
          </w:p>
        </w:tc>
      </w:tr>
    </w:tbl>
    <w:p w:rsidR="007544CA" w:rsidRDefault="007544CA" w:rsidP="00133508">
      <w:pPr>
        <w:pStyle w:val="BoxSpaceBelow"/>
      </w:pPr>
    </w:p>
    <w:p w:rsidR="007544CA" w:rsidRPr="003B1087" w:rsidRDefault="00133508" w:rsidP="00133508">
      <w:pPr>
        <w:pStyle w:val="Heading2"/>
      </w:pPr>
      <w:r>
        <w:lastRenderedPageBreak/>
        <w:t>3.3</w:t>
      </w:r>
      <w:r>
        <w:tab/>
      </w:r>
      <w:r w:rsidR="007544CA">
        <w:t xml:space="preserve">Renewable energy development and carbon emissions reduction </w:t>
      </w:r>
    </w:p>
    <w:p w:rsidR="007544CA" w:rsidRDefault="007544CA" w:rsidP="00133508">
      <w:pPr>
        <w:pStyle w:val="BodyText"/>
        <w:spacing w:before="180"/>
      </w:pPr>
      <w:r>
        <w:t>Renewable energy and carbon reduction measures benefit businesses that make or sell related products or services and may impose costs on those activities that have higher carbon emissions.</w:t>
      </w:r>
    </w:p>
    <w:p w:rsidR="007544CA" w:rsidRDefault="007544CA" w:rsidP="00133508">
      <w:pPr>
        <w:pStyle w:val="BodyText"/>
        <w:spacing w:before="180"/>
      </w:pPr>
      <w:r>
        <w:t>Clearly, these measures advantage some businesses over others, but how much should be defined as industry assistance is difficult to assess.</w:t>
      </w:r>
      <w:r>
        <w:rPr>
          <w:rStyle w:val="FootnoteReference"/>
        </w:rPr>
        <w:footnoteReference w:id="14"/>
      </w:r>
    </w:p>
    <w:p w:rsidR="007544CA" w:rsidRDefault="007544CA" w:rsidP="00133508">
      <w:pPr>
        <w:pStyle w:val="BodyText"/>
        <w:spacing w:before="180"/>
      </w:pPr>
      <w:r>
        <w:t>Higher support over the Budget Forward Estimates (and beyond) has been committed or announced in the following areas.</w:t>
      </w:r>
    </w:p>
    <w:p w:rsidR="007544CA" w:rsidRDefault="007544CA" w:rsidP="00133508">
      <w:pPr>
        <w:pStyle w:val="ListBullet"/>
        <w:spacing w:before="80"/>
      </w:pPr>
      <w:r>
        <w:t>R&amp;D grants, project co</w:t>
      </w:r>
      <w:r>
        <w:noBreakHyphen/>
        <w:t>funding and venture capital provided by the Australian Renewable Energy Agency (ARENA). The agency was established in 2012 with $2.5 billion funding until 2020. At 30 June 2015, $1.1 billion in support had been spent or committed. ARENA support to business is included in the Commission’s assistance estimates (table 3.2) at the full face value of the grants, co</w:t>
      </w:r>
      <w:r>
        <w:noBreakHyphen/>
        <w:t>payments, and venture capital injection. Once the large</w:t>
      </w:r>
      <w:r>
        <w:noBreakHyphen/>
        <w:t>scale solar round of grants is complete, ARENA will move from a grant based role to predominantly a debt and equity basis under the Clean Energy Innovation Fund (</w:t>
      </w:r>
      <w:proofErr w:type="spellStart"/>
      <w:r>
        <w:t>CEIF</w:t>
      </w:r>
      <w:proofErr w:type="spellEnd"/>
      <w:r>
        <w:t>) (below).</w:t>
      </w:r>
    </w:p>
    <w:p w:rsidR="007544CA" w:rsidRDefault="007544CA" w:rsidP="00133508">
      <w:pPr>
        <w:pStyle w:val="ListBullet"/>
        <w:spacing w:before="80"/>
      </w:pPr>
      <w:r>
        <w:t xml:space="preserve">Debt and equity is to be provided from the $1 billion </w:t>
      </w:r>
      <w:proofErr w:type="spellStart"/>
      <w:r>
        <w:t>CEIF</w:t>
      </w:r>
      <w:proofErr w:type="spellEnd"/>
      <w:r>
        <w:t>, announced in March 2016. This is different to the Clean Energy Finance Corporation (</w:t>
      </w:r>
      <w:proofErr w:type="spellStart"/>
      <w:r>
        <w:t>CEFC</w:t>
      </w:r>
      <w:proofErr w:type="spellEnd"/>
      <w:r>
        <w:t xml:space="preserve">). The new Fund will be jointly managed by ARENA and the </w:t>
      </w:r>
      <w:proofErr w:type="spellStart"/>
      <w:r>
        <w:t>CEFC</w:t>
      </w:r>
      <w:proofErr w:type="spellEnd"/>
      <w:r>
        <w:t xml:space="preserve">. As the $1 billion is to come from the </w:t>
      </w:r>
      <w:proofErr w:type="spellStart"/>
      <w:r>
        <w:t>CEFC’s</w:t>
      </w:r>
      <w:proofErr w:type="spellEnd"/>
      <w:r>
        <w:t xml:space="preserve"> $10 billion allocation, this is not additional support.</w:t>
      </w:r>
    </w:p>
    <w:p w:rsidR="007544CA" w:rsidRPr="00575350" w:rsidRDefault="007544CA" w:rsidP="00133508">
      <w:pPr>
        <w:pStyle w:val="ListBullet"/>
        <w:spacing w:before="80"/>
        <w:rPr>
          <w:spacing w:val="-2"/>
        </w:rPr>
      </w:pPr>
      <w:r w:rsidRPr="00575350">
        <w:rPr>
          <w:spacing w:val="-2"/>
        </w:rPr>
        <w:t>Co</w:t>
      </w:r>
      <w:r w:rsidRPr="00575350">
        <w:rPr>
          <w:spacing w:val="-2"/>
        </w:rPr>
        <w:noBreakHyphen/>
        <w:t xml:space="preserve">finance by the </w:t>
      </w:r>
      <w:proofErr w:type="spellStart"/>
      <w:r w:rsidRPr="00575350">
        <w:rPr>
          <w:spacing w:val="-2"/>
        </w:rPr>
        <w:t>CEFC</w:t>
      </w:r>
      <w:proofErr w:type="spellEnd"/>
      <w:r w:rsidRPr="00575350">
        <w:rPr>
          <w:spacing w:val="-2"/>
        </w:rPr>
        <w:t>. The Corporation commenced in 2013 with $2 billion per year to 2017, with provision for under spent funds to be rolled over. The assistance provided is due to the concessional nature of the loans. This is not included in the assistance estimates as the value is difficult to measure given the variability of the rate that firms would otherwise face.</w:t>
      </w:r>
    </w:p>
    <w:p w:rsidR="007544CA" w:rsidRPr="00575350" w:rsidRDefault="007544CA" w:rsidP="00133508">
      <w:pPr>
        <w:pStyle w:val="ListBullet"/>
        <w:spacing w:before="80"/>
        <w:rPr>
          <w:spacing w:val="-2"/>
        </w:rPr>
      </w:pPr>
      <w:r w:rsidRPr="00575350">
        <w:rPr>
          <w:spacing w:val="-2"/>
        </w:rPr>
        <w:t>Payments from the Emissions Reduction Fund (ERF) for successful project bids. The Fund was allocated $2.55 billion in the 2014</w:t>
      </w:r>
      <w:r w:rsidRPr="00575350">
        <w:rPr>
          <w:spacing w:val="-2"/>
        </w:rPr>
        <w:noBreakHyphen/>
        <w:t xml:space="preserve">15 Budget, with further funding to be considered in future budgets. The net financial gain to businesses from the sale of voluntary emissions reduction credits and ERF auction payments is less than the ‘gross’ payments ($1.7 billion from the first three ERF auctions) as the costs of abatement incurred by the business have to be taken into account. Hence even if payments for reductions above the cost of making these reductions are regarded as assistance, they are difficult to estimate. Note that ERF payments may fail the test of additionality — for </w:t>
      </w:r>
      <w:r w:rsidRPr="00575350">
        <w:rPr>
          <w:spacing w:val="-2"/>
        </w:rPr>
        <w:lastRenderedPageBreak/>
        <w:t>example, being paid not to clear land that was genuinely not planned for clearance means no additional carbon saving and a windfall gain to the landholder.</w:t>
      </w:r>
    </w:p>
    <w:p w:rsidR="007544CA" w:rsidRDefault="007544CA" w:rsidP="00575350">
      <w:pPr>
        <w:pStyle w:val="BoxSpaceAbove"/>
        <w:spacing w:before="240"/>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Pr="00784A05" w:rsidRDefault="007544CA" w:rsidP="00133508">
            <w:pPr>
              <w:pStyle w:val="TableTitle"/>
            </w:pPr>
            <w:r>
              <w:rPr>
                <w:b w:val="0"/>
              </w:rPr>
              <w:t xml:space="preserve">Table </w:t>
            </w:r>
            <w:r>
              <w:rPr>
                <w:b w:val="0"/>
              </w:rPr>
              <w:fldChar w:fldCharType="begin" w:fldLock="1"/>
            </w:r>
            <w:r>
              <w:rPr>
                <w:b w:val="0"/>
              </w:rPr>
              <w:instrText xml:space="preserve"> COMMENTS  \* MERGEFORMAT </w:instrText>
            </w:r>
            <w:r>
              <w:rPr>
                <w:b w:val="0"/>
              </w:rPr>
              <w:fldChar w:fldCharType="separate"/>
            </w:r>
            <w:r>
              <w:rPr>
                <w:b w:val="0"/>
              </w:rPr>
              <w:t>3.</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2</w:t>
            </w:r>
            <w:r>
              <w:rPr>
                <w:b w:val="0"/>
              </w:rPr>
              <w:fldChar w:fldCharType="end"/>
            </w:r>
            <w:r>
              <w:tab/>
              <w:t xml:space="preserve">Benefits to business from certain renewable energy and carbon reduction measures </w:t>
            </w:r>
          </w:p>
        </w:tc>
      </w:tr>
      <w:tr w:rsidR="007544CA" w:rsidTr="0013350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531"/>
              <w:gridCol w:w="2549"/>
              <w:gridCol w:w="3407"/>
            </w:tblGrid>
            <w:tr w:rsidR="007544CA" w:rsidTr="00575350">
              <w:tc>
                <w:tcPr>
                  <w:tcW w:w="1491" w:type="pct"/>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r>
                    <w:t>Program</w:t>
                  </w:r>
                </w:p>
              </w:tc>
              <w:tc>
                <w:tcPr>
                  <w:tcW w:w="1502" w:type="pct"/>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r>
                    <w:t>Nature of business support</w:t>
                  </w:r>
                </w:p>
              </w:tc>
              <w:tc>
                <w:tcPr>
                  <w:tcW w:w="2007" w:type="pct"/>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jc w:val="left"/>
                  </w:pPr>
                  <w:r>
                    <w:t>Comment</w:t>
                  </w:r>
                </w:p>
              </w:tc>
            </w:tr>
            <w:tr w:rsidR="007544CA" w:rsidRPr="006809E0" w:rsidTr="00133508">
              <w:tc>
                <w:tcPr>
                  <w:tcW w:w="5000" w:type="pct"/>
                  <w:gridSpan w:val="3"/>
                </w:tcPr>
                <w:p w:rsidR="007544CA" w:rsidRPr="006809E0" w:rsidRDefault="007544CA" w:rsidP="00133508">
                  <w:pPr>
                    <w:pStyle w:val="TableBodyText"/>
                    <w:spacing w:before="120"/>
                    <w:ind w:right="28"/>
                    <w:jc w:val="left"/>
                    <w:rPr>
                      <w:b/>
                    </w:rPr>
                  </w:pPr>
                  <w:r w:rsidRPr="006809E0">
                    <w:rPr>
                      <w:b/>
                    </w:rPr>
                    <w:t>Measured industry assistance</w:t>
                  </w:r>
                </w:p>
              </w:tc>
            </w:tr>
            <w:tr w:rsidR="007544CA" w:rsidTr="00575350">
              <w:tc>
                <w:tcPr>
                  <w:tcW w:w="1491" w:type="pct"/>
                </w:tcPr>
                <w:p w:rsidR="007544CA" w:rsidRDefault="007544CA" w:rsidP="00133508">
                  <w:pPr>
                    <w:pStyle w:val="TableBodyText"/>
                    <w:spacing w:after="120"/>
                    <w:jc w:val="left"/>
                  </w:pPr>
                  <w:r>
                    <w:t>ARENA R&amp;D Programme</w:t>
                  </w:r>
                  <w:r>
                    <w:rPr>
                      <w:rStyle w:val="NoteLabel"/>
                    </w:rPr>
                    <w:t>a</w:t>
                  </w:r>
                </w:p>
              </w:tc>
              <w:tc>
                <w:tcPr>
                  <w:tcW w:w="1502" w:type="pct"/>
                </w:tcPr>
                <w:p w:rsidR="007544CA" w:rsidRDefault="007544CA" w:rsidP="00133508">
                  <w:pPr>
                    <w:pStyle w:val="TableBodyText"/>
                    <w:spacing w:after="120"/>
                    <w:jc w:val="left"/>
                  </w:pPr>
                  <w:r>
                    <w:t xml:space="preserve">Grants in competitive Rounds.  </w:t>
                  </w:r>
                </w:p>
              </w:tc>
              <w:tc>
                <w:tcPr>
                  <w:tcW w:w="2007" w:type="pct"/>
                </w:tcPr>
                <w:p w:rsidR="007544CA" w:rsidRDefault="007544CA" w:rsidP="00133508">
                  <w:pPr>
                    <w:pStyle w:val="TableBodyText"/>
                    <w:spacing w:after="120"/>
                    <w:ind w:right="28"/>
                    <w:jc w:val="left"/>
                  </w:pPr>
                  <w:r>
                    <w:t>The government share of project expenditure varies across successful applicants. Average share around 30 per cent.</w:t>
                  </w:r>
                </w:p>
              </w:tc>
            </w:tr>
            <w:tr w:rsidR="007544CA" w:rsidTr="00575350">
              <w:tc>
                <w:tcPr>
                  <w:tcW w:w="1491" w:type="pct"/>
                </w:tcPr>
                <w:p w:rsidR="007544CA" w:rsidRDefault="007544CA" w:rsidP="00133508">
                  <w:pPr>
                    <w:pStyle w:val="TableBodyText"/>
                    <w:spacing w:after="120"/>
                    <w:jc w:val="left"/>
                  </w:pPr>
                  <w:r>
                    <w:t>ARENA Advancing Renewables Programme</w:t>
                  </w:r>
                  <w:r>
                    <w:rPr>
                      <w:rStyle w:val="NoteLabel"/>
                    </w:rPr>
                    <w:t>a</w:t>
                  </w:r>
                </w:p>
              </w:tc>
              <w:tc>
                <w:tcPr>
                  <w:tcW w:w="1502" w:type="pct"/>
                </w:tcPr>
                <w:p w:rsidR="007544CA" w:rsidRDefault="007544CA" w:rsidP="00133508">
                  <w:pPr>
                    <w:pStyle w:val="TableBodyText"/>
                    <w:spacing w:after="120"/>
                    <w:jc w:val="left"/>
                  </w:pPr>
                  <w:r>
                    <w:t>Co</w:t>
                  </w:r>
                  <w:r>
                    <w:noBreakHyphen/>
                    <w:t>funding grants from competitive Rounds and non</w:t>
                  </w:r>
                  <w:r>
                    <w:noBreakHyphen/>
                    <w:t>competitive merit application</w:t>
                  </w:r>
                </w:p>
              </w:tc>
              <w:tc>
                <w:tcPr>
                  <w:tcW w:w="2007" w:type="pct"/>
                </w:tcPr>
                <w:p w:rsidR="007544CA" w:rsidRDefault="007544CA" w:rsidP="00133508">
                  <w:pPr>
                    <w:pStyle w:val="TableBodyText"/>
                    <w:spacing w:after="120"/>
                    <w:ind w:right="28"/>
                    <w:jc w:val="left"/>
                  </w:pPr>
                  <w:r>
                    <w:t>Applicants expected to at least match government funding (1:1).</w:t>
                  </w:r>
                </w:p>
              </w:tc>
            </w:tr>
            <w:tr w:rsidR="007544CA" w:rsidTr="00575350">
              <w:tc>
                <w:tcPr>
                  <w:tcW w:w="1491" w:type="pct"/>
                </w:tcPr>
                <w:p w:rsidR="007544CA" w:rsidRDefault="007544CA" w:rsidP="00133508">
                  <w:pPr>
                    <w:pStyle w:val="TableBodyText"/>
                    <w:spacing w:after="120"/>
                    <w:jc w:val="left"/>
                  </w:pPr>
                  <w:r>
                    <w:t xml:space="preserve">ARENA Renewable Energy Venture Capital Fund </w:t>
                  </w:r>
                </w:p>
              </w:tc>
              <w:tc>
                <w:tcPr>
                  <w:tcW w:w="1502" w:type="pct"/>
                </w:tcPr>
                <w:p w:rsidR="007544CA" w:rsidRDefault="007544CA" w:rsidP="00133508">
                  <w:pPr>
                    <w:pStyle w:val="TableBodyText"/>
                    <w:spacing w:after="120"/>
                    <w:jc w:val="left"/>
                  </w:pPr>
                  <w:r>
                    <w:t>Equity and management expertise</w:t>
                  </w:r>
                </w:p>
              </w:tc>
              <w:tc>
                <w:tcPr>
                  <w:tcW w:w="2007" w:type="pct"/>
                </w:tcPr>
                <w:p w:rsidR="007544CA" w:rsidRDefault="007544CA" w:rsidP="00575350">
                  <w:pPr>
                    <w:pStyle w:val="TableBodyText"/>
                    <w:spacing w:after="80"/>
                    <w:ind w:right="28"/>
                    <w:jc w:val="left"/>
                  </w:pPr>
                  <w:r>
                    <w:t xml:space="preserve">In 2011 the Government allocated $100 million funding to Southern Cross Renewable Energy Fund (a joint venture with Softbank China Venture Capital which was also to contribute $100 million). In 2015 the Australian Government allocation was reduced to $60 million. To date about </w:t>
                  </w:r>
                  <w:proofErr w:type="spellStart"/>
                  <w:r>
                    <w:t>about</w:t>
                  </w:r>
                  <w:proofErr w:type="spellEnd"/>
                  <w:r>
                    <w:t xml:space="preserve"> $40 million has been invested in 7 projects .</w:t>
                  </w:r>
                </w:p>
              </w:tc>
            </w:tr>
            <w:tr w:rsidR="007544CA" w:rsidRPr="006809E0" w:rsidTr="00133508">
              <w:tc>
                <w:tcPr>
                  <w:tcW w:w="5000" w:type="pct"/>
                  <w:gridSpan w:val="3"/>
                </w:tcPr>
                <w:p w:rsidR="007544CA" w:rsidRPr="006809E0" w:rsidRDefault="007544CA" w:rsidP="00575350">
                  <w:pPr>
                    <w:pStyle w:val="TableBodyText"/>
                    <w:ind w:right="28"/>
                    <w:jc w:val="left"/>
                    <w:rPr>
                      <w:b/>
                    </w:rPr>
                  </w:pPr>
                  <w:r>
                    <w:rPr>
                      <w:b/>
                    </w:rPr>
                    <w:t>Confers a benefit to industry but n</w:t>
                  </w:r>
                  <w:r w:rsidRPr="006809E0">
                    <w:rPr>
                      <w:b/>
                    </w:rPr>
                    <w:t>ot included in industry assistance estimates</w:t>
                  </w:r>
                </w:p>
              </w:tc>
            </w:tr>
            <w:tr w:rsidR="007544CA" w:rsidTr="00575350">
              <w:tc>
                <w:tcPr>
                  <w:tcW w:w="1491" w:type="pct"/>
                </w:tcPr>
                <w:p w:rsidR="007544CA" w:rsidRDefault="007544CA" w:rsidP="00133508">
                  <w:pPr>
                    <w:pStyle w:val="TableBodyText"/>
                    <w:spacing w:after="120"/>
                    <w:jc w:val="left"/>
                  </w:pPr>
                  <w:r>
                    <w:t>Clean Energy Finance Corporation (CFC)</w:t>
                  </w:r>
                </w:p>
              </w:tc>
              <w:tc>
                <w:tcPr>
                  <w:tcW w:w="1502" w:type="pct"/>
                </w:tcPr>
                <w:p w:rsidR="007544CA" w:rsidRDefault="007544CA" w:rsidP="00133508">
                  <w:pPr>
                    <w:pStyle w:val="TableBodyText"/>
                    <w:spacing w:after="120"/>
                    <w:jc w:val="left"/>
                  </w:pPr>
                  <w:r>
                    <w:t>Finance, which may be at concessional rates, such as lower pricing, higher risk and/or longer duration.</w:t>
                  </w:r>
                </w:p>
              </w:tc>
              <w:tc>
                <w:tcPr>
                  <w:tcW w:w="2007" w:type="pct"/>
                </w:tcPr>
                <w:p w:rsidR="007544CA" w:rsidRDefault="007544CA" w:rsidP="00133508">
                  <w:pPr>
                    <w:pStyle w:val="TableBodyText"/>
                    <w:spacing w:after="120"/>
                    <w:ind w:right="28"/>
                    <w:jc w:val="left"/>
                  </w:pPr>
                  <w:r>
                    <w:t>Assistance provided by concessional finance difficult to ascertain. Similar to the case with the Export Finance Insurance Corporation (PC </w:t>
                  </w:r>
                  <w:proofErr w:type="spellStart"/>
                  <w:r>
                    <w:t>2011c</w:t>
                  </w:r>
                  <w:proofErr w:type="spellEnd"/>
                  <w:r>
                    <w:t xml:space="preserve">). </w:t>
                  </w:r>
                </w:p>
              </w:tc>
            </w:tr>
            <w:tr w:rsidR="007544CA" w:rsidTr="00575350">
              <w:tc>
                <w:tcPr>
                  <w:tcW w:w="1491" w:type="pct"/>
                </w:tcPr>
                <w:p w:rsidR="007544CA" w:rsidRDefault="007544CA" w:rsidP="00133508">
                  <w:pPr>
                    <w:pStyle w:val="TableBodyText"/>
                    <w:spacing w:after="120"/>
                    <w:jc w:val="left"/>
                  </w:pPr>
                  <w:r>
                    <w:t>Sale of large scale and small</w:t>
                  </w:r>
                  <w:r>
                    <w:noBreakHyphen/>
                    <w:t>scale renewable energy certificates</w:t>
                  </w:r>
                </w:p>
              </w:tc>
              <w:tc>
                <w:tcPr>
                  <w:tcW w:w="1502" w:type="pct"/>
                </w:tcPr>
                <w:p w:rsidR="007544CA" w:rsidRDefault="007544CA" w:rsidP="00133508">
                  <w:pPr>
                    <w:pStyle w:val="TableBodyText"/>
                    <w:spacing w:after="120"/>
                    <w:jc w:val="left"/>
                  </w:pPr>
                  <w:r>
                    <w:t>Sale of carbon credits through the government clearing house at a fixed price or other individuals and businesses at a negotiated price.</w:t>
                  </w:r>
                </w:p>
              </w:tc>
              <w:tc>
                <w:tcPr>
                  <w:tcW w:w="2007" w:type="pct"/>
                </w:tcPr>
                <w:p w:rsidR="007544CA" w:rsidRDefault="007544CA" w:rsidP="00133508">
                  <w:pPr>
                    <w:pStyle w:val="TableBodyText"/>
                    <w:spacing w:after="120"/>
                    <w:jc w:val="left"/>
                    <w:rPr>
                      <w:i/>
                    </w:rPr>
                  </w:pPr>
                  <w:r>
                    <w:t xml:space="preserve">Sales value not known. </w:t>
                  </w:r>
                  <w:r w:rsidRPr="00C0083E">
                    <w:t>Gross proceeds</w:t>
                  </w:r>
                  <w:r>
                    <w:rPr>
                      <w:rStyle w:val="NoteLabel"/>
                    </w:rPr>
                    <w:t xml:space="preserve"> </w:t>
                  </w:r>
                  <w:r w:rsidRPr="00D051E9">
                    <w:t>overstates the net financial benefit to</w:t>
                  </w:r>
                  <w:r w:rsidRPr="007A6145">
                    <w:rPr>
                      <w:rStyle w:val="NoteLabel"/>
                      <w:b w:val="0"/>
                    </w:rPr>
                    <w:t xml:space="preserve"> recipients because costs were incurred to earn the credits.</w:t>
                  </w:r>
                </w:p>
              </w:tc>
            </w:tr>
            <w:tr w:rsidR="007544CA" w:rsidTr="00575350">
              <w:tc>
                <w:tcPr>
                  <w:tcW w:w="1491" w:type="pct"/>
                </w:tcPr>
                <w:p w:rsidR="007544CA" w:rsidRDefault="007544CA" w:rsidP="00133508">
                  <w:pPr>
                    <w:pStyle w:val="TableBodyText"/>
                    <w:spacing w:after="120"/>
                    <w:jc w:val="left"/>
                  </w:pPr>
                  <w:r>
                    <w:t>ERF ‘purchasing’ mechanism</w:t>
                  </w:r>
                </w:p>
              </w:tc>
              <w:tc>
                <w:tcPr>
                  <w:tcW w:w="1502" w:type="pct"/>
                </w:tcPr>
                <w:p w:rsidR="007544CA" w:rsidRDefault="007544CA" w:rsidP="00133508">
                  <w:pPr>
                    <w:pStyle w:val="TableBodyText"/>
                    <w:spacing w:after="120"/>
                    <w:jc w:val="left"/>
                  </w:pPr>
                  <w:r>
                    <w:t>Payments for successful bidders in competitive auction (around $1.7 billion)</w:t>
                  </w:r>
                </w:p>
              </w:tc>
              <w:tc>
                <w:tcPr>
                  <w:tcW w:w="2007" w:type="pct"/>
                </w:tcPr>
                <w:p w:rsidR="007544CA" w:rsidRDefault="007544CA" w:rsidP="00133508">
                  <w:pPr>
                    <w:pStyle w:val="TableBodyText"/>
                    <w:spacing w:after="120"/>
                    <w:ind w:right="28"/>
                    <w:jc w:val="left"/>
                  </w:pPr>
                  <w:r>
                    <w:t>Three auction rounds have been completed, involving 143 million tonnes of claimed emissions reductions at an average price of $12.10 per tonne ($1.73 billion). Payments overstate the net financial benefit to recipients because abatements costs will be incurred by successful bidders. There is no certainty that all claimed reductions are ‘additional’ – some reductions may have eventuated without payment.</w:t>
                  </w:r>
                </w:p>
              </w:tc>
            </w:tr>
            <w:tr w:rsidR="007544CA" w:rsidTr="00575350">
              <w:tc>
                <w:tcPr>
                  <w:tcW w:w="1491" w:type="pct"/>
                  <w:tcBorders>
                    <w:bottom w:val="single" w:sz="4" w:space="0" w:color="BFBFBF" w:themeColor="background1" w:themeShade="BF"/>
                  </w:tcBorders>
                </w:tcPr>
                <w:p w:rsidR="007544CA" w:rsidRDefault="007544CA" w:rsidP="00133508">
                  <w:pPr>
                    <w:pStyle w:val="TableBodyText"/>
                    <w:jc w:val="left"/>
                  </w:pPr>
                  <w:r>
                    <w:t>Exemption for Renewable Energy Target (RET) liability for emissions</w:t>
                  </w:r>
                  <w:r>
                    <w:noBreakHyphen/>
                    <w:t>intensive trade exposed entities (</w:t>
                  </w:r>
                  <w:proofErr w:type="spellStart"/>
                  <w:r>
                    <w:t>EITE</w:t>
                  </w:r>
                  <w:proofErr w:type="spellEnd"/>
                  <w:r>
                    <w:t>)</w:t>
                  </w:r>
                </w:p>
              </w:tc>
              <w:tc>
                <w:tcPr>
                  <w:tcW w:w="1502" w:type="pct"/>
                  <w:tcBorders>
                    <w:bottom w:val="single" w:sz="4" w:space="0" w:color="BFBFBF" w:themeColor="background1" w:themeShade="BF"/>
                  </w:tcBorders>
                </w:tcPr>
                <w:p w:rsidR="007544CA" w:rsidRDefault="007544CA" w:rsidP="00133508">
                  <w:pPr>
                    <w:pStyle w:val="TableBodyText"/>
                    <w:ind w:left="0"/>
                    <w:jc w:val="left"/>
                    <w:rPr>
                      <w:i/>
                    </w:rPr>
                  </w:pPr>
                  <w:r>
                    <w:t>Reduced costs from not having to acquire energy reduction certificates (around $680 million in 2015)</w:t>
                  </w:r>
                </w:p>
              </w:tc>
              <w:tc>
                <w:tcPr>
                  <w:tcW w:w="2007" w:type="pct"/>
                  <w:tcBorders>
                    <w:bottom w:val="single" w:sz="4" w:space="0" w:color="BFBFBF" w:themeColor="background1" w:themeShade="BF"/>
                  </w:tcBorders>
                </w:tcPr>
                <w:p w:rsidR="007544CA" w:rsidRDefault="007544CA" w:rsidP="00133508">
                  <w:pPr>
                    <w:pStyle w:val="TableBodyText"/>
                    <w:ind w:right="28"/>
                    <w:jc w:val="left"/>
                  </w:pPr>
                  <w:r>
                    <w:t xml:space="preserve">Estimated value of exemption currently not included in assistance estimates. </w:t>
                  </w:r>
                </w:p>
              </w:tc>
            </w:tr>
          </w:tbl>
          <w:p w:rsidR="007544CA" w:rsidRDefault="007544CA" w:rsidP="00133508">
            <w:pPr>
              <w:pStyle w:val="Box"/>
            </w:pPr>
          </w:p>
        </w:tc>
      </w:tr>
      <w:tr w:rsidR="007544CA" w:rsidTr="00575350">
        <w:trPr>
          <w:cantSplit/>
        </w:trPr>
        <w:tc>
          <w:tcPr>
            <w:tcW w:w="8771" w:type="dxa"/>
            <w:tcBorders>
              <w:top w:val="nil"/>
              <w:left w:val="nil"/>
              <w:bottom w:val="nil"/>
              <w:right w:val="nil"/>
            </w:tcBorders>
            <w:shd w:val="clear" w:color="auto" w:fill="auto"/>
          </w:tcPr>
          <w:p w:rsidR="007544CA" w:rsidRDefault="007544CA" w:rsidP="00133508">
            <w:pPr>
              <w:pStyle w:val="Note"/>
              <w:rPr>
                <w:i/>
              </w:rPr>
            </w:pPr>
            <w:r>
              <w:rPr>
                <w:rStyle w:val="NoteLabel"/>
              </w:rPr>
              <w:t xml:space="preserve">a </w:t>
            </w:r>
            <w:r w:rsidRPr="00C0083E">
              <w:t>Current</w:t>
            </w:r>
            <w:r>
              <w:t xml:space="preserve"> ARENA programs. Total grants by ARENA in 2015 were $216 million (under current and past programs) of which around $180 million was to private and public companies, and the remainder to universities, government entities and international organisations (ARENA Annual Report, Financial Statements, Note </w:t>
            </w:r>
            <w:proofErr w:type="spellStart"/>
            <w:r>
              <w:t>3C</w:t>
            </w:r>
            <w:proofErr w:type="spellEnd"/>
            <w:r>
              <w:t xml:space="preserve">). </w:t>
            </w:r>
          </w:p>
        </w:tc>
      </w:tr>
      <w:tr w:rsidR="007544CA" w:rsidTr="00575350">
        <w:trPr>
          <w:cantSplit/>
        </w:trPr>
        <w:tc>
          <w:tcPr>
            <w:tcW w:w="8771" w:type="dxa"/>
            <w:tcBorders>
              <w:top w:val="nil"/>
              <w:left w:val="nil"/>
              <w:bottom w:val="single" w:sz="6" w:space="0" w:color="78A22F" w:themeColor="accent1"/>
              <w:right w:val="nil"/>
            </w:tcBorders>
            <w:shd w:val="clear" w:color="auto" w:fill="auto"/>
          </w:tcPr>
          <w:p w:rsidR="007544CA" w:rsidRDefault="007544CA" w:rsidP="00575350">
            <w:pPr>
              <w:pStyle w:val="Source"/>
              <w:spacing w:after="40"/>
            </w:pPr>
            <w:r w:rsidRPr="00C47D08">
              <w:rPr>
                <w:i/>
              </w:rPr>
              <w:t>Source</w:t>
            </w:r>
            <w:r>
              <w:rPr>
                <w:i/>
              </w:rPr>
              <w:t>s</w:t>
            </w:r>
            <w:r w:rsidRPr="00C47D08">
              <w:t>:</w:t>
            </w:r>
            <w:r>
              <w:t xml:space="preserve"> ARENA 2016, </w:t>
            </w:r>
            <w:proofErr w:type="spellStart"/>
            <w:r>
              <w:t>CER</w:t>
            </w:r>
            <w:proofErr w:type="spellEnd"/>
            <w:r>
              <w:t xml:space="preserve"> </w:t>
            </w:r>
            <w:proofErr w:type="spellStart"/>
            <w:r>
              <w:t>2016a</w:t>
            </w:r>
            <w:proofErr w:type="spellEnd"/>
            <w:r>
              <w:t xml:space="preserve">, </w:t>
            </w:r>
            <w:proofErr w:type="spellStart"/>
            <w:r>
              <w:t>CER</w:t>
            </w:r>
            <w:proofErr w:type="spellEnd"/>
            <w:r>
              <w:t xml:space="preserve"> </w:t>
            </w:r>
            <w:proofErr w:type="spellStart"/>
            <w:r>
              <w:t>2016b</w:t>
            </w:r>
            <w:proofErr w:type="spellEnd"/>
            <w:r>
              <w:t xml:space="preserve">, </w:t>
            </w:r>
            <w:proofErr w:type="spellStart"/>
            <w:r>
              <w:t>CEFC</w:t>
            </w:r>
            <w:proofErr w:type="spellEnd"/>
            <w:r>
              <w:t xml:space="preserve"> 2016.</w:t>
            </w:r>
          </w:p>
        </w:tc>
      </w:tr>
    </w:tbl>
    <w:p w:rsidR="007544CA" w:rsidRDefault="007544CA" w:rsidP="00133508">
      <w:pPr>
        <w:pStyle w:val="ListBullet"/>
      </w:pPr>
      <w:r>
        <w:lastRenderedPageBreak/>
        <w:t>Exemptions for emissions</w:t>
      </w:r>
      <w:r>
        <w:noBreakHyphen/>
        <w:t>intensive trade exposed entities (</w:t>
      </w:r>
      <w:proofErr w:type="spellStart"/>
      <w:r>
        <w:t>EITE</w:t>
      </w:r>
      <w:proofErr w:type="spellEnd"/>
      <w:r>
        <w:t>) from the Renewable Energy Target. This changed from a partial to a full exemption in 2015.</w:t>
      </w:r>
      <w:r>
        <w:rPr>
          <w:rStyle w:val="FootnoteReference"/>
        </w:rPr>
        <w:footnoteReference w:id="15"/>
      </w:r>
      <w:r>
        <w:t xml:space="preserve"> The value of the partial exemption grew from $20 million in 2010 to $200 million in 2014 (table 3.3). In 2015, 44 entities were afforded exemptions worth around $750 million, though the full exemption did not apply for the entire period. The full impact of the total exemption will not be evident until the 2016 results. The exemption confers an advantage on qualifying businesses relative to those domestic businesses that are less trade exposed. Given this, consideration should be given to including the exemption value in industry assistance estimates, or at least the value of the exemptions and recipients should remain transparent.</w:t>
      </w:r>
      <w:r>
        <w:rPr>
          <w:rStyle w:val="FootnoteReference"/>
        </w:rPr>
        <w:footnoteReference w:id="16"/>
      </w:r>
    </w:p>
    <w:p w:rsidR="007544CA" w:rsidRDefault="007544CA" w:rsidP="0013350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Pr="00B360E3" w:rsidRDefault="007544CA" w:rsidP="00133508">
            <w:pPr>
              <w:pStyle w:val="TableTitle"/>
            </w:pPr>
            <w:r>
              <w:rPr>
                <w:b w:val="0"/>
              </w:rPr>
              <w:t xml:space="preserve">Table </w:t>
            </w:r>
            <w:r>
              <w:rPr>
                <w:b w:val="0"/>
              </w:rPr>
              <w:fldChar w:fldCharType="begin" w:fldLock="1"/>
            </w:r>
            <w:r>
              <w:rPr>
                <w:b w:val="0"/>
              </w:rPr>
              <w:instrText xml:space="preserve"> COMMENTS  \* MERGEFORMAT </w:instrText>
            </w:r>
            <w:r>
              <w:rPr>
                <w:b w:val="0"/>
              </w:rPr>
              <w:fldChar w:fldCharType="separate"/>
            </w:r>
            <w:r>
              <w:rPr>
                <w:b w:val="0"/>
              </w:rPr>
              <w:t>3.</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3</w:t>
            </w:r>
            <w:r>
              <w:rPr>
                <w:b w:val="0"/>
              </w:rPr>
              <w:fldChar w:fldCharType="end"/>
            </w:r>
            <w:r>
              <w:tab/>
              <w:t xml:space="preserve">Exemptions from the Renewable Energy Target </w:t>
            </w:r>
          </w:p>
        </w:tc>
      </w:tr>
      <w:tr w:rsidR="007544CA" w:rsidTr="0013350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04"/>
              <w:gridCol w:w="939"/>
              <w:gridCol w:w="1090"/>
              <w:gridCol w:w="1090"/>
              <w:gridCol w:w="1088"/>
              <w:gridCol w:w="1090"/>
              <w:gridCol w:w="1086"/>
            </w:tblGrid>
            <w:tr w:rsidR="007544CA" w:rsidTr="00133508">
              <w:tc>
                <w:tcPr>
                  <w:tcW w:w="1240" w:type="pct"/>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p>
              </w:tc>
              <w:tc>
                <w:tcPr>
                  <w:tcW w:w="553" w:type="pct"/>
                  <w:tcBorders>
                    <w:top w:val="single" w:sz="6" w:space="0" w:color="BFBFBF"/>
                    <w:bottom w:val="single" w:sz="6" w:space="0" w:color="BFBFBF"/>
                  </w:tcBorders>
                </w:tcPr>
                <w:p w:rsidR="007544CA" w:rsidRDefault="007544CA" w:rsidP="00133508">
                  <w:pPr>
                    <w:pStyle w:val="TableColumnHeading"/>
                  </w:pPr>
                  <w:r>
                    <w:t>2010</w:t>
                  </w:r>
                </w:p>
              </w:tc>
              <w:tc>
                <w:tcPr>
                  <w:tcW w:w="642" w:type="pct"/>
                  <w:tcBorders>
                    <w:top w:val="single" w:sz="6" w:space="0" w:color="BFBFBF"/>
                    <w:bottom w:val="single" w:sz="6" w:space="0" w:color="BFBFBF"/>
                  </w:tcBorders>
                </w:tcPr>
                <w:p w:rsidR="007544CA" w:rsidRDefault="007544CA" w:rsidP="00133508">
                  <w:pPr>
                    <w:pStyle w:val="TableColumnHeading"/>
                  </w:pPr>
                  <w:r>
                    <w:t>2011</w:t>
                  </w:r>
                </w:p>
              </w:tc>
              <w:tc>
                <w:tcPr>
                  <w:tcW w:w="642" w:type="pct"/>
                  <w:tcBorders>
                    <w:top w:val="single" w:sz="6" w:space="0" w:color="BFBFBF"/>
                    <w:bottom w:val="single" w:sz="6" w:space="0" w:color="BFBFBF"/>
                  </w:tcBorders>
                </w:tcPr>
                <w:p w:rsidR="007544CA" w:rsidRDefault="007544CA" w:rsidP="00133508">
                  <w:pPr>
                    <w:pStyle w:val="TableColumnHeading"/>
                  </w:pPr>
                  <w:r>
                    <w:t>2012</w:t>
                  </w:r>
                </w:p>
              </w:tc>
              <w:tc>
                <w:tcPr>
                  <w:tcW w:w="641" w:type="pct"/>
                  <w:tcBorders>
                    <w:top w:val="single" w:sz="6" w:space="0" w:color="BFBFBF"/>
                    <w:bottom w:val="single" w:sz="6" w:space="0" w:color="BFBFBF"/>
                  </w:tcBorders>
                </w:tcPr>
                <w:p w:rsidR="007544CA" w:rsidRDefault="007544CA" w:rsidP="00133508">
                  <w:pPr>
                    <w:pStyle w:val="TableColumnHeading"/>
                  </w:pPr>
                  <w:r>
                    <w:t>2013</w:t>
                  </w:r>
                </w:p>
              </w:tc>
              <w:tc>
                <w:tcPr>
                  <w:tcW w:w="642" w:type="pct"/>
                  <w:tcBorders>
                    <w:top w:val="single" w:sz="6" w:space="0" w:color="BFBFBF"/>
                    <w:bottom w:val="single" w:sz="6" w:space="0" w:color="BFBFBF"/>
                  </w:tcBorders>
                  <w:shd w:val="clear" w:color="auto" w:fill="auto"/>
                  <w:tcMar>
                    <w:top w:w="28" w:type="dxa"/>
                  </w:tcMar>
                </w:tcPr>
                <w:p w:rsidR="007544CA" w:rsidRDefault="007544CA" w:rsidP="00133508">
                  <w:pPr>
                    <w:pStyle w:val="TableColumnHeading"/>
                  </w:pPr>
                  <w:r>
                    <w:t>2014</w:t>
                  </w:r>
                </w:p>
              </w:tc>
              <w:tc>
                <w:tcPr>
                  <w:tcW w:w="640" w:type="pct"/>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pPr>
                  <w:r>
                    <w:t>2015</w:t>
                  </w:r>
                </w:p>
              </w:tc>
            </w:tr>
            <w:tr w:rsidR="007544CA" w:rsidTr="00133508">
              <w:tc>
                <w:tcPr>
                  <w:tcW w:w="1240" w:type="pct"/>
                  <w:tcBorders>
                    <w:top w:val="single" w:sz="6" w:space="0" w:color="BFBFBF"/>
                  </w:tcBorders>
                  <w:shd w:val="clear" w:color="auto" w:fill="auto"/>
                  <w:tcMar>
                    <w:top w:w="28" w:type="dxa"/>
                  </w:tcMar>
                </w:tcPr>
                <w:p w:rsidR="007544CA" w:rsidRDefault="007544CA" w:rsidP="00133508">
                  <w:pPr>
                    <w:pStyle w:val="TableBodyText"/>
                    <w:jc w:val="left"/>
                  </w:pPr>
                  <w:r>
                    <w:t>Exemption value — large scale generation certificates</w:t>
                  </w:r>
                </w:p>
              </w:tc>
              <w:tc>
                <w:tcPr>
                  <w:tcW w:w="553" w:type="pct"/>
                  <w:tcBorders>
                    <w:top w:val="single" w:sz="6" w:space="0" w:color="BFBFBF"/>
                  </w:tcBorders>
                  <w:vAlign w:val="center"/>
                </w:tcPr>
                <w:p w:rsidR="007544CA" w:rsidRDefault="007544CA" w:rsidP="00133508">
                  <w:pPr>
                    <w:pStyle w:val="TableBodyText"/>
                  </w:pPr>
                  <w:r>
                    <w:t>$</w:t>
                  </w:r>
                  <w:proofErr w:type="spellStart"/>
                  <w:r>
                    <w:t>20m</w:t>
                  </w:r>
                  <w:proofErr w:type="spellEnd"/>
                </w:p>
              </w:tc>
              <w:tc>
                <w:tcPr>
                  <w:tcW w:w="642" w:type="pct"/>
                  <w:tcBorders>
                    <w:top w:val="single" w:sz="6" w:space="0" w:color="BFBFBF"/>
                  </w:tcBorders>
                  <w:vAlign w:val="center"/>
                </w:tcPr>
                <w:p w:rsidR="007544CA" w:rsidRDefault="007544CA" w:rsidP="00133508">
                  <w:pPr>
                    <w:pStyle w:val="TableBodyText"/>
                  </w:pPr>
                  <w:r>
                    <w:t>$</w:t>
                  </w:r>
                  <w:proofErr w:type="spellStart"/>
                  <w:r>
                    <w:t>57m</w:t>
                  </w:r>
                  <w:proofErr w:type="spellEnd"/>
                </w:p>
              </w:tc>
              <w:tc>
                <w:tcPr>
                  <w:tcW w:w="642" w:type="pct"/>
                  <w:tcBorders>
                    <w:top w:val="single" w:sz="6" w:space="0" w:color="BFBFBF"/>
                  </w:tcBorders>
                  <w:vAlign w:val="center"/>
                </w:tcPr>
                <w:p w:rsidR="007544CA" w:rsidRDefault="007544CA" w:rsidP="00133508">
                  <w:pPr>
                    <w:pStyle w:val="TableBodyText"/>
                  </w:pPr>
                  <w:r>
                    <w:t>$</w:t>
                  </w:r>
                  <w:proofErr w:type="spellStart"/>
                  <w:r>
                    <w:t>112m</w:t>
                  </w:r>
                  <w:proofErr w:type="spellEnd"/>
                </w:p>
              </w:tc>
              <w:tc>
                <w:tcPr>
                  <w:tcW w:w="641" w:type="pct"/>
                  <w:tcBorders>
                    <w:top w:val="single" w:sz="6" w:space="0" w:color="BFBFBF"/>
                  </w:tcBorders>
                  <w:vAlign w:val="center"/>
                </w:tcPr>
                <w:p w:rsidR="007544CA" w:rsidRDefault="007544CA" w:rsidP="00133508">
                  <w:pPr>
                    <w:pStyle w:val="TableBodyText"/>
                  </w:pPr>
                  <w:r>
                    <w:t>$</w:t>
                  </w:r>
                  <w:proofErr w:type="spellStart"/>
                  <w:r>
                    <w:t>107m</w:t>
                  </w:r>
                  <w:proofErr w:type="spellEnd"/>
                </w:p>
              </w:tc>
              <w:tc>
                <w:tcPr>
                  <w:tcW w:w="642" w:type="pct"/>
                  <w:tcBorders>
                    <w:top w:val="single" w:sz="6" w:space="0" w:color="BFBFBF"/>
                  </w:tcBorders>
                  <w:shd w:val="clear" w:color="auto" w:fill="auto"/>
                  <w:tcMar>
                    <w:top w:w="28" w:type="dxa"/>
                  </w:tcMar>
                  <w:vAlign w:val="center"/>
                </w:tcPr>
                <w:p w:rsidR="007544CA" w:rsidRDefault="007544CA" w:rsidP="00133508">
                  <w:pPr>
                    <w:pStyle w:val="TableBodyText"/>
                  </w:pPr>
                  <w:r>
                    <w:t>$</w:t>
                  </w:r>
                  <w:proofErr w:type="spellStart"/>
                  <w:r>
                    <w:t>76m</w:t>
                  </w:r>
                  <w:proofErr w:type="spellEnd"/>
                </w:p>
              </w:tc>
              <w:tc>
                <w:tcPr>
                  <w:tcW w:w="640" w:type="pct"/>
                  <w:tcBorders>
                    <w:top w:val="single" w:sz="6" w:space="0" w:color="BFBFBF"/>
                  </w:tcBorders>
                  <w:shd w:val="clear" w:color="auto" w:fill="auto"/>
                  <w:tcMar>
                    <w:top w:w="28" w:type="dxa"/>
                  </w:tcMar>
                  <w:vAlign w:val="center"/>
                </w:tcPr>
                <w:p w:rsidR="007544CA" w:rsidRDefault="007544CA" w:rsidP="00133508">
                  <w:pPr>
                    <w:pStyle w:val="TableBodyText"/>
                  </w:pPr>
                  <w:r>
                    <w:t>$</w:t>
                  </w:r>
                  <w:proofErr w:type="spellStart"/>
                  <w:r>
                    <w:t>391m</w:t>
                  </w:r>
                  <w:proofErr w:type="spellEnd"/>
                </w:p>
              </w:tc>
            </w:tr>
            <w:tr w:rsidR="007544CA" w:rsidTr="00133508">
              <w:tc>
                <w:tcPr>
                  <w:tcW w:w="1240" w:type="pct"/>
                </w:tcPr>
                <w:p w:rsidR="007544CA" w:rsidRDefault="007544CA" w:rsidP="00133508">
                  <w:pPr>
                    <w:pStyle w:val="TableBodyText"/>
                    <w:jc w:val="left"/>
                  </w:pPr>
                  <w:r>
                    <w:t>Unit value per gigawatt hour — large</w:t>
                  </w:r>
                </w:p>
              </w:tc>
              <w:tc>
                <w:tcPr>
                  <w:tcW w:w="553" w:type="pct"/>
                  <w:vAlign w:val="center"/>
                </w:tcPr>
                <w:p w:rsidR="007544CA" w:rsidRDefault="007544CA" w:rsidP="00133508">
                  <w:pPr>
                    <w:pStyle w:val="TableBodyText"/>
                  </w:pPr>
                  <w:r>
                    <w:t>$37.12</w:t>
                  </w:r>
                </w:p>
              </w:tc>
              <w:tc>
                <w:tcPr>
                  <w:tcW w:w="642" w:type="pct"/>
                  <w:vAlign w:val="center"/>
                </w:tcPr>
                <w:p w:rsidR="007544CA" w:rsidRDefault="007544CA" w:rsidP="00133508">
                  <w:pPr>
                    <w:pStyle w:val="TableBodyText"/>
                  </w:pPr>
                  <w:r>
                    <w:t>$37.08</w:t>
                  </w:r>
                </w:p>
              </w:tc>
              <w:tc>
                <w:tcPr>
                  <w:tcW w:w="642" w:type="pct"/>
                  <w:vAlign w:val="center"/>
                </w:tcPr>
                <w:p w:rsidR="007544CA" w:rsidRDefault="007544CA" w:rsidP="00133508">
                  <w:pPr>
                    <w:pStyle w:val="TableBodyText"/>
                  </w:pPr>
                  <w:r>
                    <w:t>$37.60</w:t>
                  </w:r>
                </w:p>
              </w:tc>
              <w:tc>
                <w:tcPr>
                  <w:tcW w:w="641" w:type="pct"/>
                  <w:vAlign w:val="center"/>
                </w:tcPr>
                <w:p w:rsidR="007544CA" w:rsidRDefault="007544CA" w:rsidP="00133508">
                  <w:pPr>
                    <w:pStyle w:val="TableBodyText"/>
                  </w:pPr>
                  <w:r>
                    <w:t>$34.28</w:t>
                  </w:r>
                </w:p>
              </w:tc>
              <w:tc>
                <w:tcPr>
                  <w:tcW w:w="642" w:type="pct"/>
                  <w:vAlign w:val="center"/>
                </w:tcPr>
                <w:p w:rsidR="007544CA" w:rsidRDefault="007544CA" w:rsidP="00133508">
                  <w:pPr>
                    <w:pStyle w:val="TableBodyText"/>
                  </w:pPr>
                  <w:r>
                    <w:t>$30.09</w:t>
                  </w:r>
                </w:p>
              </w:tc>
              <w:tc>
                <w:tcPr>
                  <w:tcW w:w="640" w:type="pct"/>
                  <w:vAlign w:val="center"/>
                </w:tcPr>
                <w:p w:rsidR="007544CA" w:rsidRDefault="007544CA" w:rsidP="00133508">
                  <w:pPr>
                    <w:pStyle w:val="TableBodyText"/>
                  </w:pPr>
                  <w:r>
                    <w:t>$55.27</w:t>
                  </w:r>
                </w:p>
              </w:tc>
            </w:tr>
            <w:tr w:rsidR="007544CA" w:rsidTr="00133508">
              <w:tc>
                <w:tcPr>
                  <w:tcW w:w="1240" w:type="pct"/>
                </w:tcPr>
                <w:p w:rsidR="007544CA" w:rsidRDefault="007544CA" w:rsidP="00133508">
                  <w:pPr>
                    <w:pStyle w:val="TableBodyText"/>
                    <w:jc w:val="left"/>
                  </w:pPr>
                  <w:r>
                    <w:t xml:space="preserve">Exemption value — small scale technology certificates </w:t>
                  </w:r>
                </w:p>
              </w:tc>
              <w:tc>
                <w:tcPr>
                  <w:tcW w:w="553" w:type="pct"/>
                  <w:vAlign w:val="center"/>
                </w:tcPr>
                <w:p w:rsidR="007544CA" w:rsidRDefault="007544CA" w:rsidP="00133508">
                  <w:pPr>
                    <w:pStyle w:val="TableBodyText"/>
                  </w:pPr>
                  <w:r>
                    <w:t>NA</w:t>
                  </w:r>
                </w:p>
              </w:tc>
              <w:tc>
                <w:tcPr>
                  <w:tcW w:w="642" w:type="pct"/>
                  <w:vAlign w:val="center"/>
                </w:tcPr>
                <w:p w:rsidR="007544CA" w:rsidRDefault="007544CA" w:rsidP="00133508">
                  <w:pPr>
                    <w:pStyle w:val="TableBodyText"/>
                  </w:pPr>
                  <w:r>
                    <w:t>$</w:t>
                  </w:r>
                  <w:proofErr w:type="spellStart"/>
                  <w:r>
                    <w:t>123m</w:t>
                  </w:r>
                  <w:proofErr w:type="spellEnd"/>
                </w:p>
              </w:tc>
              <w:tc>
                <w:tcPr>
                  <w:tcW w:w="642" w:type="pct"/>
                  <w:vAlign w:val="center"/>
                </w:tcPr>
                <w:p w:rsidR="007544CA" w:rsidRDefault="007544CA" w:rsidP="00133508">
                  <w:pPr>
                    <w:pStyle w:val="TableBodyText"/>
                  </w:pPr>
                  <w:r>
                    <w:t>$</w:t>
                  </w:r>
                  <w:proofErr w:type="spellStart"/>
                  <w:r>
                    <w:t>227m</w:t>
                  </w:r>
                  <w:proofErr w:type="spellEnd"/>
                </w:p>
              </w:tc>
              <w:tc>
                <w:tcPr>
                  <w:tcW w:w="641" w:type="pct"/>
                  <w:vAlign w:val="center"/>
                </w:tcPr>
                <w:p w:rsidR="007544CA" w:rsidRDefault="007544CA" w:rsidP="00133508">
                  <w:pPr>
                    <w:pStyle w:val="TableBodyText"/>
                  </w:pPr>
                  <w:r>
                    <w:t>$</w:t>
                  </w:r>
                  <w:proofErr w:type="spellStart"/>
                  <w:r>
                    <w:t>211m</w:t>
                  </w:r>
                  <w:proofErr w:type="spellEnd"/>
                </w:p>
              </w:tc>
              <w:tc>
                <w:tcPr>
                  <w:tcW w:w="642" w:type="pct"/>
                  <w:vAlign w:val="center"/>
                </w:tcPr>
                <w:p w:rsidR="007544CA" w:rsidRDefault="007544CA" w:rsidP="00133508">
                  <w:pPr>
                    <w:pStyle w:val="TableBodyText"/>
                  </w:pPr>
                  <w:r>
                    <w:t>$</w:t>
                  </w:r>
                  <w:proofErr w:type="spellStart"/>
                  <w:r>
                    <w:t>104m</w:t>
                  </w:r>
                  <w:proofErr w:type="spellEnd"/>
                </w:p>
              </w:tc>
              <w:tc>
                <w:tcPr>
                  <w:tcW w:w="640" w:type="pct"/>
                  <w:vAlign w:val="center"/>
                </w:tcPr>
                <w:p w:rsidR="007544CA" w:rsidRDefault="007544CA" w:rsidP="00133508">
                  <w:pPr>
                    <w:pStyle w:val="TableBodyText"/>
                  </w:pPr>
                  <w:r>
                    <w:t>$</w:t>
                  </w:r>
                  <w:proofErr w:type="spellStart"/>
                  <w:r>
                    <w:t>293m</w:t>
                  </w:r>
                  <w:proofErr w:type="spellEnd"/>
                </w:p>
              </w:tc>
            </w:tr>
            <w:tr w:rsidR="007544CA" w:rsidTr="00133508">
              <w:tc>
                <w:tcPr>
                  <w:tcW w:w="1240" w:type="pct"/>
                </w:tcPr>
                <w:p w:rsidR="007544CA" w:rsidRDefault="007544CA" w:rsidP="00133508">
                  <w:pPr>
                    <w:pStyle w:val="TableBodyText"/>
                    <w:jc w:val="left"/>
                  </w:pPr>
                  <w:r>
                    <w:t>Unit value per Gigawatt hour — small</w:t>
                  </w:r>
                </w:p>
              </w:tc>
              <w:tc>
                <w:tcPr>
                  <w:tcW w:w="553" w:type="pct"/>
                  <w:vAlign w:val="center"/>
                </w:tcPr>
                <w:p w:rsidR="007544CA" w:rsidRDefault="007544CA" w:rsidP="00133508">
                  <w:pPr>
                    <w:pStyle w:val="TableBodyText"/>
                  </w:pPr>
                  <w:r>
                    <w:t>NA</w:t>
                  </w:r>
                </w:p>
              </w:tc>
              <w:tc>
                <w:tcPr>
                  <w:tcW w:w="642" w:type="pct"/>
                  <w:vAlign w:val="center"/>
                </w:tcPr>
                <w:p w:rsidR="007544CA" w:rsidRDefault="007544CA" w:rsidP="00133508">
                  <w:pPr>
                    <w:pStyle w:val="TableBodyText"/>
                  </w:pPr>
                  <w:r>
                    <w:t>$30.09</w:t>
                  </w:r>
                </w:p>
              </w:tc>
              <w:tc>
                <w:tcPr>
                  <w:tcW w:w="642" w:type="pct"/>
                  <w:vAlign w:val="center"/>
                </w:tcPr>
                <w:p w:rsidR="007544CA" w:rsidRDefault="007544CA" w:rsidP="00133508">
                  <w:pPr>
                    <w:pStyle w:val="TableBodyText"/>
                  </w:pPr>
                  <w:r>
                    <w:t>29.32</w:t>
                  </w:r>
                </w:p>
              </w:tc>
              <w:tc>
                <w:tcPr>
                  <w:tcW w:w="641" w:type="pct"/>
                  <w:vAlign w:val="center"/>
                </w:tcPr>
                <w:p w:rsidR="007544CA" w:rsidRDefault="007544CA" w:rsidP="00133508">
                  <w:pPr>
                    <w:pStyle w:val="TableBodyText"/>
                  </w:pPr>
                  <w:r>
                    <w:t>$36.47</w:t>
                  </w:r>
                </w:p>
              </w:tc>
              <w:tc>
                <w:tcPr>
                  <w:tcW w:w="642" w:type="pct"/>
                  <w:vAlign w:val="center"/>
                </w:tcPr>
                <w:p w:rsidR="007544CA" w:rsidRDefault="007544CA" w:rsidP="00133508">
                  <w:pPr>
                    <w:pStyle w:val="TableBodyText"/>
                  </w:pPr>
                  <w:r>
                    <w:t>$38.63</w:t>
                  </w:r>
                </w:p>
              </w:tc>
              <w:tc>
                <w:tcPr>
                  <w:tcW w:w="640" w:type="pct"/>
                  <w:vAlign w:val="center"/>
                </w:tcPr>
                <w:p w:rsidR="007544CA" w:rsidRDefault="007544CA" w:rsidP="00133508">
                  <w:pPr>
                    <w:pStyle w:val="TableBodyText"/>
                  </w:pPr>
                  <w:r>
                    <w:t>$39.32</w:t>
                  </w:r>
                </w:p>
              </w:tc>
            </w:tr>
            <w:tr w:rsidR="007544CA" w:rsidTr="00133508">
              <w:tc>
                <w:tcPr>
                  <w:tcW w:w="1240" w:type="pct"/>
                </w:tcPr>
                <w:p w:rsidR="007544CA" w:rsidRDefault="007544CA" w:rsidP="00133508">
                  <w:pPr>
                    <w:pStyle w:val="TableBodyText"/>
                    <w:jc w:val="left"/>
                  </w:pPr>
                  <w:r>
                    <w:t>Number of firms</w:t>
                  </w:r>
                </w:p>
              </w:tc>
              <w:tc>
                <w:tcPr>
                  <w:tcW w:w="553" w:type="pct"/>
                  <w:vAlign w:val="center"/>
                </w:tcPr>
                <w:p w:rsidR="007544CA" w:rsidRDefault="007544CA" w:rsidP="00133508">
                  <w:pPr>
                    <w:pStyle w:val="TableBodyText"/>
                  </w:pPr>
                  <w:r>
                    <w:t>29</w:t>
                  </w:r>
                </w:p>
              </w:tc>
              <w:tc>
                <w:tcPr>
                  <w:tcW w:w="642" w:type="pct"/>
                  <w:vAlign w:val="center"/>
                </w:tcPr>
                <w:p w:rsidR="007544CA" w:rsidRDefault="007544CA" w:rsidP="00133508">
                  <w:pPr>
                    <w:pStyle w:val="TableBodyText"/>
                  </w:pPr>
                  <w:r>
                    <w:t>32</w:t>
                  </w:r>
                </w:p>
              </w:tc>
              <w:tc>
                <w:tcPr>
                  <w:tcW w:w="642" w:type="pct"/>
                  <w:vAlign w:val="center"/>
                </w:tcPr>
                <w:p w:rsidR="007544CA" w:rsidRDefault="007544CA" w:rsidP="00133508">
                  <w:pPr>
                    <w:pStyle w:val="TableBodyText"/>
                  </w:pPr>
                  <w:r>
                    <w:t>36</w:t>
                  </w:r>
                </w:p>
              </w:tc>
              <w:tc>
                <w:tcPr>
                  <w:tcW w:w="641" w:type="pct"/>
                  <w:vAlign w:val="center"/>
                </w:tcPr>
                <w:p w:rsidR="007544CA" w:rsidRDefault="007544CA" w:rsidP="00133508">
                  <w:pPr>
                    <w:pStyle w:val="TableBodyText"/>
                  </w:pPr>
                  <w:r>
                    <w:t>34</w:t>
                  </w:r>
                </w:p>
              </w:tc>
              <w:tc>
                <w:tcPr>
                  <w:tcW w:w="642" w:type="pct"/>
                  <w:vAlign w:val="center"/>
                </w:tcPr>
                <w:p w:rsidR="007544CA" w:rsidRDefault="007544CA" w:rsidP="00133508">
                  <w:pPr>
                    <w:pStyle w:val="TableBodyText"/>
                  </w:pPr>
                  <w:r>
                    <w:t>39</w:t>
                  </w:r>
                </w:p>
              </w:tc>
              <w:tc>
                <w:tcPr>
                  <w:tcW w:w="640" w:type="pct"/>
                  <w:vAlign w:val="center"/>
                </w:tcPr>
                <w:p w:rsidR="007544CA" w:rsidRDefault="007544CA" w:rsidP="00133508">
                  <w:pPr>
                    <w:pStyle w:val="TableBodyText"/>
                  </w:pPr>
                  <w:r>
                    <w:t>44</w:t>
                  </w:r>
                </w:p>
              </w:tc>
            </w:tr>
            <w:tr w:rsidR="007544CA" w:rsidTr="00133508">
              <w:tc>
                <w:tcPr>
                  <w:tcW w:w="1240" w:type="pct"/>
                  <w:tcBorders>
                    <w:bottom w:val="single" w:sz="6" w:space="0" w:color="BFBFBF"/>
                  </w:tcBorders>
                  <w:shd w:val="clear" w:color="auto" w:fill="auto"/>
                </w:tcPr>
                <w:p w:rsidR="007544CA" w:rsidRDefault="007544CA" w:rsidP="00133508">
                  <w:pPr>
                    <w:pStyle w:val="TableBodyText"/>
                    <w:jc w:val="left"/>
                  </w:pPr>
                  <w:r>
                    <w:t>Exemption level</w:t>
                  </w:r>
                </w:p>
              </w:tc>
              <w:tc>
                <w:tcPr>
                  <w:tcW w:w="553" w:type="pct"/>
                  <w:tcBorders>
                    <w:bottom w:val="single" w:sz="6" w:space="0" w:color="BFBFBF"/>
                  </w:tcBorders>
                </w:tcPr>
                <w:p w:rsidR="007544CA" w:rsidRDefault="007544CA" w:rsidP="00133508">
                  <w:pPr>
                    <w:pStyle w:val="TableBodyText"/>
                  </w:pPr>
                  <w:r>
                    <w:t>Partial</w:t>
                  </w:r>
                </w:p>
              </w:tc>
              <w:tc>
                <w:tcPr>
                  <w:tcW w:w="642" w:type="pct"/>
                  <w:tcBorders>
                    <w:bottom w:val="single" w:sz="6" w:space="0" w:color="BFBFBF"/>
                  </w:tcBorders>
                </w:tcPr>
                <w:p w:rsidR="007544CA" w:rsidRDefault="007544CA" w:rsidP="00133508">
                  <w:pPr>
                    <w:pStyle w:val="TableBodyText"/>
                  </w:pPr>
                  <w:r>
                    <w:t>Partial</w:t>
                  </w:r>
                </w:p>
              </w:tc>
              <w:tc>
                <w:tcPr>
                  <w:tcW w:w="642" w:type="pct"/>
                  <w:tcBorders>
                    <w:bottom w:val="single" w:sz="6" w:space="0" w:color="BFBFBF"/>
                  </w:tcBorders>
                </w:tcPr>
                <w:p w:rsidR="007544CA" w:rsidRDefault="007544CA" w:rsidP="00133508">
                  <w:pPr>
                    <w:pStyle w:val="TableBodyText"/>
                  </w:pPr>
                  <w:r>
                    <w:t>Partial</w:t>
                  </w:r>
                </w:p>
              </w:tc>
              <w:tc>
                <w:tcPr>
                  <w:tcW w:w="641" w:type="pct"/>
                  <w:tcBorders>
                    <w:bottom w:val="single" w:sz="6" w:space="0" w:color="BFBFBF"/>
                  </w:tcBorders>
                </w:tcPr>
                <w:p w:rsidR="007544CA" w:rsidRDefault="007544CA" w:rsidP="00133508">
                  <w:pPr>
                    <w:pStyle w:val="TableBodyText"/>
                  </w:pPr>
                  <w:r>
                    <w:t>Partial</w:t>
                  </w:r>
                </w:p>
              </w:tc>
              <w:tc>
                <w:tcPr>
                  <w:tcW w:w="642" w:type="pct"/>
                  <w:tcBorders>
                    <w:bottom w:val="single" w:sz="6" w:space="0" w:color="BFBFBF"/>
                  </w:tcBorders>
                  <w:shd w:val="clear" w:color="auto" w:fill="auto"/>
                </w:tcPr>
                <w:p w:rsidR="007544CA" w:rsidRDefault="007544CA" w:rsidP="00133508">
                  <w:pPr>
                    <w:pStyle w:val="TableBodyText"/>
                  </w:pPr>
                  <w:r>
                    <w:t>Partial</w:t>
                  </w:r>
                </w:p>
              </w:tc>
              <w:tc>
                <w:tcPr>
                  <w:tcW w:w="640" w:type="pct"/>
                  <w:tcBorders>
                    <w:bottom w:val="single" w:sz="6" w:space="0" w:color="BFBFBF"/>
                  </w:tcBorders>
                  <w:shd w:val="clear" w:color="auto" w:fill="auto"/>
                </w:tcPr>
                <w:p w:rsidR="007544CA" w:rsidRDefault="007544CA" w:rsidP="00133508">
                  <w:pPr>
                    <w:pStyle w:val="TableBodyText"/>
                  </w:pPr>
                  <w:r>
                    <w:t>Partial/Full</w:t>
                  </w:r>
                </w:p>
              </w:tc>
            </w:tr>
          </w:tbl>
          <w:p w:rsidR="007544CA" w:rsidRDefault="007544CA" w:rsidP="00133508">
            <w:pPr>
              <w:pStyle w:val="Box"/>
            </w:pP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Source"/>
            </w:pPr>
            <w:r>
              <w:rPr>
                <w:i/>
              </w:rPr>
              <w:t>Source</w:t>
            </w:r>
            <w:r w:rsidRPr="00167F06">
              <w:t xml:space="preserve">: </w:t>
            </w:r>
            <w:r>
              <w:t xml:space="preserve">Commission compilation based on data from </w:t>
            </w:r>
            <w:proofErr w:type="spellStart"/>
            <w:r>
              <w:t>CER</w:t>
            </w:r>
            <w:proofErr w:type="spellEnd"/>
            <w:r>
              <w:t xml:space="preserve"> </w:t>
            </w:r>
            <w:proofErr w:type="spellStart"/>
            <w:r>
              <w:t>2016c</w:t>
            </w:r>
            <w:proofErr w:type="spellEnd"/>
            <w:r>
              <w:t>.</w:t>
            </w:r>
          </w:p>
        </w:tc>
      </w:tr>
      <w:tr w:rsidR="007544CA" w:rsidTr="00133508">
        <w:trPr>
          <w:cantSplit/>
        </w:trPr>
        <w:tc>
          <w:tcPr>
            <w:tcW w:w="8771" w:type="dxa"/>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133508" w:rsidP="00133508">
      <w:pPr>
        <w:pStyle w:val="Heading2"/>
      </w:pPr>
      <w:r>
        <w:t>3.4</w:t>
      </w:r>
      <w:r>
        <w:tab/>
      </w:r>
      <w:r w:rsidR="007544CA">
        <w:t xml:space="preserve">Grants for regional business investment </w:t>
      </w:r>
    </w:p>
    <w:p w:rsidR="007544CA" w:rsidRDefault="007544CA" w:rsidP="00133508">
      <w:pPr>
        <w:pStyle w:val="BodyText"/>
      </w:pPr>
      <w:r>
        <w:t xml:space="preserve">Six regional business investment grant schemes have been recently instigated in response to announced foreclosures of automotive manufacturing in South Australia and Victoria, and more general economic growth concerns for Tasmania (table 3.4). These six are the latest of a line of Australian Government schemes to diversify local economies following closure or downsizing of iconic local employers. A stocktake in the </w:t>
      </w:r>
      <w:r w:rsidRPr="005A640F">
        <w:rPr>
          <w:i/>
        </w:rPr>
        <w:t xml:space="preserve">Trade &amp; Assistance </w:t>
      </w:r>
      <w:r w:rsidRPr="005A640F">
        <w:rPr>
          <w:i/>
        </w:rPr>
        <w:lastRenderedPageBreak/>
        <w:t>Review 2010</w:t>
      </w:r>
      <w:r w:rsidRPr="005A640F">
        <w:rPr>
          <w:i/>
        </w:rPr>
        <w:noBreakHyphen/>
        <w:t>11</w:t>
      </w:r>
      <w:r>
        <w:t xml:space="preserve"> (pp. 78–87) identified 15 examples up to that time, many of which had targeted the same regions as current programs.</w:t>
      </w:r>
    </w:p>
    <w:p w:rsidR="007544CA" w:rsidRDefault="007544CA" w:rsidP="0013350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Default="007544CA" w:rsidP="00133508">
            <w:pPr>
              <w:pStyle w:val="TableTitle"/>
            </w:pPr>
            <w:r>
              <w:rPr>
                <w:b w:val="0"/>
              </w:rPr>
              <w:t xml:space="preserve">Table </w:t>
            </w:r>
            <w:r>
              <w:rPr>
                <w:b w:val="0"/>
              </w:rPr>
              <w:fldChar w:fldCharType="begin" w:fldLock="1"/>
            </w:r>
            <w:r>
              <w:rPr>
                <w:b w:val="0"/>
              </w:rPr>
              <w:instrText xml:space="preserve"> COMMENTS  \* MERGEFORMAT </w:instrText>
            </w:r>
            <w:r>
              <w:rPr>
                <w:b w:val="0"/>
              </w:rPr>
              <w:fldChar w:fldCharType="separate"/>
            </w:r>
            <w:r>
              <w:rPr>
                <w:b w:val="0"/>
              </w:rPr>
              <w:t>3.</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4</w:t>
            </w:r>
            <w:r>
              <w:rPr>
                <w:b w:val="0"/>
              </w:rPr>
              <w:fldChar w:fldCharType="end"/>
            </w:r>
            <w:r>
              <w:tab/>
              <w:t>Recent Australian Government manufacturing and regional grants programmes</w:t>
            </w:r>
          </w:p>
          <w:p w:rsidR="007544CA" w:rsidRPr="003B4CF7" w:rsidRDefault="007544CA" w:rsidP="00133508">
            <w:pPr>
              <w:pStyle w:val="Subtitle"/>
            </w:pPr>
            <w:r w:rsidRPr="003B4CF7">
              <w:t xml:space="preserve">Excludes state government </w:t>
            </w:r>
            <w:r>
              <w:t>examples</w:t>
            </w:r>
          </w:p>
        </w:tc>
      </w:tr>
      <w:tr w:rsidR="007544CA" w:rsidTr="0013350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484"/>
              <w:gridCol w:w="927"/>
              <w:gridCol w:w="1074"/>
              <w:gridCol w:w="1334"/>
              <w:gridCol w:w="1176"/>
              <w:gridCol w:w="1492"/>
            </w:tblGrid>
            <w:tr w:rsidR="007544CA" w:rsidTr="00133508">
              <w:tc>
                <w:tcPr>
                  <w:tcW w:w="1463" w:type="pct"/>
                  <w:tcBorders>
                    <w:top w:val="single" w:sz="6" w:space="0" w:color="BFBFBF"/>
                    <w:bottom w:val="single" w:sz="6" w:space="0" w:color="BFBFBF"/>
                  </w:tcBorders>
                  <w:shd w:val="clear" w:color="auto" w:fill="auto"/>
                  <w:tcMar>
                    <w:top w:w="28" w:type="dxa"/>
                  </w:tcMar>
                  <w:vAlign w:val="bottom"/>
                </w:tcPr>
                <w:p w:rsidR="007544CA" w:rsidRDefault="007544CA" w:rsidP="00133508">
                  <w:pPr>
                    <w:pStyle w:val="TableColumnHeading"/>
                    <w:jc w:val="left"/>
                  </w:pPr>
                  <w:r>
                    <w:t>Program</w:t>
                  </w:r>
                </w:p>
              </w:tc>
              <w:tc>
                <w:tcPr>
                  <w:tcW w:w="546" w:type="pct"/>
                  <w:tcBorders>
                    <w:top w:val="single" w:sz="6" w:space="0" w:color="BFBFBF"/>
                    <w:bottom w:val="single" w:sz="6" w:space="0" w:color="BFBFBF"/>
                  </w:tcBorders>
                  <w:vAlign w:val="bottom"/>
                </w:tcPr>
                <w:p w:rsidR="007544CA" w:rsidRDefault="007544CA" w:rsidP="00133508">
                  <w:pPr>
                    <w:pStyle w:val="TableColumnHeading"/>
                    <w:jc w:val="left"/>
                  </w:pPr>
                  <w:r>
                    <w:t>Program funding</w:t>
                  </w:r>
                </w:p>
              </w:tc>
              <w:tc>
                <w:tcPr>
                  <w:tcW w:w="633" w:type="pct"/>
                  <w:tcBorders>
                    <w:top w:val="single" w:sz="6" w:space="0" w:color="BFBFBF"/>
                    <w:bottom w:val="single" w:sz="6" w:space="0" w:color="BFBFBF"/>
                  </w:tcBorders>
                  <w:vAlign w:val="bottom"/>
                </w:tcPr>
                <w:p w:rsidR="007544CA" w:rsidRDefault="007544CA" w:rsidP="00133508">
                  <w:pPr>
                    <w:pStyle w:val="TableColumnHeading"/>
                    <w:jc w:val="left"/>
                  </w:pPr>
                  <w:r>
                    <w:t>Minimum</w:t>
                  </w:r>
                </w:p>
              </w:tc>
              <w:tc>
                <w:tcPr>
                  <w:tcW w:w="786" w:type="pct"/>
                  <w:tcBorders>
                    <w:top w:val="single" w:sz="6" w:space="0" w:color="BFBFBF"/>
                    <w:bottom w:val="single" w:sz="6" w:space="0" w:color="BFBFBF"/>
                  </w:tcBorders>
                  <w:vAlign w:val="bottom"/>
                </w:tcPr>
                <w:p w:rsidR="007544CA" w:rsidRDefault="007544CA" w:rsidP="00133508">
                  <w:pPr>
                    <w:pStyle w:val="TableColumnHeading"/>
                    <w:jc w:val="left"/>
                  </w:pPr>
                  <w:r>
                    <w:t>Maximum</w:t>
                  </w:r>
                </w:p>
              </w:tc>
              <w:tc>
                <w:tcPr>
                  <w:tcW w:w="693" w:type="pct"/>
                  <w:tcBorders>
                    <w:top w:val="single" w:sz="6" w:space="0" w:color="BFBFBF"/>
                    <w:bottom w:val="single" w:sz="6" w:space="0" w:color="BFBFBF"/>
                  </w:tcBorders>
                  <w:shd w:val="clear" w:color="auto" w:fill="auto"/>
                  <w:tcMar>
                    <w:top w:w="28" w:type="dxa"/>
                  </w:tcMar>
                  <w:vAlign w:val="bottom"/>
                </w:tcPr>
                <w:p w:rsidR="007544CA" w:rsidRDefault="007544CA" w:rsidP="00133508">
                  <w:pPr>
                    <w:pStyle w:val="TableColumnHeading"/>
                    <w:jc w:val="left"/>
                  </w:pPr>
                  <w:r>
                    <w:t>Maximum government contribution to total project expenditure</w:t>
                  </w:r>
                </w:p>
              </w:tc>
              <w:tc>
                <w:tcPr>
                  <w:tcW w:w="879" w:type="pct"/>
                  <w:tcBorders>
                    <w:top w:val="single" w:sz="6" w:space="0" w:color="BFBFBF"/>
                    <w:bottom w:val="single" w:sz="6" w:space="0" w:color="BFBFBF"/>
                  </w:tcBorders>
                  <w:shd w:val="clear" w:color="auto" w:fill="auto"/>
                  <w:tcMar>
                    <w:top w:w="28" w:type="dxa"/>
                  </w:tcMar>
                  <w:vAlign w:val="bottom"/>
                </w:tcPr>
                <w:p w:rsidR="007544CA" w:rsidRDefault="007544CA" w:rsidP="00133508">
                  <w:pPr>
                    <w:pStyle w:val="TableColumnHeading"/>
                    <w:ind w:right="28"/>
                    <w:jc w:val="left"/>
                  </w:pPr>
                  <w:r>
                    <w:t>Other comments</w:t>
                  </w:r>
                </w:p>
              </w:tc>
            </w:tr>
            <w:tr w:rsidR="007544CA" w:rsidRPr="00FD5849" w:rsidTr="00133508">
              <w:tc>
                <w:tcPr>
                  <w:tcW w:w="1463" w:type="pct"/>
                </w:tcPr>
                <w:p w:rsidR="007544CA" w:rsidRPr="00FD5849" w:rsidRDefault="007544CA" w:rsidP="00133508">
                  <w:pPr>
                    <w:pStyle w:val="TableBodyText"/>
                    <w:spacing w:before="120"/>
                    <w:ind w:right="28"/>
                    <w:jc w:val="left"/>
                    <w:rPr>
                      <w:b/>
                    </w:rPr>
                  </w:pPr>
                  <w:r w:rsidRPr="00FD5849">
                    <w:rPr>
                      <w:b/>
                    </w:rPr>
                    <w:t>Manufacturing only</w:t>
                  </w:r>
                </w:p>
              </w:tc>
              <w:tc>
                <w:tcPr>
                  <w:tcW w:w="546" w:type="pct"/>
                </w:tcPr>
                <w:p w:rsidR="007544CA" w:rsidRPr="00FD5849" w:rsidRDefault="007544CA" w:rsidP="00133508">
                  <w:pPr>
                    <w:pStyle w:val="TableBodyText"/>
                    <w:spacing w:before="120"/>
                    <w:ind w:right="28"/>
                    <w:jc w:val="left"/>
                    <w:rPr>
                      <w:b/>
                    </w:rPr>
                  </w:pPr>
                </w:p>
              </w:tc>
              <w:tc>
                <w:tcPr>
                  <w:tcW w:w="633" w:type="pct"/>
                </w:tcPr>
                <w:p w:rsidR="007544CA" w:rsidRPr="00FD5849" w:rsidRDefault="007544CA" w:rsidP="00133508">
                  <w:pPr>
                    <w:pStyle w:val="TableBodyText"/>
                    <w:spacing w:before="120"/>
                    <w:ind w:right="28"/>
                    <w:jc w:val="left"/>
                    <w:rPr>
                      <w:b/>
                    </w:rPr>
                  </w:pPr>
                </w:p>
              </w:tc>
              <w:tc>
                <w:tcPr>
                  <w:tcW w:w="786" w:type="pct"/>
                </w:tcPr>
                <w:p w:rsidR="007544CA" w:rsidRPr="00FD5849" w:rsidRDefault="007544CA" w:rsidP="00133508">
                  <w:pPr>
                    <w:pStyle w:val="TableBodyText"/>
                    <w:spacing w:before="120"/>
                    <w:ind w:right="28"/>
                    <w:jc w:val="left"/>
                    <w:rPr>
                      <w:b/>
                    </w:rPr>
                  </w:pPr>
                </w:p>
              </w:tc>
              <w:tc>
                <w:tcPr>
                  <w:tcW w:w="693" w:type="pct"/>
                </w:tcPr>
                <w:p w:rsidR="007544CA" w:rsidRPr="00FD5849" w:rsidRDefault="007544CA" w:rsidP="00133508">
                  <w:pPr>
                    <w:pStyle w:val="TableBodyText"/>
                    <w:spacing w:before="120"/>
                    <w:ind w:right="28"/>
                    <w:jc w:val="left"/>
                    <w:rPr>
                      <w:b/>
                    </w:rPr>
                  </w:pPr>
                </w:p>
              </w:tc>
              <w:tc>
                <w:tcPr>
                  <w:tcW w:w="879" w:type="pct"/>
                </w:tcPr>
                <w:p w:rsidR="007544CA" w:rsidRPr="00FD5849" w:rsidRDefault="007544CA" w:rsidP="00133508">
                  <w:pPr>
                    <w:pStyle w:val="TableBodyText"/>
                    <w:spacing w:before="120"/>
                    <w:ind w:right="28"/>
                    <w:jc w:val="left"/>
                    <w:rPr>
                      <w:b/>
                    </w:rPr>
                  </w:pPr>
                </w:p>
              </w:tc>
            </w:tr>
            <w:tr w:rsidR="007544CA" w:rsidTr="00133508">
              <w:tc>
                <w:tcPr>
                  <w:tcW w:w="1463" w:type="pct"/>
                </w:tcPr>
                <w:p w:rsidR="007544CA" w:rsidRDefault="007544CA" w:rsidP="00133508">
                  <w:pPr>
                    <w:pStyle w:val="TableBodyText"/>
                    <w:jc w:val="left"/>
                  </w:pPr>
                  <w:r>
                    <w:t>Automotive Diversification Program</w:t>
                  </w:r>
                </w:p>
              </w:tc>
              <w:tc>
                <w:tcPr>
                  <w:tcW w:w="546" w:type="pct"/>
                </w:tcPr>
                <w:p w:rsidR="007544CA" w:rsidRDefault="007544CA" w:rsidP="00133508">
                  <w:pPr>
                    <w:pStyle w:val="TableBodyText"/>
                    <w:jc w:val="left"/>
                  </w:pPr>
                  <w:r>
                    <w:t>$</w:t>
                  </w:r>
                  <w:proofErr w:type="spellStart"/>
                  <w:r>
                    <w:t>20m</w:t>
                  </w:r>
                  <w:proofErr w:type="spellEnd"/>
                </w:p>
              </w:tc>
              <w:tc>
                <w:tcPr>
                  <w:tcW w:w="633" w:type="pct"/>
                </w:tcPr>
                <w:p w:rsidR="007544CA" w:rsidRDefault="007544CA" w:rsidP="00133508">
                  <w:pPr>
                    <w:pStyle w:val="TableBodyText"/>
                    <w:jc w:val="left"/>
                  </w:pPr>
                  <w:r>
                    <w:t>$50 000</w:t>
                  </w:r>
                </w:p>
              </w:tc>
              <w:tc>
                <w:tcPr>
                  <w:tcW w:w="786" w:type="pct"/>
                </w:tcPr>
                <w:p w:rsidR="007544CA" w:rsidRDefault="007544CA" w:rsidP="00133508">
                  <w:pPr>
                    <w:pStyle w:val="TableBodyText"/>
                    <w:jc w:val="left"/>
                  </w:pPr>
                  <w:r>
                    <w:t>$</w:t>
                  </w:r>
                  <w:proofErr w:type="spellStart"/>
                  <w:r>
                    <w:t>1m</w:t>
                  </w:r>
                  <w:proofErr w:type="spellEnd"/>
                  <w:r>
                    <w:t xml:space="preserve"> single</w:t>
                  </w:r>
                  <w:r>
                    <w:br/>
                    <w:t>$</w:t>
                  </w:r>
                  <w:proofErr w:type="spellStart"/>
                  <w:r>
                    <w:t>1.5m</w:t>
                  </w:r>
                  <w:proofErr w:type="spellEnd"/>
                  <w:r>
                    <w:t xml:space="preserve"> multiple</w:t>
                  </w:r>
                </w:p>
              </w:tc>
              <w:tc>
                <w:tcPr>
                  <w:tcW w:w="693" w:type="pct"/>
                </w:tcPr>
                <w:p w:rsidR="007544CA" w:rsidRDefault="007544CA" w:rsidP="00133508">
                  <w:pPr>
                    <w:pStyle w:val="TableBodyText"/>
                    <w:jc w:val="left"/>
                  </w:pPr>
                  <w:r>
                    <w:t>Not set</w:t>
                  </w:r>
                  <w:r>
                    <w:br/>
                    <w:t>Actual not known</w:t>
                  </w:r>
                </w:p>
              </w:tc>
              <w:tc>
                <w:tcPr>
                  <w:tcW w:w="879" w:type="pct"/>
                </w:tcPr>
                <w:p w:rsidR="007544CA" w:rsidRDefault="007544CA" w:rsidP="00133508">
                  <w:pPr>
                    <w:pStyle w:val="TableBodyText"/>
                    <w:ind w:right="28"/>
                    <w:jc w:val="left"/>
                  </w:pPr>
                  <w:r>
                    <w:t>Max. 2 year project.</w:t>
                  </w:r>
                  <w:r>
                    <w:br/>
                    <w:t xml:space="preserve">Open – not yet accepting applications </w:t>
                  </w:r>
                </w:p>
              </w:tc>
            </w:tr>
            <w:tr w:rsidR="007544CA" w:rsidTr="00133508">
              <w:tc>
                <w:tcPr>
                  <w:tcW w:w="1463" w:type="pct"/>
                </w:tcPr>
                <w:p w:rsidR="007544CA" w:rsidRDefault="007544CA" w:rsidP="00133508">
                  <w:pPr>
                    <w:pStyle w:val="TableBodyText"/>
                    <w:spacing w:before="120"/>
                    <w:jc w:val="left"/>
                  </w:pPr>
                  <w:r>
                    <w:t>Next Generation Manufacturing Investment Programme (South Australia and Victoria)</w:t>
                  </w:r>
                </w:p>
              </w:tc>
              <w:tc>
                <w:tcPr>
                  <w:tcW w:w="546" w:type="pct"/>
                </w:tcPr>
                <w:p w:rsidR="007544CA" w:rsidRDefault="007544CA" w:rsidP="00133508">
                  <w:pPr>
                    <w:pStyle w:val="TableBodyText"/>
                    <w:spacing w:before="120"/>
                    <w:jc w:val="left"/>
                  </w:pPr>
                  <w:r>
                    <w:t>$</w:t>
                  </w:r>
                  <w:proofErr w:type="spellStart"/>
                  <w:r>
                    <w:t>60m</w:t>
                  </w:r>
                  <w:proofErr w:type="spellEnd"/>
                </w:p>
              </w:tc>
              <w:tc>
                <w:tcPr>
                  <w:tcW w:w="633" w:type="pct"/>
                </w:tcPr>
                <w:p w:rsidR="007544CA" w:rsidRDefault="007544CA" w:rsidP="00133508">
                  <w:pPr>
                    <w:pStyle w:val="TableBodyText"/>
                    <w:spacing w:before="120"/>
                    <w:jc w:val="left"/>
                  </w:pPr>
                  <w:r>
                    <w:t>$500 000</w:t>
                  </w:r>
                </w:p>
              </w:tc>
              <w:tc>
                <w:tcPr>
                  <w:tcW w:w="786" w:type="pct"/>
                </w:tcPr>
                <w:p w:rsidR="007544CA" w:rsidRDefault="007544CA" w:rsidP="00133508">
                  <w:pPr>
                    <w:pStyle w:val="TableBodyText"/>
                    <w:spacing w:before="120"/>
                    <w:jc w:val="left"/>
                  </w:pPr>
                  <w:r>
                    <w:t>$</w:t>
                  </w:r>
                  <w:proofErr w:type="spellStart"/>
                  <w:r>
                    <w:t>2.5m</w:t>
                  </w:r>
                  <w:proofErr w:type="spellEnd"/>
                </w:p>
              </w:tc>
              <w:tc>
                <w:tcPr>
                  <w:tcW w:w="693" w:type="pct"/>
                </w:tcPr>
                <w:p w:rsidR="007544CA" w:rsidRDefault="007544CA" w:rsidP="00133508">
                  <w:pPr>
                    <w:pStyle w:val="TableBodyText"/>
                    <w:spacing w:before="120"/>
                    <w:jc w:val="left"/>
                  </w:pPr>
                  <w:r>
                    <w:t>33%</w:t>
                  </w:r>
                </w:p>
              </w:tc>
              <w:tc>
                <w:tcPr>
                  <w:tcW w:w="879" w:type="pct"/>
                </w:tcPr>
                <w:p w:rsidR="007544CA" w:rsidRDefault="007544CA" w:rsidP="00133508">
                  <w:pPr>
                    <w:pStyle w:val="TableBodyText"/>
                    <w:spacing w:before="120"/>
                    <w:ind w:right="28"/>
                    <w:jc w:val="left"/>
                  </w:pPr>
                  <w:r>
                    <w:t>Max. 3 year project.</w:t>
                  </w:r>
                  <w:r>
                    <w:br/>
                    <w:t>One Round to date</w:t>
                  </w:r>
                </w:p>
              </w:tc>
            </w:tr>
            <w:tr w:rsidR="007544CA" w:rsidTr="00133508">
              <w:tc>
                <w:tcPr>
                  <w:tcW w:w="1463" w:type="pct"/>
                </w:tcPr>
                <w:p w:rsidR="007544CA" w:rsidRDefault="007544CA" w:rsidP="00133508">
                  <w:pPr>
                    <w:pStyle w:val="TableBodyText"/>
                    <w:spacing w:before="120"/>
                    <w:jc w:val="left"/>
                  </w:pPr>
                  <w:r>
                    <w:t>Manufacturing Transition Programme</w:t>
                  </w:r>
                  <w:r>
                    <w:rPr>
                      <w:rStyle w:val="NoteLabel"/>
                    </w:rPr>
                    <w:t>c</w:t>
                  </w:r>
                </w:p>
              </w:tc>
              <w:tc>
                <w:tcPr>
                  <w:tcW w:w="546" w:type="pct"/>
                </w:tcPr>
                <w:p w:rsidR="007544CA" w:rsidRDefault="007544CA" w:rsidP="00133508">
                  <w:pPr>
                    <w:pStyle w:val="TableBodyText"/>
                    <w:spacing w:before="120"/>
                    <w:jc w:val="left"/>
                  </w:pPr>
                  <w:r>
                    <w:t>$</w:t>
                  </w:r>
                  <w:proofErr w:type="spellStart"/>
                  <w:r>
                    <w:t>50m</w:t>
                  </w:r>
                  <w:proofErr w:type="spellEnd"/>
                </w:p>
              </w:tc>
              <w:tc>
                <w:tcPr>
                  <w:tcW w:w="633" w:type="pct"/>
                </w:tcPr>
                <w:p w:rsidR="007544CA" w:rsidRDefault="007544CA" w:rsidP="00133508">
                  <w:pPr>
                    <w:pStyle w:val="TableBodyText"/>
                    <w:spacing w:before="120"/>
                    <w:jc w:val="left"/>
                  </w:pPr>
                  <w:r>
                    <w:t>$</w:t>
                  </w:r>
                  <w:proofErr w:type="spellStart"/>
                  <w:r>
                    <w:t>1m</w:t>
                  </w:r>
                  <w:proofErr w:type="spellEnd"/>
                </w:p>
              </w:tc>
              <w:tc>
                <w:tcPr>
                  <w:tcW w:w="786" w:type="pct"/>
                </w:tcPr>
                <w:p w:rsidR="007544CA" w:rsidRDefault="007544CA" w:rsidP="00133508">
                  <w:pPr>
                    <w:pStyle w:val="TableBodyText"/>
                    <w:spacing w:before="120"/>
                    <w:jc w:val="left"/>
                  </w:pPr>
                  <w:r>
                    <w:t>$</w:t>
                  </w:r>
                  <w:proofErr w:type="spellStart"/>
                  <w:r>
                    <w:t>10m</w:t>
                  </w:r>
                  <w:proofErr w:type="spellEnd"/>
                </w:p>
              </w:tc>
              <w:tc>
                <w:tcPr>
                  <w:tcW w:w="693" w:type="pct"/>
                </w:tcPr>
                <w:p w:rsidR="007544CA" w:rsidRDefault="007544CA" w:rsidP="00133508">
                  <w:pPr>
                    <w:pStyle w:val="TableBodyText"/>
                    <w:spacing w:before="120"/>
                    <w:jc w:val="left"/>
                  </w:pPr>
                  <w:r>
                    <w:t>25%</w:t>
                  </w:r>
                </w:p>
              </w:tc>
              <w:tc>
                <w:tcPr>
                  <w:tcW w:w="879" w:type="pct"/>
                </w:tcPr>
                <w:p w:rsidR="007544CA" w:rsidRDefault="007544CA" w:rsidP="00133508">
                  <w:pPr>
                    <w:pStyle w:val="TableBodyText"/>
                    <w:spacing w:before="120"/>
                    <w:ind w:right="28"/>
                    <w:jc w:val="left"/>
                  </w:pPr>
                  <w:r>
                    <w:t>Max. 2 year project.</w:t>
                  </w:r>
                </w:p>
              </w:tc>
            </w:tr>
            <w:tr w:rsidR="007544CA" w:rsidRPr="00FD5849" w:rsidTr="00133508">
              <w:tc>
                <w:tcPr>
                  <w:tcW w:w="5000" w:type="pct"/>
                  <w:gridSpan w:val="6"/>
                </w:tcPr>
                <w:p w:rsidR="007544CA" w:rsidRPr="00FD5849" w:rsidRDefault="007544CA" w:rsidP="00133508">
                  <w:pPr>
                    <w:pStyle w:val="TableBodyText"/>
                    <w:spacing w:before="120"/>
                    <w:ind w:right="28"/>
                    <w:jc w:val="left"/>
                    <w:rPr>
                      <w:b/>
                    </w:rPr>
                  </w:pPr>
                  <w:r>
                    <w:rPr>
                      <w:b/>
                    </w:rPr>
                    <w:t xml:space="preserve">Not restricted to manufacturing in the Guidelines </w:t>
                  </w:r>
                </w:p>
              </w:tc>
            </w:tr>
            <w:tr w:rsidR="007544CA" w:rsidTr="00133508">
              <w:tc>
                <w:tcPr>
                  <w:tcW w:w="1463" w:type="pct"/>
                </w:tcPr>
                <w:p w:rsidR="007544CA" w:rsidRDefault="007544CA" w:rsidP="00133508">
                  <w:pPr>
                    <w:pStyle w:val="TableBodyText"/>
                    <w:jc w:val="left"/>
                  </w:pPr>
                  <w:r>
                    <w:t>Geelong Innovation and Investment Programme</w:t>
                  </w:r>
                  <w:r w:rsidRPr="008E77FE">
                    <w:rPr>
                      <w:rStyle w:val="NoteLabel"/>
                    </w:rPr>
                    <w:t>a</w:t>
                  </w:r>
                </w:p>
              </w:tc>
              <w:tc>
                <w:tcPr>
                  <w:tcW w:w="546" w:type="pct"/>
                </w:tcPr>
                <w:p w:rsidR="007544CA" w:rsidRDefault="007544CA" w:rsidP="00133508">
                  <w:pPr>
                    <w:pStyle w:val="TableBodyText"/>
                    <w:jc w:val="left"/>
                  </w:pPr>
                  <w:r>
                    <w:t>$</w:t>
                  </w:r>
                  <w:proofErr w:type="spellStart"/>
                  <w:r>
                    <w:t>29.5m</w:t>
                  </w:r>
                  <w:proofErr w:type="spellEnd"/>
                </w:p>
              </w:tc>
              <w:tc>
                <w:tcPr>
                  <w:tcW w:w="633" w:type="pct"/>
                </w:tcPr>
                <w:p w:rsidR="007544CA" w:rsidRDefault="007544CA" w:rsidP="00133508">
                  <w:pPr>
                    <w:pStyle w:val="TableBodyText"/>
                    <w:jc w:val="left"/>
                  </w:pPr>
                  <w:r>
                    <w:t>$50 000</w:t>
                  </w:r>
                </w:p>
              </w:tc>
              <w:tc>
                <w:tcPr>
                  <w:tcW w:w="786" w:type="pct"/>
                </w:tcPr>
                <w:p w:rsidR="007544CA" w:rsidRDefault="007544CA" w:rsidP="00133508">
                  <w:pPr>
                    <w:pStyle w:val="TableBodyText"/>
                    <w:jc w:val="left"/>
                  </w:pPr>
                  <w:r>
                    <w:t>None</w:t>
                  </w:r>
                </w:p>
              </w:tc>
              <w:tc>
                <w:tcPr>
                  <w:tcW w:w="693" w:type="pct"/>
                </w:tcPr>
                <w:p w:rsidR="007544CA" w:rsidRDefault="007544CA" w:rsidP="00133508">
                  <w:pPr>
                    <w:pStyle w:val="TableBodyText"/>
                    <w:jc w:val="left"/>
                  </w:pPr>
                  <w:r>
                    <w:t>50%</w:t>
                  </w:r>
                </w:p>
              </w:tc>
              <w:tc>
                <w:tcPr>
                  <w:tcW w:w="879" w:type="pct"/>
                </w:tcPr>
                <w:p w:rsidR="007544CA" w:rsidRDefault="007544CA" w:rsidP="00133508">
                  <w:pPr>
                    <w:pStyle w:val="TableBodyText"/>
                    <w:ind w:right="28"/>
                    <w:jc w:val="left"/>
                  </w:pPr>
                  <w:r>
                    <w:t>Max. 2 year project.</w:t>
                  </w:r>
                  <w:r>
                    <w:br/>
                    <w:t>All recipients manufacturing (except one)</w:t>
                  </w:r>
                </w:p>
              </w:tc>
            </w:tr>
            <w:tr w:rsidR="007544CA" w:rsidTr="00133508">
              <w:tc>
                <w:tcPr>
                  <w:tcW w:w="1463" w:type="pct"/>
                </w:tcPr>
                <w:p w:rsidR="007544CA" w:rsidRDefault="007544CA" w:rsidP="00133508">
                  <w:pPr>
                    <w:pStyle w:val="TableBodyText"/>
                    <w:spacing w:before="120"/>
                    <w:jc w:val="left"/>
                  </w:pPr>
                  <w:r>
                    <w:t>Melbourne’s North Innovation and Investment Programme</w:t>
                  </w:r>
                  <w:r>
                    <w:rPr>
                      <w:rStyle w:val="NoteLabel"/>
                    </w:rPr>
                    <w:t>b</w:t>
                  </w:r>
                </w:p>
              </w:tc>
              <w:tc>
                <w:tcPr>
                  <w:tcW w:w="546" w:type="pct"/>
                </w:tcPr>
                <w:p w:rsidR="007544CA" w:rsidRDefault="007544CA" w:rsidP="00133508">
                  <w:pPr>
                    <w:pStyle w:val="TableBodyText"/>
                    <w:spacing w:before="120"/>
                    <w:jc w:val="left"/>
                  </w:pPr>
                  <w:r>
                    <w:t>$</w:t>
                  </w:r>
                  <w:proofErr w:type="spellStart"/>
                  <w:r>
                    <w:t>24.5m</w:t>
                  </w:r>
                  <w:proofErr w:type="spellEnd"/>
                </w:p>
              </w:tc>
              <w:tc>
                <w:tcPr>
                  <w:tcW w:w="633" w:type="pct"/>
                </w:tcPr>
                <w:p w:rsidR="007544CA" w:rsidRDefault="007544CA" w:rsidP="00133508">
                  <w:pPr>
                    <w:pStyle w:val="TableBodyText"/>
                    <w:spacing w:before="120"/>
                    <w:jc w:val="left"/>
                  </w:pPr>
                  <w:r>
                    <w:t>$50 000</w:t>
                  </w:r>
                </w:p>
              </w:tc>
              <w:tc>
                <w:tcPr>
                  <w:tcW w:w="786" w:type="pct"/>
                </w:tcPr>
                <w:p w:rsidR="007544CA" w:rsidRDefault="007544CA" w:rsidP="00133508">
                  <w:pPr>
                    <w:pStyle w:val="TableBodyText"/>
                    <w:spacing w:before="120"/>
                    <w:jc w:val="left"/>
                  </w:pPr>
                  <w:r>
                    <w:t xml:space="preserve">None </w:t>
                  </w:r>
                </w:p>
              </w:tc>
              <w:tc>
                <w:tcPr>
                  <w:tcW w:w="693" w:type="pct"/>
                </w:tcPr>
                <w:p w:rsidR="007544CA" w:rsidRDefault="007544CA" w:rsidP="00133508">
                  <w:pPr>
                    <w:pStyle w:val="TableBodyText"/>
                    <w:spacing w:before="120"/>
                    <w:jc w:val="left"/>
                  </w:pPr>
                  <w:r>
                    <w:t>50%</w:t>
                  </w:r>
                </w:p>
              </w:tc>
              <w:tc>
                <w:tcPr>
                  <w:tcW w:w="879" w:type="pct"/>
                </w:tcPr>
                <w:p w:rsidR="007544CA" w:rsidRDefault="007544CA" w:rsidP="00133508">
                  <w:pPr>
                    <w:pStyle w:val="TableBodyText"/>
                    <w:spacing w:before="120"/>
                    <w:ind w:right="28"/>
                    <w:jc w:val="left"/>
                  </w:pPr>
                  <w:r>
                    <w:t>Max. 2 year project</w:t>
                  </w:r>
                  <w:r>
                    <w:br/>
                    <w:t>All recipients manufacturing</w:t>
                  </w:r>
                </w:p>
              </w:tc>
            </w:tr>
            <w:tr w:rsidR="007544CA" w:rsidTr="00133508">
              <w:tc>
                <w:tcPr>
                  <w:tcW w:w="1463" w:type="pct"/>
                </w:tcPr>
                <w:p w:rsidR="007544CA" w:rsidRDefault="007544CA" w:rsidP="00133508">
                  <w:pPr>
                    <w:pStyle w:val="TableBodyText"/>
                    <w:spacing w:before="120"/>
                    <w:jc w:val="left"/>
                  </w:pPr>
                  <w:r>
                    <w:t>Tasmanian Jobs and Investment Fund</w:t>
                  </w:r>
                  <w:r>
                    <w:rPr>
                      <w:rStyle w:val="NoteLabel"/>
                    </w:rPr>
                    <w:t>e</w:t>
                  </w:r>
                </w:p>
              </w:tc>
              <w:tc>
                <w:tcPr>
                  <w:tcW w:w="546" w:type="pct"/>
                </w:tcPr>
                <w:p w:rsidR="007544CA" w:rsidRDefault="007544CA" w:rsidP="00133508">
                  <w:pPr>
                    <w:pStyle w:val="TableBodyText"/>
                    <w:spacing w:before="120"/>
                    <w:jc w:val="left"/>
                  </w:pPr>
                  <w:r>
                    <w:t>$</w:t>
                  </w:r>
                  <w:proofErr w:type="spellStart"/>
                  <w:r>
                    <w:t>24m</w:t>
                  </w:r>
                  <w:proofErr w:type="spellEnd"/>
                </w:p>
              </w:tc>
              <w:tc>
                <w:tcPr>
                  <w:tcW w:w="633" w:type="pct"/>
                </w:tcPr>
                <w:p w:rsidR="007544CA" w:rsidRDefault="007544CA" w:rsidP="00133508">
                  <w:pPr>
                    <w:pStyle w:val="TableBodyText"/>
                    <w:spacing w:before="120"/>
                    <w:jc w:val="left"/>
                  </w:pPr>
                  <w:r>
                    <w:t>$50 000</w:t>
                  </w:r>
                </w:p>
              </w:tc>
              <w:tc>
                <w:tcPr>
                  <w:tcW w:w="786" w:type="pct"/>
                </w:tcPr>
                <w:p w:rsidR="007544CA" w:rsidRDefault="007544CA" w:rsidP="00133508">
                  <w:pPr>
                    <w:pStyle w:val="TableBodyText"/>
                    <w:spacing w:before="120"/>
                    <w:jc w:val="left"/>
                  </w:pPr>
                  <w:r>
                    <w:t>None</w:t>
                  </w:r>
                </w:p>
              </w:tc>
              <w:tc>
                <w:tcPr>
                  <w:tcW w:w="693" w:type="pct"/>
                </w:tcPr>
                <w:p w:rsidR="007544CA" w:rsidRDefault="007544CA" w:rsidP="00133508">
                  <w:pPr>
                    <w:pStyle w:val="TableBodyText"/>
                    <w:spacing w:before="120"/>
                    <w:jc w:val="left"/>
                  </w:pPr>
                  <w:r>
                    <w:t>33%</w:t>
                  </w:r>
                </w:p>
              </w:tc>
              <w:tc>
                <w:tcPr>
                  <w:tcW w:w="879" w:type="pct"/>
                </w:tcPr>
                <w:p w:rsidR="007544CA" w:rsidRDefault="007544CA" w:rsidP="00133508">
                  <w:pPr>
                    <w:pStyle w:val="TableBodyText"/>
                    <w:spacing w:before="120"/>
                    <w:ind w:right="28"/>
                    <w:jc w:val="left"/>
                  </w:pPr>
                  <w:r>
                    <w:t xml:space="preserve">Max. 2 year project </w:t>
                  </w:r>
                  <w:r>
                    <w:br/>
                    <w:t xml:space="preserve">Recipient industries include manufacturing and tourism. </w:t>
                  </w:r>
                </w:p>
              </w:tc>
            </w:tr>
            <w:tr w:rsidR="007544CA" w:rsidTr="00133508">
              <w:tc>
                <w:tcPr>
                  <w:tcW w:w="1463" w:type="pct"/>
                  <w:tcBorders>
                    <w:bottom w:val="single" w:sz="6" w:space="0" w:color="BFBFBF"/>
                  </w:tcBorders>
                </w:tcPr>
                <w:p w:rsidR="007544CA" w:rsidRDefault="007544CA" w:rsidP="00133508">
                  <w:pPr>
                    <w:pStyle w:val="TableBodyText"/>
                    <w:spacing w:before="120"/>
                    <w:jc w:val="left"/>
                  </w:pPr>
                  <w:r>
                    <w:t>Australian Government Innovation and Investment Fund (Tasmania)</w:t>
                  </w:r>
                  <w:r>
                    <w:rPr>
                      <w:rStyle w:val="NoteLabel"/>
                    </w:rPr>
                    <w:t>d</w:t>
                  </w:r>
                </w:p>
              </w:tc>
              <w:tc>
                <w:tcPr>
                  <w:tcW w:w="546" w:type="pct"/>
                  <w:tcBorders>
                    <w:bottom w:val="single" w:sz="6" w:space="0" w:color="BFBFBF"/>
                  </w:tcBorders>
                </w:tcPr>
                <w:p w:rsidR="007544CA" w:rsidRDefault="007544CA" w:rsidP="00133508">
                  <w:pPr>
                    <w:pStyle w:val="TableBodyText"/>
                    <w:spacing w:before="120"/>
                    <w:jc w:val="left"/>
                  </w:pPr>
                  <w:r>
                    <w:t>$</w:t>
                  </w:r>
                  <w:proofErr w:type="spellStart"/>
                  <w:r>
                    <w:t>13m</w:t>
                  </w:r>
                  <w:proofErr w:type="spellEnd"/>
                </w:p>
              </w:tc>
              <w:tc>
                <w:tcPr>
                  <w:tcW w:w="633" w:type="pct"/>
                  <w:tcBorders>
                    <w:bottom w:val="single" w:sz="6" w:space="0" w:color="BFBFBF"/>
                  </w:tcBorders>
                </w:tcPr>
                <w:p w:rsidR="007544CA" w:rsidRDefault="007544CA" w:rsidP="00133508">
                  <w:pPr>
                    <w:pStyle w:val="TableBodyText"/>
                    <w:spacing w:before="120"/>
                    <w:jc w:val="left"/>
                  </w:pPr>
                  <w:r>
                    <w:t>$50 000</w:t>
                  </w:r>
                </w:p>
              </w:tc>
              <w:tc>
                <w:tcPr>
                  <w:tcW w:w="786" w:type="pct"/>
                  <w:tcBorders>
                    <w:bottom w:val="single" w:sz="6" w:space="0" w:color="BFBFBF"/>
                  </w:tcBorders>
                </w:tcPr>
                <w:p w:rsidR="007544CA" w:rsidRDefault="007544CA" w:rsidP="00133508">
                  <w:pPr>
                    <w:pStyle w:val="TableBodyText"/>
                    <w:spacing w:before="120"/>
                    <w:jc w:val="left"/>
                  </w:pPr>
                  <w:r>
                    <w:t>None</w:t>
                  </w:r>
                </w:p>
              </w:tc>
              <w:tc>
                <w:tcPr>
                  <w:tcW w:w="693" w:type="pct"/>
                  <w:tcBorders>
                    <w:bottom w:val="single" w:sz="6" w:space="0" w:color="BFBFBF"/>
                  </w:tcBorders>
                </w:tcPr>
                <w:p w:rsidR="007544CA" w:rsidRDefault="007544CA" w:rsidP="00133508">
                  <w:pPr>
                    <w:pStyle w:val="TableBodyText"/>
                    <w:spacing w:before="120"/>
                    <w:jc w:val="left"/>
                  </w:pPr>
                  <w:r>
                    <w:t>50%</w:t>
                  </w:r>
                </w:p>
              </w:tc>
              <w:tc>
                <w:tcPr>
                  <w:tcW w:w="879" w:type="pct"/>
                  <w:tcBorders>
                    <w:bottom w:val="single" w:sz="6" w:space="0" w:color="BFBFBF"/>
                  </w:tcBorders>
                </w:tcPr>
                <w:p w:rsidR="007544CA" w:rsidRDefault="007544CA" w:rsidP="00133508">
                  <w:pPr>
                    <w:pStyle w:val="TableBodyText"/>
                    <w:spacing w:before="120"/>
                    <w:ind w:right="28"/>
                    <w:jc w:val="left"/>
                  </w:pPr>
                  <w:r>
                    <w:t xml:space="preserve">Recipients include manufacturing, agriculture and tourism </w:t>
                  </w:r>
                </w:p>
              </w:tc>
            </w:tr>
          </w:tbl>
          <w:p w:rsidR="007544CA" w:rsidRDefault="007544CA" w:rsidP="00133508">
            <w:pPr>
              <w:pStyle w:val="Box"/>
            </w:pP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Note"/>
              <w:rPr>
                <w:i/>
              </w:rPr>
            </w:pPr>
            <w:r w:rsidRPr="008E77FE">
              <w:rPr>
                <w:rStyle w:val="NoteLabel"/>
              </w:rPr>
              <w:t>a</w:t>
            </w:r>
            <w:r>
              <w:t xml:space="preserve"> Completed May 2015, after 3 Rounds. </w:t>
            </w:r>
            <w:r>
              <w:rPr>
                <w:rStyle w:val="NoteLabel"/>
              </w:rPr>
              <w:t>b</w:t>
            </w:r>
            <w:r>
              <w:t xml:space="preserve"> Completed May 2015, after 2 Rounds </w:t>
            </w:r>
            <w:r w:rsidRPr="00FD5849">
              <w:rPr>
                <w:rStyle w:val="NoteLabel"/>
              </w:rPr>
              <w:t>c</w:t>
            </w:r>
            <w:r>
              <w:t xml:space="preserve"> Completed </w:t>
            </w:r>
            <w:r>
              <w:br/>
            </w:r>
            <w:r>
              <w:rPr>
                <w:rStyle w:val="NoteLabel"/>
              </w:rPr>
              <w:t xml:space="preserve">d </w:t>
            </w:r>
            <w:r w:rsidRPr="004A59EA">
              <w:t>Complet</w:t>
            </w:r>
            <w:r>
              <w:t>e</w:t>
            </w:r>
            <w:r w:rsidRPr="004A59EA">
              <w:t>d</w:t>
            </w:r>
            <w:r>
              <w:t xml:space="preserve"> October 2014 after 1 Round.  </w:t>
            </w:r>
            <w:r>
              <w:rPr>
                <w:rStyle w:val="NoteLabel"/>
              </w:rPr>
              <w:t>e</w:t>
            </w:r>
            <w:r>
              <w:t xml:space="preserve"> Recipients announced May 2016.</w:t>
            </w: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Source"/>
            </w:pPr>
            <w:r>
              <w:rPr>
                <w:i/>
              </w:rPr>
              <w:t>Source</w:t>
            </w:r>
            <w:r w:rsidRPr="00167F06">
              <w:t xml:space="preserve">: </w:t>
            </w:r>
            <w:r>
              <w:t>Programme guidelines available at Australian Government (2016).</w:t>
            </w:r>
          </w:p>
        </w:tc>
      </w:tr>
      <w:tr w:rsidR="007544CA" w:rsidTr="00133508">
        <w:trPr>
          <w:cantSplit/>
        </w:trPr>
        <w:tc>
          <w:tcPr>
            <w:tcW w:w="8771" w:type="dxa"/>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BodyText"/>
      </w:pPr>
      <w:r>
        <w:lastRenderedPageBreak/>
        <w:t>The basic design of the investment grants schemes is the same: government provides a grant towards a proportion of the cost of a new investment project; and projects are selected through a competitive, merit</w:t>
      </w:r>
      <w:r>
        <w:noBreakHyphen/>
        <w:t>based application process with the government’s contribution rate pre</w:t>
      </w:r>
      <w:r>
        <w:noBreakHyphen/>
        <w:t>announced (and the same for all projects). Within this design framework the schemes differ in key parameters, such as the subsidy rate, minimum and maximum grants amounts and the total funding for the scheme (box 3.2).</w:t>
      </w:r>
    </w:p>
    <w:p w:rsidR="007544CA" w:rsidRDefault="007544CA" w:rsidP="00133508">
      <w:pPr>
        <w:pStyle w:val="BodyText"/>
      </w:pPr>
      <w:r>
        <w:t xml:space="preserve">While governments generally announce successful applicants and highlight the numbers of new jobs and investment dollars expected to be attracted to the region, there appears to be little systematic monitoring and public reporting of the </w:t>
      </w:r>
      <w:r w:rsidRPr="00475241">
        <w:rPr>
          <w:i/>
        </w:rPr>
        <w:t>actual outcomes</w:t>
      </w:r>
      <w:r>
        <w:t xml:space="preserve">. The limited evaluations that have been conducted suggest the funds were not as effective as intended. The Commissions’ 2014 inquiry into </w:t>
      </w:r>
      <w:r w:rsidRPr="003C3A91">
        <w:rPr>
          <w:i/>
        </w:rPr>
        <w:t>Australia’s Automotive Manufacturing Industry</w:t>
      </w:r>
      <w:r>
        <w:t xml:space="preserve"> concluded that regional adjustment funds are likely to be a costly and ineffective approach to facilitating adjustment in regions affected by impending closures (PC </w:t>
      </w:r>
      <w:proofErr w:type="spellStart"/>
      <w:r>
        <w:t>2014e</w:t>
      </w:r>
      <w:proofErr w:type="spellEnd"/>
      <w:r>
        <w:t>, chapter 7). A review of the efficacy of this model of assistance is well overdue.</w:t>
      </w:r>
    </w:p>
    <w:p w:rsidR="007544CA" w:rsidRDefault="00133508" w:rsidP="00133508">
      <w:pPr>
        <w:pStyle w:val="Heading2"/>
      </w:pPr>
      <w:r>
        <w:t>3.5</w:t>
      </w:r>
      <w:r>
        <w:tab/>
      </w:r>
      <w:r w:rsidR="007544CA">
        <w:t>Support to business for innovation, collaboration and commercialisation</w:t>
      </w:r>
    </w:p>
    <w:p w:rsidR="007544CA" w:rsidRDefault="007544CA" w:rsidP="00133508">
      <w:pPr>
        <w:pStyle w:val="BodyText"/>
      </w:pPr>
      <w:r>
        <w:t xml:space="preserve">Recent industry policy has seen a move away from protecting uncompetitive businesses and industries to supporting business innovation. If sustained, this shift is to be applauded, but the merits of initiatives to promote business innovation still need to be evaluated. Two recent </w:t>
      </w:r>
      <w:r w:rsidRPr="00C0083E">
        <w:rPr>
          <w:i/>
        </w:rPr>
        <w:t>Agendas</w:t>
      </w:r>
      <w:r>
        <w:t xml:space="preserve"> have set out policy initiatives, some of which are new, while others extend or adapt existing programs.</w:t>
      </w:r>
    </w:p>
    <w:p w:rsidR="007544CA" w:rsidRDefault="007544CA" w:rsidP="00133508">
      <w:pPr>
        <w:pStyle w:val="ListBullet"/>
      </w:pPr>
      <w:r>
        <w:t xml:space="preserve">The principal new business innovation measure in the </w:t>
      </w:r>
      <w:r w:rsidRPr="00636339">
        <w:rPr>
          <w:i/>
        </w:rPr>
        <w:t>Industry Innovation and Competitiveness Agenda</w:t>
      </w:r>
      <w:r>
        <w:t xml:space="preserve"> (October 2014) was to establish five </w:t>
      </w:r>
      <w:proofErr w:type="spellStart"/>
      <w:r>
        <w:t>non</w:t>
      </w:r>
      <w:r>
        <w:noBreakHyphen/>
        <w:t>profit</w:t>
      </w:r>
      <w:proofErr w:type="spellEnd"/>
      <w:r>
        <w:t xml:space="preserve"> Industry Growth Centres, at a cost of $188 million over four years (2014</w:t>
      </w:r>
      <w:r>
        <w:noBreakHyphen/>
        <w:t>15 to 2017</w:t>
      </w:r>
      <w:r>
        <w:noBreakHyphen/>
        <w:t>18). The Centres will involve commercial research and development partnerships between the industry participants and the research sector.</w:t>
      </w:r>
      <w:r>
        <w:rPr>
          <w:rStyle w:val="FootnoteReference"/>
        </w:rPr>
        <w:footnoteReference w:id="17"/>
      </w:r>
      <w:r>
        <w:t xml:space="preserve"> </w:t>
      </w:r>
    </w:p>
    <w:p w:rsidR="007544CA" w:rsidRDefault="007544CA" w:rsidP="00133508">
      <w:pPr>
        <w:pStyle w:val="ListBullet"/>
      </w:pPr>
      <w:r w:rsidRPr="00636339">
        <w:rPr>
          <w:i/>
        </w:rPr>
        <w:t>Boosting the Commercial Returns from Research</w:t>
      </w:r>
      <w:r>
        <w:t xml:space="preserve"> (May 2015) elaborated the Agenda strategy of better translation of research into commercial outcomes. While it proposed a four pronged strategy (related to research excellence; targeted research effort; cooperation between researchers and industry; and entrepreneurship) it did not include new measures. </w:t>
      </w:r>
    </w:p>
    <w:p w:rsidR="007544CA" w:rsidRDefault="007544C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F2F2F2"/>
          </w:tcPr>
          <w:p w:rsidR="007544CA" w:rsidRDefault="007544CA" w:rsidP="00133508">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3.</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2</w:t>
            </w:r>
            <w:r>
              <w:rPr>
                <w:b w:val="0"/>
              </w:rPr>
              <w:fldChar w:fldCharType="end"/>
            </w:r>
            <w:r>
              <w:tab/>
              <w:t>Issues in improving regional business investment grants schemes</w:t>
            </w:r>
          </w:p>
        </w:tc>
      </w:tr>
      <w:tr w:rsidR="007544CA" w:rsidTr="00133508">
        <w:trPr>
          <w:cantSplit/>
        </w:trPr>
        <w:tc>
          <w:tcPr>
            <w:tcW w:w="8771" w:type="dxa"/>
            <w:tcBorders>
              <w:top w:val="nil"/>
              <w:left w:val="nil"/>
              <w:bottom w:val="nil"/>
              <w:right w:val="nil"/>
            </w:tcBorders>
            <w:shd w:val="clear" w:color="auto" w:fill="F2F2F2"/>
          </w:tcPr>
          <w:p w:rsidR="007544CA" w:rsidRDefault="007544CA" w:rsidP="00133508">
            <w:pPr>
              <w:pStyle w:val="Box"/>
            </w:pPr>
            <w:r>
              <w:t xml:space="preserve">There are a number of design issues arising with regional business investment grants schemes. These were described in detail in </w:t>
            </w:r>
            <w:r w:rsidRPr="006A7337">
              <w:rPr>
                <w:i/>
              </w:rPr>
              <w:t>Trade &amp; Assistance Review 2010</w:t>
            </w:r>
            <w:r>
              <w:rPr>
                <w:i/>
              </w:rPr>
              <w:noBreakHyphen/>
            </w:r>
            <w:r w:rsidRPr="006A7337">
              <w:rPr>
                <w:i/>
              </w:rPr>
              <w:t>11</w:t>
            </w:r>
            <w:r>
              <w:t xml:space="preserve"> (pp. 78–87). Four criteria for a more efficient and effective program are briefly summarised below:</w:t>
            </w:r>
          </w:p>
          <w:p w:rsidR="007544CA" w:rsidRDefault="007544CA" w:rsidP="00133508">
            <w:pPr>
              <w:pStyle w:val="BoxListBullet"/>
              <w:spacing w:before="80"/>
            </w:pPr>
            <w:r>
              <w:t>Clarity of objective, along with a clear threshold for intervention is an important starting point for an effective intervention. Yet the threshold for a program to be seen as warranted is unclear, as can be the objectives. For instance, past principal (or sole) objectives have included: to absorb displaced workers; support local replacement manufacturing (which may or may not employ displaced workers); diversify the local area to non</w:t>
            </w:r>
            <w:r>
              <w:noBreakHyphen/>
              <w:t>manufacturing; and ‘enhance’ out of area manufacturing and/or non</w:t>
            </w:r>
            <w:r>
              <w:noBreakHyphen/>
              <w:t>manufacturing for the purpose of state economic growth generally. Some past programs have included multiple targets, some programs were silent on the objective, and others gave grants to projects that were not in the initially intended target group (</w:t>
            </w:r>
            <w:r w:rsidRPr="005213B4">
              <w:rPr>
                <w:i/>
              </w:rPr>
              <w:t>Trade &amp; Assistance Review</w:t>
            </w:r>
            <w:r>
              <w:rPr>
                <w:i/>
              </w:rPr>
              <w:t xml:space="preserve"> </w:t>
            </w:r>
            <w:r w:rsidRPr="005213B4">
              <w:rPr>
                <w:i/>
              </w:rPr>
              <w:t>2010</w:t>
            </w:r>
            <w:r w:rsidRPr="005213B4">
              <w:rPr>
                <w:i/>
              </w:rPr>
              <w:noBreakHyphen/>
              <w:t>11</w:t>
            </w:r>
            <w:r>
              <w:t xml:space="preserve">, p. 84). </w:t>
            </w:r>
          </w:p>
          <w:p w:rsidR="007544CA" w:rsidRDefault="007544CA" w:rsidP="00133508">
            <w:pPr>
              <w:pStyle w:val="BoxListBullet"/>
              <w:spacing w:before="80"/>
            </w:pPr>
            <w:r>
              <w:t>Coordination is needed between the levels of government to make the most of the public investment. For example, the Victorian Government recently instigated its own (additional) grants for manufacturing and auto components (Geelong and North Melbourne). Under the Australian Government’s Manufacturing Next Generation Investment Programmes (South Australia and Victoria) all except one the recipients of First Round offers for the Victorian stream were over 100 km (and up to 291 km) from Geelong. This ‘distant’ activity may reflect that the existing Geelong adjustment program has had three rounds and ‘exhausted’ local Geelong options.</w:t>
            </w:r>
          </w:p>
          <w:p w:rsidR="007544CA" w:rsidRDefault="007544CA" w:rsidP="00133508">
            <w:pPr>
              <w:pStyle w:val="BoxListBullet"/>
              <w:spacing w:before="80"/>
            </w:pPr>
            <w:r>
              <w:t xml:space="preserve">The subsidy should be limited to what is needed to make the investment in new business viable. Yet subsidy rates and sometimes levels are often fixed, and may well exceed what is needed. Most </w:t>
            </w:r>
            <w:r w:rsidRPr="00C06768">
              <w:t xml:space="preserve">grant recipients </w:t>
            </w:r>
            <w:r>
              <w:t xml:space="preserve">under past and current schemes </w:t>
            </w:r>
            <w:r w:rsidRPr="00C06768">
              <w:t>hav</w:t>
            </w:r>
            <w:r>
              <w:t>e</w:t>
            </w:r>
            <w:r w:rsidRPr="00C06768">
              <w:t xml:space="preserve"> received close to </w:t>
            </w:r>
            <w:r>
              <w:t xml:space="preserve">the full </w:t>
            </w:r>
            <w:proofErr w:type="spellStart"/>
            <w:r>
              <w:t>pre</w:t>
            </w:r>
            <w:r>
              <w:noBreakHyphen/>
              <w:t>set</w:t>
            </w:r>
            <w:proofErr w:type="spellEnd"/>
            <w:r>
              <w:t xml:space="preserve"> maximum co</w:t>
            </w:r>
            <w:r>
              <w:noBreakHyphen/>
              <w:t>contribution. The relatively high and pre</w:t>
            </w:r>
            <w:r>
              <w:noBreakHyphen/>
              <w:t xml:space="preserve">announced subsidy rate under existing (and past schemes) </w:t>
            </w:r>
            <w:r w:rsidRPr="00C06768">
              <w:t>is likely to have been a windfall gain for some</w:t>
            </w:r>
            <w:r>
              <w:t xml:space="preserve"> (or many) projects</w:t>
            </w:r>
            <w:r w:rsidRPr="00C06768">
              <w:t>.</w:t>
            </w:r>
            <w:r>
              <w:t xml:space="preserve"> A better design might be to use an auction approach as has been applied to exit assistance and buy</w:t>
            </w:r>
            <w:r>
              <w:noBreakHyphen/>
              <w:t>back programs in resource industries. For example, fisheries have used a ‘bid’ or ‘willingness to accept’ design in an attempt to reveal the minimum necessary government grant to induce the (exit) activity. (</w:t>
            </w:r>
            <w:r w:rsidRPr="005213B4">
              <w:rPr>
                <w:i/>
              </w:rPr>
              <w:t>Trade</w:t>
            </w:r>
            <w:r>
              <w:rPr>
                <w:i/>
              </w:rPr>
              <w:t xml:space="preserve"> </w:t>
            </w:r>
            <w:r w:rsidRPr="005213B4">
              <w:rPr>
                <w:i/>
              </w:rPr>
              <w:t>&amp; Assistance Review 2010</w:t>
            </w:r>
            <w:r w:rsidRPr="005213B4">
              <w:rPr>
                <w:i/>
              </w:rPr>
              <w:noBreakHyphen/>
              <w:t>11</w:t>
            </w:r>
            <w:r>
              <w:t>, pp. 87–92)</w:t>
            </w:r>
          </w:p>
          <w:p w:rsidR="007544CA" w:rsidRDefault="007544CA" w:rsidP="00133508">
            <w:pPr>
              <w:pStyle w:val="BoxListBullet"/>
              <w:spacing w:before="80"/>
            </w:pPr>
            <w:r>
              <w:t xml:space="preserve">The subsidy should not be limited to a particular industry segment or activity — doing so raises the cost of achieving any broader employment or economic activity objective. For example, the $155 million Growth Fund grants components target only manufacturing. Yet reviews of South Australia and Victoria commissioned in the wake of the announced foreclosure of automotive production identified significant growth opportunities in sectors like: advanced manufacturing; food and agriculture; health and biomedical; mining services; tourism, and education. </w:t>
            </w:r>
          </w:p>
          <w:p w:rsidR="007544CA" w:rsidRDefault="007544CA" w:rsidP="00133508">
            <w:pPr>
              <w:pStyle w:val="Box"/>
            </w:pPr>
            <w:r>
              <w:t xml:space="preserve">What constitutes the most effective (and efficient) design remains unclear. A comprehensive review is needed to determine: </w:t>
            </w:r>
          </w:p>
          <w:p w:rsidR="007544CA" w:rsidRDefault="007544CA" w:rsidP="00133508">
            <w:pPr>
              <w:pStyle w:val="BoxListBullet"/>
            </w:pPr>
            <w:r>
              <w:t xml:space="preserve">whether regional business investment schemes do assist displaced workers and regions to adjust by creating additional jobs </w:t>
            </w:r>
          </w:p>
          <w:p w:rsidR="007544CA" w:rsidRDefault="007544CA" w:rsidP="00133508">
            <w:pPr>
              <w:pStyle w:val="BoxListBullet"/>
            </w:pPr>
            <w:r>
              <w:t>the design parameters that give the greatest return on investment in terms of jobs created</w:t>
            </w:r>
          </w:p>
          <w:p w:rsidR="007544CA" w:rsidRDefault="007544CA" w:rsidP="00133508">
            <w:pPr>
              <w:pStyle w:val="BoxListBullet"/>
            </w:pPr>
            <w:r>
              <w:t>whether alternative programs, such as direct support for displaced workers to retrain, or regional infrastructure investment, are more efficient and effective in promoting regional recovery and assisting displaced workers to adjust.</w:t>
            </w:r>
          </w:p>
        </w:tc>
      </w:tr>
      <w:tr w:rsidR="007544CA" w:rsidTr="00133508">
        <w:trPr>
          <w:cantSplit/>
        </w:trPr>
        <w:tc>
          <w:tcPr>
            <w:tcW w:w="8771" w:type="dxa"/>
            <w:tcBorders>
              <w:top w:val="nil"/>
              <w:left w:val="nil"/>
              <w:bottom w:val="single" w:sz="6" w:space="0" w:color="78A22F"/>
              <w:right w:val="nil"/>
            </w:tcBorders>
            <w:shd w:val="clear" w:color="auto" w:fill="F2F2F2"/>
          </w:tcPr>
          <w:p w:rsidR="007544CA" w:rsidRDefault="007544CA">
            <w:pPr>
              <w:pStyle w:val="Box"/>
              <w:spacing w:before="0" w:line="120" w:lineRule="exact"/>
            </w:pPr>
          </w:p>
        </w:tc>
      </w:tr>
    </w:tbl>
    <w:p w:rsidR="007544CA" w:rsidRDefault="007544CA" w:rsidP="00133508">
      <w:pPr>
        <w:pStyle w:val="ListBullet"/>
      </w:pPr>
      <w:r>
        <w:lastRenderedPageBreak/>
        <w:t xml:space="preserve">The </w:t>
      </w:r>
      <w:r w:rsidRPr="003B65B1">
        <w:rPr>
          <w:i/>
        </w:rPr>
        <w:t>National Innovation and Science Agenda</w:t>
      </w:r>
      <w:r>
        <w:t xml:space="preserve"> (December 2015) subsequently announced a variety of new measures in these four areas (table 3.5). The new measures add to, rather than replace, numerous business innovation programs.</w:t>
      </w:r>
      <w:r>
        <w:rPr>
          <w:rStyle w:val="FootnoteReference"/>
        </w:rPr>
        <w:footnoteReference w:id="18"/>
      </w:r>
    </w:p>
    <w:p w:rsidR="007544CA" w:rsidRDefault="007544CA" w:rsidP="00133508">
      <w:pPr>
        <w:pStyle w:val="BodyText"/>
      </w:pPr>
      <w:r>
        <w:t>Some of the new innovation measures deliver direct financial support to business (although through the tax system rather than direct payments). This includes more generous tax depreciation for intangible assets (such as patents) and tax offsets for venture capital. These measures are traditionally included in industry assistance. However, the allocation of this assistance to specific industries can be difficult. The Commission has adopted the convention of allocating the assistance to the initial benefiting industry, which in the venture capital case is the finance industry. This is because information on the industries which receive venture capital is not readily available. It should also be noted that the selection of firms that benefit from the tax concessions to investors is left to the market. Ultimately, if the policy is successful in expanding the venture capital market, benefits to recipient businesses and industries are likely to be more widespread.</w:t>
      </w:r>
    </w:p>
    <w:p w:rsidR="007544CA" w:rsidRDefault="007544CA" w:rsidP="00133508">
      <w:pPr>
        <w:pStyle w:val="BodyText"/>
      </w:pPr>
      <w:r>
        <w:t>There are at least four new measures which support collaboration between industry and the research sector — the Industry Growth Centres, Innovations Connections programmes, a CSIRO Innovation Fund, and a Biomedical Translation Fund. Each targets different industries, types of firms (such as SMEs), and/or aspects of the collaboration and commercialisation process. While firms involved are required to make significant funding contributions, the public funding component of these measures is considered to be industry assistance. This is because the activities are intended to benefit private business, and support is selective to particular industries/firms rather than generally available.</w:t>
      </w:r>
    </w:p>
    <w:p w:rsidR="007544CA" w:rsidRDefault="007544CA" w:rsidP="00133508">
      <w:pPr>
        <w:pStyle w:val="BodyText"/>
      </w:pPr>
      <w:r>
        <w:t xml:space="preserve">The </w:t>
      </w:r>
      <w:r w:rsidRPr="008321E4">
        <w:rPr>
          <w:i/>
        </w:rPr>
        <w:t>Agendas</w:t>
      </w:r>
      <w:r>
        <w:t xml:space="preserve"> also have ‘non</w:t>
      </w:r>
      <w:r>
        <w:noBreakHyphen/>
        <w:t>industry streams’ dealing with education, skills, and the general business climate. While the benefits of these policies may flow through (more or less) to certain businesses and industries they are not industry assistance in the traditional direct and selective sense. To the extent that these initiatives improve the quality of the labour supply, reduce regulatory burdens and promote competition, they contribute to a climate conducive to innovation and improved competitiveness. While diffuse in effect, the importance of an accommodating general business climate in driving innovation and its diffusion should not be understated (PC </w:t>
      </w:r>
      <w:proofErr w:type="spellStart"/>
      <w:r>
        <w:t>2008a</w:t>
      </w:r>
      <w:proofErr w:type="spellEnd"/>
      <w:r>
        <w:t xml:space="preserve">, pp. 13–21). </w:t>
      </w: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Pr="001F256B" w:rsidRDefault="007544CA" w:rsidP="00133508">
            <w:pPr>
              <w:pStyle w:val="TableTitle"/>
            </w:pPr>
            <w:r>
              <w:rPr>
                <w:b w:val="0"/>
              </w:rPr>
              <w:lastRenderedPageBreak/>
              <w:t xml:space="preserve">Table </w:t>
            </w:r>
            <w:r>
              <w:rPr>
                <w:b w:val="0"/>
              </w:rPr>
              <w:fldChar w:fldCharType="begin" w:fldLock="1"/>
            </w:r>
            <w:r>
              <w:rPr>
                <w:b w:val="0"/>
              </w:rPr>
              <w:instrText xml:space="preserve"> COMMENTS  \* MERGEFORMAT </w:instrText>
            </w:r>
            <w:r>
              <w:rPr>
                <w:b w:val="0"/>
              </w:rPr>
              <w:fldChar w:fldCharType="separate"/>
            </w:r>
            <w:r>
              <w:rPr>
                <w:b w:val="0"/>
              </w:rPr>
              <w:t>3.</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5</w:t>
            </w:r>
            <w:r>
              <w:rPr>
                <w:b w:val="0"/>
              </w:rPr>
              <w:fldChar w:fldCharType="end"/>
            </w:r>
            <w:r>
              <w:tab/>
              <w:t>New support measures for business for innovation</w:t>
            </w:r>
            <w:r w:rsidDel="005277A4">
              <w:t xml:space="preserve"> </w:t>
            </w:r>
          </w:p>
        </w:tc>
      </w:tr>
      <w:tr w:rsidR="007544CA" w:rsidTr="0013350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699"/>
              <w:gridCol w:w="1417"/>
              <w:gridCol w:w="4371"/>
            </w:tblGrid>
            <w:tr w:rsidR="007544CA" w:rsidTr="00133508">
              <w:tc>
                <w:tcPr>
                  <w:tcW w:w="1590" w:type="pct"/>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r>
                    <w:t>Measure</w:t>
                  </w:r>
                </w:p>
              </w:tc>
              <w:tc>
                <w:tcPr>
                  <w:tcW w:w="835" w:type="pct"/>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r>
                    <w:t xml:space="preserve">Cost </w:t>
                  </w:r>
                </w:p>
              </w:tc>
              <w:tc>
                <w:tcPr>
                  <w:tcW w:w="2575" w:type="pct"/>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jc w:val="left"/>
                  </w:pPr>
                  <w:r>
                    <w:t>Nature of benefit to industry</w:t>
                  </w:r>
                </w:p>
              </w:tc>
            </w:tr>
            <w:tr w:rsidR="007544CA" w:rsidRPr="003668FE" w:rsidTr="00133508">
              <w:tc>
                <w:tcPr>
                  <w:tcW w:w="5000" w:type="pct"/>
                  <w:gridSpan w:val="3"/>
                </w:tcPr>
                <w:p w:rsidR="007544CA" w:rsidRPr="003668FE" w:rsidRDefault="007544CA" w:rsidP="00575350">
                  <w:pPr>
                    <w:pStyle w:val="TableBodyText"/>
                    <w:spacing w:before="80"/>
                    <w:ind w:right="28"/>
                    <w:jc w:val="left"/>
                    <w:rPr>
                      <w:b/>
                    </w:rPr>
                  </w:pPr>
                  <w:r w:rsidRPr="003668FE">
                    <w:rPr>
                      <w:b/>
                    </w:rPr>
                    <w:t>Direct</w:t>
                  </w:r>
                  <w:r>
                    <w:rPr>
                      <w:b/>
                    </w:rPr>
                    <w:t xml:space="preserve"> financial</w:t>
                  </w:r>
                  <w:r w:rsidRPr="003668FE">
                    <w:rPr>
                      <w:b/>
                    </w:rPr>
                    <w:t xml:space="preserve"> </w:t>
                  </w:r>
                  <w:r>
                    <w:rPr>
                      <w:b/>
                    </w:rPr>
                    <w:t>assistance</w:t>
                  </w:r>
                </w:p>
              </w:tc>
            </w:tr>
            <w:tr w:rsidR="007544CA" w:rsidTr="00133508">
              <w:tc>
                <w:tcPr>
                  <w:tcW w:w="1590" w:type="pct"/>
                </w:tcPr>
                <w:p w:rsidR="007544CA" w:rsidRDefault="007544CA" w:rsidP="00133508">
                  <w:pPr>
                    <w:pStyle w:val="TableBodyText"/>
                    <w:jc w:val="left"/>
                  </w:pPr>
                  <w:r>
                    <w:t>More favourable intellectual property and other intangible asset depreciation</w:t>
                  </w:r>
                </w:p>
              </w:tc>
              <w:tc>
                <w:tcPr>
                  <w:tcW w:w="835" w:type="pct"/>
                </w:tcPr>
                <w:p w:rsidR="007544CA" w:rsidRDefault="007544CA" w:rsidP="00133508">
                  <w:pPr>
                    <w:pStyle w:val="TableBodyText"/>
                    <w:jc w:val="left"/>
                  </w:pPr>
                  <w:r>
                    <w:t>$80 million</w:t>
                  </w:r>
                </w:p>
              </w:tc>
              <w:tc>
                <w:tcPr>
                  <w:tcW w:w="2575" w:type="pct"/>
                </w:tcPr>
                <w:p w:rsidR="007544CA" w:rsidRDefault="007544CA" w:rsidP="00133508">
                  <w:pPr>
                    <w:pStyle w:val="TableBodyText"/>
                    <w:ind w:right="28"/>
                    <w:jc w:val="left"/>
                  </w:pPr>
                  <w:r>
                    <w:t>Lowers taxable profit</w:t>
                  </w:r>
                </w:p>
              </w:tc>
            </w:tr>
            <w:tr w:rsidR="007544CA" w:rsidTr="00133508">
              <w:tc>
                <w:tcPr>
                  <w:tcW w:w="1590" w:type="pct"/>
                </w:tcPr>
                <w:p w:rsidR="007544CA" w:rsidRDefault="007544CA" w:rsidP="00133508">
                  <w:pPr>
                    <w:pStyle w:val="TableBodyText"/>
                    <w:jc w:val="left"/>
                  </w:pPr>
                  <w:r>
                    <w:t>Tax incentives for early stage investors</w:t>
                  </w:r>
                </w:p>
              </w:tc>
              <w:tc>
                <w:tcPr>
                  <w:tcW w:w="835" w:type="pct"/>
                </w:tcPr>
                <w:p w:rsidR="007544CA" w:rsidRDefault="007544CA" w:rsidP="00133508">
                  <w:pPr>
                    <w:pStyle w:val="TableBodyText"/>
                    <w:jc w:val="left"/>
                  </w:pPr>
                  <w:r>
                    <w:t>$106 million</w:t>
                  </w:r>
                </w:p>
              </w:tc>
              <w:tc>
                <w:tcPr>
                  <w:tcW w:w="2575" w:type="pct"/>
                </w:tcPr>
                <w:p w:rsidR="007544CA" w:rsidRDefault="007544CA" w:rsidP="00133508">
                  <w:pPr>
                    <w:pStyle w:val="TableBodyText"/>
                    <w:ind w:right="28"/>
                    <w:jc w:val="left"/>
                  </w:pPr>
                  <w:r>
                    <w:t>Higher after</w:t>
                  </w:r>
                  <w:r>
                    <w:noBreakHyphen/>
                    <w:t>tax return to venture capital investors from a 20 per cent non</w:t>
                  </w:r>
                  <w:r>
                    <w:noBreakHyphen/>
                    <w:t>refundable tax offset on their investment as well as a capital gains tax exemption.</w:t>
                  </w:r>
                  <w:r>
                    <w:br/>
                    <w:t xml:space="preserve">Indirect benefit to firms accessing venture capital markets as it lowers the cost of capital relative to what would have been the case. </w:t>
                  </w:r>
                </w:p>
              </w:tc>
            </w:tr>
            <w:tr w:rsidR="007544CA" w:rsidTr="00133508">
              <w:tc>
                <w:tcPr>
                  <w:tcW w:w="1590" w:type="pct"/>
                </w:tcPr>
                <w:p w:rsidR="007544CA" w:rsidRDefault="007544CA" w:rsidP="00133508">
                  <w:pPr>
                    <w:pStyle w:val="TableBodyText"/>
                    <w:jc w:val="left"/>
                  </w:pPr>
                  <w:r>
                    <w:t xml:space="preserve">New arrangements for venture capital investment </w:t>
                  </w:r>
                </w:p>
              </w:tc>
              <w:tc>
                <w:tcPr>
                  <w:tcW w:w="835" w:type="pct"/>
                </w:tcPr>
                <w:p w:rsidR="007544CA" w:rsidRDefault="007544CA" w:rsidP="00133508">
                  <w:pPr>
                    <w:pStyle w:val="TableBodyText"/>
                    <w:jc w:val="left"/>
                  </w:pPr>
                  <w:r>
                    <w:t>Not quantified</w:t>
                  </w:r>
                </w:p>
              </w:tc>
              <w:tc>
                <w:tcPr>
                  <w:tcW w:w="2575" w:type="pct"/>
                </w:tcPr>
                <w:p w:rsidR="007544CA" w:rsidRDefault="007544CA" w:rsidP="00133508">
                  <w:pPr>
                    <w:pStyle w:val="TableBodyText"/>
                    <w:ind w:right="28"/>
                    <w:jc w:val="left"/>
                  </w:pPr>
                  <w:r>
                    <w:t>Higher after</w:t>
                  </w:r>
                  <w:r>
                    <w:noBreakHyphen/>
                    <w:t>tax return to venture capital investors. A 10 per cent non</w:t>
                  </w:r>
                  <w:r>
                    <w:noBreakHyphen/>
                    <w:t>refundable tax offset for capital in Early Stage Venture Capital Partnerships (</w:t>
                  </w:r>
                  <w:proofErr w:type="spellStart"/>
                  <w:r>
                    <w:t>ESVCLPs</w:t>
                  </w:r>
                  <w:proofErr w:type="spellEnd"/>
                  <w:r>
                    <w:t>) and an increased cap on committed capital from $</w:t>
                  </w:r>
                  <w:proofErr w:type="spellStart"/>
                  <w:r>
                    <w:t>100m</w:t>
                  </w:r>
                  <w:proofErr w:type="spellEnd"/>
                  <w:r>
                    <w:t xml:space="preserve"> to $</w:t>
                  </w:r>
                  <w:proofErr w:type="spellStart"/>
                  <w:r>
                    <w:t>200m</w:t>
                  </w:r>
                  <w:proofErr w:type="spellEnd"/>
                  <w:r>
                    <w:t xml:space="preserve"> for new </w:t>
                  </w:r>
                  <w:proofErr w:type="spellStart"/>
                  <w:r>
                    <w:t>ESVCLPs</w:t>
                  </w:r>
                  <w:proofErr w:type="spellEnd"/>
                  <w:r>
                    <w:t>.</w:t>
                  </w:r>
                  <w:r>
                    <w:br/>
                    <w:t xml:space="preserve">Indirectly benefits innovative businesses which attract investment. </w:t>
                  </w:r>
                </w:p>
              </w:tc>
            </w:tr>
            <w:tr w:rsidR="007544CA" w:rsidTr="00133508">
              <w:tc>
                <w:tcPr>
                  <w:tcW w:w="5000" w:type="pct"/>
                  <w:gridSpan w:val="3"/>
                </w:tcPr>
                <w:p w:rsidR="007544CA" w:rsidRPr="003668FE" w:rsidRDefault="007544CA" w:rsidP="00575350">
                  <w:pPr>
                    <w:pStyle w:val="TableBodyText"/>
                    <w:ind w:right="28"/>
                    <w:jc w:val="left"/>
                    <w:rPr>
                      <w:b/>
                    </w:rPr>
                  </w:pPr>
                  <w:r>
                    <w:rPr>
                      <w:b/>
                    </w:rPr>
                    <w:t xml:space="preserve">Indirect industry assistance </w:t>
                  </w:r>
                </w:p>
              </w:tc>
            </w:tr>
            <w:tr w:rsidR="007544CA" w:rsidTr="00133508">
              <w:tc>
                <w:tcPr>
                  <w:tcW w:w="1590" w:type="pct"/>
                </w:tcPr>
                <w:p w:rsidR="007544CA" w:rsidRDefault="007544CA" w:rsidP="00133508">
                  <w:pPr>
                    <w:pStyle w:val="TableBodyText"/>
                    <w:jc w:val="left"/>
                  </w:pPr>
                  <w:r>
                    <w:t>Industry Growth Centres — collaborative partnerships between industries and research sector</w:t>
                  </w:r>
                </w:p>
              </w:tc>
              <w:tc>
                <w:tcPr>
                  <w:tcW w:w="835" w:type="pct"/>
                </w:tcPr>
                <w:p w:rsidR="007544CA" w:rsidRDefault="007544CA" w:rsidP="00133508">
                  <w:pPr>
                    <w:pStyle w:val="TableBodyText"/>
                    <w:jc w:val="left"/>
                  </w:pPr>
                  <w:r>
                    <w:t>$188.5 million</w:t>
                  </w:r>
                </w:p>
              </w:tc>
              <w:tc>
                <w:tcPr>
                  <w:tcW w:w="2575" w:type="pct"/>
                </w:tcPr>
                <w:p w:rsidR="007544CA" w:rsidRDefault="007544CA" w:rsidP="00133508">
                  <w:pPr>
                    <w:pStyle w:val="TableBodyText"/>
                    <w:ind w:right="28"/>
                    <w:jc w:val="left"/>
                  </w:pPr>
                  <w:r>
                    <w:t>Government funds part of R&amp;D which is intended to benefit industry</w:t>
                  </w:r>
                </w:p>
              </w:tc>
            </w:tr>
            <w:tr w:rsidR="007544CA" w:rsidTr="00133508">
              <w:tc>
                <w:tcPr>
                  <w:tcW w:w="1590" w:type="pct"/>
                </w:tcPr>
                <w:p w:rsidR="007544CA" w:rsidRDefault="007544CA" w:rsidP="00133508">
                  <w:pPr>
                    <w:pStyle w:val="TableBodyText"/>
                    <w:jc w:val="left"/>
                  </w:pPr>
                  <w:r>
                    <w:t xml:space="preserve">Innovation Connections </w:t>
                  </w:r>
                  <w:proofErr w:type="spellStart"/>
                  <w:r>
                    <w:t>programme</w:t>
                  </w:r>
                  <w:proofErr w:type="spellEnd"/>
                  <w:r>
                    <w:t xml:space="preserve"> — Industry</w:t>
                  </w:r>
                  <w:r>
                    <w:noBreakHyphen/>
                    <w:t>led collaborations between researchers and SMEs</w:t>
                  </w:r>
                </w:p>
              </w:tc>
              <w:tc>
                <w:tcPr>
                  <w:tcW w:w="835" w:type="pct"/>
                </w:tcPr>
                <w:p w:rsidR="007544CA" w:rsidRDefault="007544CA" w:rsidP="00133508">
                  <w:pPr>
                    <w:pStyle w:val="TableBodyText"/>
                    <w:jc w:val="left"/>
                  </w:pPr>
                  <w:r>
                    <w:t>$26 million</w:t>
                  </w:r>
                </w:p>
              </w:tc>
              <w:tc>
                <w:tcPr>
                  <w:tcW w:w="2575" w:type="pct"/>
                </w:tcPr>
                <w:p w:rsidR="007544CA" w:rsidRDefault="007544CA" w:rsidP="00133508">
                  <w:pPr>
                    <w:pStyle w:val="TableBodyText"/>
                    <w:ind w:right="28"/>
                    <w:jc w:val="left"/>
                  </w:pPr>
                  <w:r>
                    <w:t>Government funds part of R&amp;D which is intended to benefit industry</w:t>
                  </w:r>
                  <w:r w:rsidDel="005277A4">
                    <w:t xml:space="preserve"> </w:t>
                  </w:r>
                </w:p>
              </w:tc>
            </w:tr>
            <w:tr w:rsidR="007544CA" w:rsidTr="00133508">
              <w:tc>
                <w:tcPr>
                  <w:tcW w:w="1590" w:type="pct"/>
                </w:tcPr>
                <w:p w:rsidR="007544CA" w:rsidRDefault="007544CA" w:rsidP="00133508">
                  <w:pPr>
                    <w:pStyle w:val="TableBodyText"/>
                    <w:jc w:val="left"/>
                  </w:pPr>
                  <w:r>
                    <w:t>CSIRO Innovation Fund</w:t>
                  </w:r>
                </w:p>
              </w:tc>
              <w:tc>
                <w:tcPr>
                  <w:tcW w:w="835" w:type="pct"/>
                </w:tcPr>
                <w:p w:rsidR="007544CA" w:rsidRDefault="007544CA" w:rsidP="00133508">
                  <w:pPr>
                    <w:pStyle w:val="TableBodyText"/>
                    <w:jc w:val="left"/>
                  </w:pPr>
                  <w:r>
                    <w:t>$70 </w:t>
                  </w:r>
                  <w:r w:rsidRPr="00C80962">
                    <w:t>million</w:t>
                  </w:r>
                  <w:r>
                    <w:rPr>
                      <w:rStyle w:val="NoteLabel"/>
                    </w:rPr>
                    <w:t xml:space="preserve"> </w:t>
                  </w:r>
                  <w:r w:rsidRPr="007C0F9A">
                    <w:rPr>
                      <w:rStyle w:val="NoteLabel"/>
                    </w:rPr>
                    <w:t>a</w:t>
                  </w:r>
                </w:p>
              </w:tc>
              <w:tc>
                <w:tcPr>
                  <w:tcW w:w="2575" w:type="pct"/>
                </w:tcPr>
                <w:p w:rsidR="007544CA" w:rsidRDefault="007544CA" w:rsidP="00133508">
                  <w:pPr>
                    <w:pStyle w:val="TableBodyText"/>
                    <w:ind w:right="28"/>
                    <w:jc w:val="left"/>
                  </w:pPr>
                  <w:r>
                    <w:t>Government co</w:t>
                  </w:r>
                  <w:r>
                    <w:noBreakHyphen/>
                    <w:t xml:space="preserve">funds technology </w:t>
                  </w:r>
                  <w:proofErr w:type="spellStart"/>
                  <w:r>
                    <w:t>spin</w:t>
                  </w:r>
                  <w:r>
                    <w:noBreakHyphen/>
                    <w:t>off</w:t>
                  </w:r>
                  <w:proofErr w:type="spellEnd"/>
                  <w:r>
                    <w:t xml:space="preserve"> companies. Expected Fund capital about $</w:t>
                  </w:r>
                  <w:proofErr w:type="spellStart"/>
                  <w:r>
                    <w:t>200m</w:t>
                  </w:r>
                  <w:proofErr w:type="spellEnd"/>
                </w:p>
              </w:tc>
            </w:tr>
            <w:tr w:rsidR="007544CA" w:rsidTr="00133508">
              <w:tc>
                <w:tcPr>
                  <w:tcW w:w="1590" w:type="pct"/>
                </w:tcPr>
                <w:p w:rsidR="007544CA" w:rsidRDefault="007544CA" w:rsidP="00133508">
                  <w:pPr>
                    <w:pStyle w:val="TableBodyText"/>
                    <w:jc w:val="left"/>
                  </w:pPr>
                  <w:r>
                    <w:t>Biomedical Translation Fund</w:t>
                  </w:r>
                </w:p>
              </w:tc>
              <w:tc>
                <w:tcPr>
                  <w:tcW w:w="835" w:type="pct"/>
                </w:tcPr>
                <w:p w:rsidR="007544CA" w:rsidRDefault="007544CA" w:rsidP="00133508">
                  <w:pPr>
                    <w:pStyle w:val="TableBodyText"/>
                    <w:jc w:val="left"/>
                  </w:pPr>
                  <w:r>
                    <w:t>$125 million</w:t>
                  </w:r>
                  <w:r>
                    <w:rPr>
                      <w:rStyle w:val="NoteLabel"/>
                    </w:rPr>
                    <w:t xml:space="preserve"> b</w:t>
                  </w:r>
                </w:p>
              </w:tc>
              <w:tc>
                <w:tcPr>
                  <w:tcW w:w="2575" w:type="pct"/>
                </w:tcPr>
                <w:p w:rsidR="007544CA" w:rsidRDefault="007544CA" w:rsidP="00133508">
                  <w:pPr>
                    <w:pStyle w:val="TableBodyText"/>
                    <w:ind w:right="28"/>
                    <w:jc w:val="left"/>
                  </w:pPr>
                  <w:r>
                    <w:t>Government co</w:t>
                  </w:r>
                  <w:r>
                    <w:noBreakHyphen/>
                    <w:t>funds medical research commercialisation. Expected Fund capital about</w:t>
                  </w:r>
                  <w:r w:rsidDel="00A95322">
                    <w:t xml:space="preserve"> </w:t>
                  </w:r>
                  <w:r>
                    <w:t>$</w:t>
                  </w:r>
                  <w:proofErr w:type="spellStart"/>
                  <w:r>
                    <w:t>250m</w:t>
                  </w:r>
                  <w:proofErr w:type="spellEnd"/>
                </w:p>
              </w:tc>
            </w:tr>
            <w:tr w:rsidR="007544CA" w:rsidTr="00133508">
              <w:tc>
                <w:tcPr>
                  <w:tcW w:w="1590" w:type="pct"/>
                </w:tcPr>
                <w:p w:rsidR="007544CA" w:rsidRDefault="007544CA" w:rsidP="00133508">
                  <w:pPr>
                    <w:pStyle w:val="TableBodyText"/>
                    <w:jc w:val="left"/>
                  </w:pPr>
                  <w:r>
                    <w:t>Continuation of Australian Research Council (ARC) Linkage Projects scheme</w:t>
                  </w:r>
                </w:p>
              </w:tc>
              <w:tc>
                <w:tcPr>
                  <w:tcW w:w="835" w:type="pct"/>
                </w:tcPr>
                <w:p w:rsidR="007544CA" w:rsidRDefault="007544CA" w:rsidP="00133508">
                  <w:pPr>
                    <w:pStyle w:val="TableBodyText"/>
                    <w:jc w:val="left"/>
                  </w:pPr>
                  <w:r>
                    <w:t>nil</w:t>
                  </w:r>
                </w:p>
              </w:tc>
              <w:tc>
                <w:tcPr>
                  <w:tcW w:w="2575" w:type="pct"/>
                </w:tcPr>
                <w:p w:rsidR="007544CA" w:rsidRDefault="007544CA" w:rsidP="00133508">
                  <w:pPr>
                    <w:pStyle w:val="TableBodyText"/>
                    <w:ind w:right="28"/>
                    <w:jc w:val="left"/>
                  </w:pPr>
                  <w:r>
                    <w:t>Government funds part of R&amp;D which is intended to benefit industry</w:t>
                  </w:r>
                </w:p>
              </w:tc>
            </w:tr>
            <w:tr w:rsidR="007544CA" w:rsidTr="00133508">
              <w:tc>
                <w:tcPr>
                  <w:tcW w:w="1590" w:type="pct"/>
                </w:tcPr>
                <w:p w:rsidR="007544CA" w:rsidRDefault="007544CA" w:rsidP="00133508">
                  <w:pPr>
                    <w:pStyle w:val="TableBodyText"/>
                    <w:jc w:val="left"/>
                  </w:pPr>
                  <w:r>
                    <w:t>Incubator Support Programme</w:t>
                  </w:r>
                </w:p>
              </w:tc>
              <w:tc>
                <w:tcPr>
                  <w:tcW w:w="835" w:type="pct"/>
                </w:tcPr>
                <w:p w:rsidR="007544CA" w:rsidRDefault="007544CA" w:rsidP="00133508">
                  <w:pPr>
                    <w:pStyle w:val="TableBodyText"/>
                    <w:jc w:val="left"/>
                  </w:pPr>
                  <w:r>
                    <w:t>$8 million</w:t>
                  </w:r>
                </w:p>
              </w:tc>
              <w:tc>
                <w:tcPr>
                  <w:tcW w:w="2575" w:type="pct"/>
                </w:tcPr>
                <w:p w:rsidR="007544CA" w:rsidRDefault="007544CA" w:rsidP="00133508">
                  <w:pPr>
                    <w:pStyle w:val="TableBodyText"/>
                    <w:ind w:right="28"/>
                    <w:jc w:val="left"/>
                  </w:pPr>
                  <w:r>
                    <w:t>Access for start</w:t>
                  </w:r>
                  <w:r>
                    <w:noBreakHyphen/>
                    <w:t>ups to resources, knowledge and networks. Cost saving for recipient firms.</w:t>
                  </w:r>
                </w:p>
              </w:tc>
            </w:tr>
            <w:tr w:rsidR="007544CA" w:rsidTr="00133508">
              <w:tc>
                <w:tcPr>
                  <w:tcW w:w="1590" w:type="pct"/>
                </w:tcPr>
                <w:p w:rsidR="007544CA" w:rsidRDefault="007544CA" w:rsidP="00133508">
                  <w:pPr>
                    <w:pStyle w:val="TableBodyText"/>
                    <w:jc w:val="left"/>
                  </w:pPr>
                  <w:r>
                    <w:t>Global Innovation Strategy</w:t>
                  </w:r>
                </w:p>
              </w:tc>
              <w:tc>
                <w:tcPr>
                  <w:tcW w:w="835" w:type="pct"/>
                </w:tcPr>
                <w:p w:rsidR="007544CA" w:rsidRDefault="007544CA" w:rsidP="00133508">
                  <w:pPr>
                    <w:pStyle w:val="TableBodyText"/>
                    <w:jc w:val="left"/>
                  </w:pPr>
                  <w:r>
                    <w:t>$36 million</w:t>
                  </w:r>
                </w:p>
              </w:tc>
              <w:tc>
                <w:tcPr>
                  <w:tcW w:w="2575" w:type="pct"/>
                </w:tcPr>
                <w:p w:rsidR="007544CA" w:rsidRDefault="007544CA" w:rsidP="00133508">
                  <w:pPr>
                    <w:pStyle w:val="TableBodyText"/>
                    <w:ind w:right="28"/>
                    <w:jc w:val="left"/>
                  </w:pPr>
                  <w:r>
                    <w:t>Physical space in global innovation hotspots and seed funding to collaborate with international businesses and researchers. Cost saving for recipient firms.</w:t>
                  </w:r>
                </w:p>
              </w:tc>
            </w:tr>
            <w:tr w:rsidR="007544CA" w:rsidRPr="00436049" w:rsidTr="00133508">
              <w:tc>
                <w:tcPr>
                  <w:tcW w:w="5000" w:type="pct"/>
                  <w:gridSpan w:val="3"/>
                </w:tcPr>
                <w:p w:rsidR="007544CA" w:rsidRPr="00436049" w:rsidRDefault="007544CA" w:rsidP="00133508">
                  <w:pPr>
                    <w:pStyle w:val="TableBodyText"/>
                    <w:spacing w:before="120"/>
                    <w:ind w:right="28"/>
                    <w:jc w:val="left"/>
                    <w:rPr>
                      <w:b/>
                    </w:rPr>
                  </w:pPr>
                  <w:r>
                    <w:rPr>
                      <w:b/>
                    </w:rPr>
                    <w:t xml:space="preserve">Not treated as industry assistance </w:t>
                  </w:r>
                </w:p>
              </w:tc>
            </w:tr>
            <w:tr w:rsidR="007544CA" w:rsidTr="00133508">
              <w:tc>
                <w:tcPr>
                  <w:tcW w:w="1590" w:type="pct"/>
                </w:tcPr>
                <w:p w:rsidR="007544CA" w:rsidRDefault="007544CA" w:rsidP="00133508">
                  <w:pPr>
                    <w:pStyle w:val="TableBodyText"/>
                    <w:jc w:val="left"/>
                  </w:pPr>
                  <w:r>
                    <w:t>Improve taxation arrangements for Employee Share Schemes</w:t>
                  </w:r>
                </w:p>
              </w:tc>
              <w:tc>
                <w:tcPr>
                  <w:tcW w:w="835" w:type="pct"/>
                </w:tcPr>
                <w:p w:rsidR="007544CA" w:rsidRDefault="007544CA" w:rsidP="00133508">
                  <w:pPr>
                    <w:pStyle w:val="TableBodyText"/>
                    <w:jc w:val="left"/>
                  </w:pPr>
                  <w:r>
                    <w:t>$200 million</w:t>
                  </w:r>
                </w:p>
              </w:tc>
              <w:tc>
                <w:tcPr>
                  <w:tcW w:w="2575" w:type="pct"/>
                </w:tcPr>
                <w:p w:rsidR="007544CA" w:rsidRDefault="007544CA" w:rsidP="00133508">
                  <w:pPr>
                    <w:pStyle w:val="TableBodyText"/>
                    <w:ind w:right="28"/>
                    <w:jc w:val="left"/>
                  </w:pPr>
                  <w:r>
                    <w:t>Employee pays less tax upfront on free share options. Indirectly helps business with staff acquisition</w:t>
                  </w:r>
                </w:p>
              </w:tc>
            </w:tr>
            <w:tr w:rsidR="007544CA" w:rsidTr="00133508">
              <w:tc>
                <w:tcPr>
                  <w:tcW w:w="1590" w:type="pct"/>
                </w:tcPr>
                <w:p w:rsidR="007544CA" w:rsidRDefault="007544CA" w:rsidP="00133508">
                  <w:pPr>
                    <w:pStyle w:val="TableBodyText"/>
                    <w:jc w:val="left"/>
                  </w:pPr>
                  <w:r>
                    <w:t>Improved bankruptcy and solvency laws</w:t>
                  </w:r>
                </w:p>
              </w:tc>
              <w:tc>
                <w:tcPr>
                  <w:tcW w:w="835" w:type="pct"/>
                </w:tcPr>
                <w:p w:rsidR="007544CA" w:rsidRDefault="007544CA" w:rsidP="00133508">
                  <w:pPr>
                    <w:pStyle w:val="TableBodyText"/>
                    <w:jc w:val="left"/>
                  </w:pPr>
                  <w:r>
                    <w:t>nil</w:t>
                  </w:r>
                </w:p>
              </w:tc>
              <w:tc>
                <w:tcPr>
                  <w:tcW w:w="2575" w:type="pct"/>
                </w:tcPr>
                <w:p w:rsidR="007544CA" w:rsidRDefault="007544CA" w:rsidP="00133508">
                  <w:pPr>
                    <w:pStyle w:val="TableBodyText"/>
                    <w:ind w:right="28"/>
                    <w:jc w:val="left"/>
                  </w:pPr>
                  <w:r>
                    <w:t>Applies generally rather than selectively, and is about improving the market function</w:t>
                  </w:r>
                </w:p>
              </w:tc>
            </w:tr>
            <w:tr w:rsidR="007544CA" w:rsidTr="00133508">
              <w:tc>
                <w:tcPr>
                  <w:tcW w:w="1590" w:type="pct"/>
                </w:tcPr>
                <w:p w:rsidR="007544CA" w:rsidRDefault="007544CA" w:rsidP="00133508">
                  <w:pPr>
                    <w:pStyle w:val="TableBodyText"/>
                    <w:jc w:val="left"/>
                  </w:pPr>
                  <w:r>
                    <w:t>Access to company losses — relaxation of the ‘same business test’</w:t>
                  </w:r>
                </w:p>
              </w:tc>
              <w:tc>
                <w:tcPr>
                  <w:tcW w:w="835" w:type="pct"/>
                </w:tcPr>
                <w:p w:rsidR="007544CA" w:rsidRDefault="007544CA" w:rsidP="00133508">
                  <w:pPr>
                    <w:pStyle w:val="TableBodyText"/>
                    <w:jc w:val="left"/>
                  </w:pPr>
                  <w:r>
                    <w:t>Not quantified</w:t>
                  </w:r>
                </w:p>
              </w:tc>
              <w:tc>
                <w:tcPr>
                  <w:tcW w:w="2575" w:type="pct"/>
                </w:tcPr>
                <w:p w:rsidR="007544CA" w:rsidRDefault="007544CA" w:rsidP="00133508">
                  <w:pPr>
                    <w:pStyle w:val="TableBodyText"/>
                    <w:ind w:right="28"/>
                    <w:jc w:val="left"/>
                  </w:pPr>
                  <w:r>
                    <w:t>Lower taxable profit.  Applies generally rather than selectively</w:t>
                  </w:r>
                </w:p>
              </w:tc>
            </w:tr>
          </w:tbl>
          <w:p w:rsidR="007544CA" w:rsidRDefault="007544CA" w:rsidP="00133508">
            <w:pPr>
              <w:pStyle w:val="Box"/>
            </w:pP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Note"/>
              <w:rPr>
                <w:i/>
              </w:rPr>
            </w:pPr>
            <w:r w:rsidRPr="008E77FE">
              <w:rPr>
                <w:rStyle w:val="NoteLabel"/>
              </w:rPr>
              <w:t>a</w:t>
            </w:r>
            <w:r>
              <w:t xml:space="preserve"> The Agenda funding table reports $</w:t>
            </w:r>
            <w:proofErr w:type="spellStart"/>
            <w:r>
              <w:t>15m</w:t>
            </w:r>
            <w:proofErr w:type="spellEnd"/>
            <w:r>
              <w:t xml:space="preserve"> over the four year forward estimates, but the footnotes (and web material) report $</w:t>
            </w:r>
            <w:proofErr w:type="spellStart"/>
            <w:r>
              <w:t>70m</w:t>
            </w:r>
            <w:proofErr w:type="spellEnd"/>
            <w:r>
              <w:t xml:space="preserve">.  </w:t>
            </w:r>
            <w:r>
              <w:rPr>
                <w:rStyle w:val="NoteLabel"/>
              </w:rPr>
              <w:t>b</w:t>
            </w:r>
            <w:r>
              <w:t xml:space="preserve"> The Agenda funding table reports $</w:t>
            </w:r>
            <w:proofErr w:type="spellStart"/>
            <w:r>
              <w:t>10m</w:t>
            </w:r>
            <w:proofErr w:type="spellEnd"/>
            <w:r>
              <w:t xml:space="preserve"> over the four year forward estimates, but the program’s web material reports it is being funded by a $</w:t>
            </w:r>
            <w:proofErr w:type="spellStart"/>
            <w:r>
              <w:t>125m</w:t>
            </w:r>
            <w:proofErr w:type="spellEnd"/>
            <w:r>
              <w:t xml:space="preserve"> reduction in the capital contributions to the Medical Research Future Fund</w:t>
            </w:r>
          </w:p>
        </w:tc>
      </w:tr>
      <w:tr w:rsidR="007544CA" w:rsidTr="00133508">
        <w:trPr>
          <w:cantSplit/>
        </w:trPr>
        <w:tc>
          <w:tcPr>
            <w:tcW w:w="8771" w:type="dxa"/>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bl>
    <w:p w:rsidR="007544CA" w:rsidRDefault="007544CA" w:rsidP="00575350">
      <w:pPr>
        <w:pStyle w:val="BodyText"/>
        <w:spacing w:before="0"/>
      </w:pPr>
    </w:p>
    <w:p w:rsidR="007544CA" w:rsidRDefault="007544CA" w:rsidP="007544CA">
      <w:pPr>
        <w:sectPr w:rsidR="007544CA" w:rsidSect="007544CA">
          <w:headerReference w:type="even" r:id="rId30"/>
          <w:headerReference w:type="default" r:id="rId31"/>
          <w:footerReference w:type="even" r:id="rId32"/>
          <w:footerReference w:type="default" r:id="rId33"/>
          <w:type w:val="oddPage"/>
          <w:pgSz w:w="11907" w:h="16840" w:code="9"/>
          <w:pgMar w:top="1985" w:right="1304" w:bottom="1247" w:left="1814" w:header="1701" w:footer="397" w:gutter="0"/>
          <w:pgNumType w:chapSep="period"/>
          <w:cols w:space="720"/>
          <w:docGrid w:linePitch="326"/>
        </w:sectPr>
      </w:pPr>
    </w:p>
    <w:p w:rsidR="007544CA" w:rsidRDefault="007544CA" w:rsidP="001A47C2">
      <w:pPr>
        <w:pStyle w:val="Heading1"/>
        <w:spacing w:before="0" w:after="1320"/>
      </w:pPr>
      <w:r>
        <w:lastRenderedPageBreak/>
        <w:t>4</w:t>
      </w:r>
      <w:r>
        <w:tab/>
        <w:t>Trade policy developments</w:t>
      </w:r>
    </w:p>
    <w:p w:rsidR="007544CA" w:rsidRDefault="007544CA" w:rsidP="00120072">
      <w:pPr>
        <w:pStyle w:val="BodyText"/>
      </w:pPr>
      <w:r>
        <w:t>This chapter selectively reports on the following developments in Australia’s trade policy:</w:t>
      </w:r>
    </w:p>
    <w:p w:rsidR="007544CA" w:rsidRDefault="007544CA" w:rsidP="00133508">
      <w:pPr>
        <w:pStyle w:val="ListBullet"/>
      </w:pPr>
      <w:r>
        <w:t>various trade agreement negotiations and conclusions since May 2015 (section 4.1)</w:t>
      </w:r>
    </w:p>
    <w:p w:rsidR="007544CA" w:rsidRDefault="007544CA" w:rsidP="00133508">
      <w:pPr>
        <w:pStyle w:val="ListBullet"/>
      </w:pPr>
      <w:r>
        <w:t>the final arbitration in Australia’s favour of the investor</w:t>
      </w:r>
      <w:r>
        <w:noBreakHyphen/>
        <w:t>state dispute in relation to tobacco plain packaging (section 4.2)</w:t>
      </w:r>
    </w:p>
    <w:p w:rsidR="007544CA" w:rsidRDefault="007544CA" w:rsidP="00133508">
      <w:pPr>
        <w:pStyle w:val="ListBullet"/>
      </w:pPr>
      <w:r w:rsidRPr="00B523FF">
        <w:t xml:space="preserve">an economic stocktake of recent </w:t>
      </w:r>
      <w:proofErr w:type="spellStart"/>
      <w:r w:rsidRPr="00B523FF">
        <w:t>anti</w:t>
      </w:r>
      <w:r>
        <w:noBreakHyphen/>
      </w:r>
      <w:r w:rsidRPr="00B523FF">
        <w:t>dumping</w:t>
      </w:r>
      <w:proofErr w:type="spellEnd"/>
      <w:r w:rsidRPr="00B523FF">
        <w:t xml:space="preserve"> activity and the changes to Australia's </w:t>
      </w:r>
      <w:proofErr w:type="spellStart"/>
      <w:r w:rsidRPr="00B523FF">
        <w:t>anti</w:t>
      </w:r>
      <w:r>
        <w:noBreakHyphen/>
      </w:r>
      <w:r w:rsidRPr="00B523FF">
        <w:t>dumping</w:t>
      </w:r>
      <w:proofErr w:type="spellEnd"/>
      <w:r w:rsidRPr="00B523FF">
        <w:t xml:space="preserve"> system since the Commission's 2009 inquiry</w:t>
      </w:r>
      <w:r>
        <w:t xml:space="preserve"> (section 4.3)</w:t>
      </w:r>
    </w:p>
    <w:p w:rsidR="007544CA" w:rsidRDefault="007544CA" w:rsidP="00133508">
      <w:pPr>
        <w:pStyle w:val="ListBullet"/>
      </w:pPr>
      <w:r>
        <w:t>variations to the limits and conditions associated with some foreign investments, in particular agricultural property and residential investments (section 4.4).</w:t>
      </w:r>
    </w:p>
    <w:p w:rsidR="007544CA" w:rsidRDefault="00366344" w:rsidP="00133508">
      <w:pPr>
        <w:pStyle w:val="Heading2"/>
      </w:pPr>
      <w:r>
        <w:fldChar w:fldCharType="begin" w:fldLock="1"/>
      </w:r>
      <w:r>
        <w:instrText xml:space="preserve"> COMMENTS  \* MERGEFORMAT </w:instrText>
      </w:r>
      <w:r>
        <w:fldChar w:fldCharType="separate"/>
      </w:r>
      <w:r w:rsidR="007544CA">
        <w:t>4.</w:t>
      </w:r>
      <w:r>
        <w:fldChar w:fldCharType="end"/>
      </w:r>
      <w:r>
        <w:fldChar w:fldCharType="begin" w:fldLock="1"/>
      </w:r>
      <w:r>
        <w:instrText xml:space="preserve"> SEQ Heading2 </w:instrText>
      </w:r>
      <w:r>
        <w:fldChar w:fldCharType="separate"/>
      </w:r>
      <w:r w:rsidR="007544CA">
        <w:rPr>
          <w:noProof/>
        </w:rPr>
        <w:t>1</w:t>
      </w:r>
      <w:r>
        <w:rPr>
          <w:noProof/>
        </w:rPr>
        <w:fldChar w:fldCharType="end"/>
      </w:r>
      <w:r w:rsidR="007544CA">
        <w:tab/>
        <w:t xml:space="preserve">Trade agreements negotiations and forums </w:t>
      </w:r>
    </w:p>
    <w:p w:rsidR="007544CA" w:rsidRDefault="007544CA" w:rsidP="00133508">
      <w:pPr>
        <w:pStyle w:val="BodyText"/>
      </w:pPr>
      <w:r>
        <w:t>Australia has been involved over numerous years in a multitude of trade agreement negotiations and forums (figure 4.1). The number of Parties involved in the various negotiations ranges from two (in the case of bilateral talks) to over 100 for the WTO Doha multilateral liberalisation package. The frequency of negotiations also varies, with some on an annual basis and others involving several meetings in a year. The implications for the various trade agreements — concluded and in negotiation — of the recent decision of the United Kingdom to leave the EU (Brexit) are, at this early stage, unclear.</w:t>
      </w:r>
    </w:p>
    <w:p w:rsidR="007544CA" w:rsidRDefault="007544CA" w:rsidP="00133508">
      <w:pPr>
        <w:pStyle w:val="BodyText"/>
      </w:pPr>
      <w:r>
        <w:t>Over the past two years, Australia has concluded bilateral agreements with Korea, Japan and China. Other material progress in negotiations are signing the Trans</w:t>
      </w:r>
      <w:r>
        <w:noBreakHyphen/>
        <w:t>Pacific Partnership (</w:t>
      </w:r>
      <w:proofErr w:type="spellStart"/>
      <w:r>
        <w:t>TPP</w:t>
      </w:r>
      <w:proofErr w:type="spellEnd"/>
      <w:r>
        <w:t>) Agreement and making an accession offer to the WTO Government Procurement Agreement. Other dialogues appear to have achieved little or no realistic progress towards finalisation, such as the Doha Round of multilateral trade liberalisation.</w:t>
      </w:r>
    </w:p>
    <w:p w:rsidR="007544CA" w:rsidRDefault="007544CA" w:rsidP="00133508">
      <w:pPr>
        <w:pStyle w:val="BodyText"/>
      </w:pPr>
      <w:r>
        <w:t>The Commission has written extensively on trade negotiations, focussing on what affects the potential benefits and costs of particular provisions (box 4.1). The 2013</w:t>
      </w:r>
      <w:r>
        <w:noBreakHyphen/>
        <w:t xml:space="preserve">14 </w:t>
      </w:r>
      <w:r w:rsidRPr="007C6FCD">
        <w:rPr>
          <w:i/>
        </w:rPr>
        <w:t>T</w:t>
      </w:r>
      <w:r>
        <w:rPr>
          <w:i/>
        </w:rPr>
        <w:t xml:space="preserve">rade &amp; Assistance Review </w:t>
      </w:r>
      <w:r w:rsidRPr="00F615C5">
        <w:t xml:space="preserve">provides a recent comprehensive </w:t>
      </w:r>
      <w:r>
        <w:t>update. The main developments involving Australia since this update are:</w:t>
      </w:r>
    </w:p>
    <w:p w:rsidR="007544CA" w:rsidRDefault="007544CA" w:rsidP="00133508">
      <w:pPr>
        <w:pStyle w:val="ListBullet"/>
      </w:pPr>
      <w:r>
        <w:t xml:space="preserve">an </w:t>
      </w:r>
      <w:r w:rsidRPr="00F16FF8">
        <w:t xml:space="preserve">accession offer to the WTO Committee on Government Procurement </w:t>
      </w:r>
      <w:r>
        <w:t>in</w:t>
      </w:r>
      <w:r w:rsidRPr="00F16FF8">
        <w:t xml:space="preserve"> September 2015</w:t>
      </w:r>
    </w:p>
    <w:p w:rsidR="007544CA" w:rsidRPr="00CF5C27" w:rsidRDefault="007544CA" w:rsidP="00133508">
      <w:pPr>
        <w:pStyle w:val="ListBullet"/>
      </w:pPr>
      <w:r>
        <w:t>Australia signed the Trans</w:t>
      </w:r>
      <w:r>
        <w:noBreakHyphen/>
        <w:t xml:space="preserve">Pacific Partnership </w:t>
      </w:r>
      <w:r>
        <w:rPr>
          <w:lang w:val="en-US"/>
        </w:rPr>
        <w:t>(</w:t>
      </w:r>
      <w:proofErr w:type="spellStart"/>
      <w:r>
        <w:rPr>
          <w:lang w:val="en-US"/>
        </w:rPr>
        <w:t>TPP</w:t>
      </w:r>
      <w:proofErr w:type="spellEnd"/>
      <w:r>
        <w:rPr>
          <w:lang w:val="en-US"/>
        </w:rPr>
        <w:t>) Agreement on</w:t>
      </w:r>
      <w:r w:rsidRPr="00777556">
        <w:rPr>
          <w:lang w:val="en-US"/>
        </w:rPr>
        <w:t xml:space="preserve"> 4</w:t>
      </w:r>
      <w:r>
        <w:rPr>
          <w:lang w:val="en-US"/>
        </w:rPr>
        <w:t> </w:t>
      </w:r>
      <w:r w:rsidRPr="00777556">
        <w:rPr>
          <w:lang w:val="en-US"/>
        </w:rPr>
        <w:t>February</w:t>
      </w:r>
      <w:r>
        <w:rPr>
          <w:lang w:val="en-US"/>
        </w:rPr>
        <w:t xml:space="preserve"> 2016</w:t>
      </w:r>
    </w:p>
    <w:p w:rsidR="007544CA" w:rsidRPr="00CF5C27" w:rsidRDefault="007544CA" w:rsidP="001A47C2">
      <w:pPr>
        <w:pStyle w:val="ListBullet"/>
        <w:widowControl w:val="0"/>
      </w:pPr>
      <w:r>
        <w:rPr>
          <w:lang w:val="en-US"/>
        </w:rPr>
        <w:t xml:space="preserve">Australia, was one of three joint lead Parties in negotiations among 23 Parties on a proposed </w:t>
      </w:r>
      <w:r w:rsidRPr="00705A9F">
        <w:rPr>
          <w:lang w:val="en-US"/>
        </w:rPr>
        <w:t>Trade in Services Agreement (</w:t>
      </w:r>
      <w:proofErr w:type="spellStart"/>
      <w:r w:rsidRPr="00705A9F">
        <w:rPr>
          <w:lang w:val="en-US"/>
        </w:rPr>
        <w:t>TiSA</w:t>
      </w:r>
      <w:proofErr w:type="spellEnd"/>
      <w:r w:rsidRPr="00705A9F">
        <w:rPr>
          <w:lang w:val="en-US"/>
        </w:rPr>
        <w:t>)</w:t>
      </w:r>
      <w:r>
        <w:rPr>
          <w:lang w:val="en-US"/>
        </w:rPr>
        <w:t xml:space="preserve"> — the Parties met seven times between May 2015 and June 2016</w:t>
      </w:r>
    </w:p>
    <w:p w:rsidR="007544CA" w:rsidRDefault="007544CA" w:rsidP="00133508">
      <w:pPr>
        <w:pStyle w:val="ListBullet"/>
      </w:pPr>
      <w:r>
        <w:lastRenderedPageBreak/>
        <w:t>t</w:t>
      </w:r>
      <w:r w:rsidRPr="001766A7">
        <w:t>he China Australia Free Trade Agreement (</w:t>
      </w:r>
      <w:proofErr w:type="spellStart"/>
      <w:r w:rsidRPr="001766A7">
        <w:t>ChAFTA</w:t>
      </w:r>
      <w:proofErr w:type="spellEnd"/>
      <w:r w:rsidRPr="001766A7">
        <w:t>) came into force on 20</w:t>
      </w:r>
      <w:r>
        <w:t> </w:t>
      </w:r>
      <w:r w:rsidRPr="001766A7">
        <w:t>December 2015</w:t>
      </w:r>
      <w:r>
        <w:t xml:space="preserve"> (for details see the 2013</w:t>
      </w:r>
      <w:r>
        <w:noBreakHyphen/>
        <w:t xml:space="preserve">14 </w:t>
      </w:r>
      <w:r w:rsidRPr="004911B7">
        <w:rPr>
          <w:i/>
        </w:rPr>
        <w:t>Trade &amp; Assistance Review</w:t>
      </w:r>
      <w:r>
        <w:t>)</w:t>
      </w:r>
    </w:p>
    <w:p w:rsidR="007544CA" w:rsidRDefault="007544CA" w:rsidP="00133508">
      <w:pPr>
        <w:pStyle w:val="ListBullet"/>
      </w:pPr>
      <w:r>
        <w:t xml:space="preserve">Australia and the EU agreed in November 2015 to start the process towards negotiating a trade agreement. </w:t>
      </w:r>
    </w:p>
    <w:p w:rsidR="007544CA" w:rsidRDefault="007544CA" w:rsidP="0013350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Pr="00176D3F" w:rsidRDefault="007544CA" w:rsidP="00133508">
            <w:pPr>
              <w:pStyle w:val="FigureTitle"/>
            </w:pPr>
            <w:r w:rsidRPr="00784A05">
              <w:rPr>
                <w:b w:val="0"/>
              </w:rPr>
              <w:t xml:space="preserve">Figure </w:t>
            </w:r>
            <w:r w:rsidRPr="00784A05">
              <w:rPr>
                <w:b w:val="0"/>
              </w:rPr>
              <w:fldChar w:fldCharType="begin" w:fldLock="1"/>
            </w:r>
            <w:r w:rsidRPr="00784A05">
              <w:rPr>
                <w:b w:val="0"/>
              </w:rPr>
              <w:instrText xml:space="preserve"> COMMENTS  \* MERGEFORMAT </w:instrText>
            </w:r>
            <w:r w:rsidRPr="00784A05">
              <w:rPr>
                <w:b w:val="0"/>
              </w:rPr>
              <w:fldChar w:fldCharType="separate"/>
            </w:r>
            <w:r>
              <w:rPr>
                <w:b w:val="0"/>
              </w:rPr>
              <w:t>4.</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1</w:t>
            </w:r>
            <w:r w:rsidRPr="00784A05">
              <w:rPr>
                <w:b w:val="0"/>
              </w:rPr>
              <w:fldChar w:fldCharType="end"/>
            </w:r>
            <w:r>
              <w:tab/>
              <w:t>Australia’s involvement in trade negotiations</w:t>
            </w:r>
            <w:r w:rsidRPr="00882679">
              <w:rPr>
                <w:rStyle w:val="NoteLabel"/>
                <w:b/>
              </w:rPr>
              <w:t>a</w:t>
            </w:r>
          </w:p>
        </w:tc>
      </w:tr>
      <w:tr w:rsidR="007544CA" w:rsidTr="0013350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544CA" w:rsidTr="00133508">
              <w:trPr>
                <w:jc w:val="center"/>
              </w:trPr>
              <w:tc>
                <w:tcPr>
                  <w:tcW w:w="5000" w:type="pct"/>
                  <w:tcBorders>
                    <w:top w:val="nil"/>
                    <w:bottom w:val="nil"/>
                  </w:tcBorders>
                </w:tcPr>
                <w:p w:rsidR="007544CA" w:rsidRDefault="007544CA" w:rsidP="00133508">
                  <w:pPr>
                    <w:pStyle w:val="Figure"/>
                    <w:spacing w:before="60" w:after="60"/>
                  </w:pPr>
                  <w:r>
                    <w:rPr>
                      <w:noProof/>
                    </w:rPr>
                    <w:drawing>
                      <wp:inline distT="0" distB="0" distL="0" distR="0" wp14:anchorId="6C484F67" wp14:editId="2D1B15F5">
                        <wp:extent cx="5391150" cy="6343650"/>
                        <wp:effectExtent l="0" t="0" r="0" b="0"/>
                        <wp:docPr id="14" name="Picture 14" descr="This figure shows Australia’s participation in trade negotiations over the last year, covering multilateral, plurilateral and bilateral forums. These negotiations related to: the WTO Doha Round of multilateral trade negotiations; WTO Environmental Goods Agreement; The WTO Information Technology Agreement; The WTO Government procurement Agreement; a Trade in Services Agreement; the APEC; the G20; the Regional Comprehensive Economic Partnership; the Trans Pacific Partnership; the China-Australia Trade Agreement; Australia-India Comprehensive Economic Cooperation Agreements; and Indonesia-Australia Comprehensive Economic Partnership Agre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91150" cy="6343650"/>
                                </a:xfrm>
                                <a:prstGeom prst="rect">
                                  <a:avLst/>
                                </a:prstGeom>
                                <a:noFill/>
                                <a:ln>
                                  <a:noFill/>
                                </a:ln>
                              </pic:spPr>
                            </pic:pic>
                          </a:graphicData>
                        </a:graphic>
                      </wp:inline>
                    </w:drawing>
                  </w:r>
                </w:p>
              </w:tc>
            </w:tr>
          </w:tbl>
          <w:p w:rsidR="007544CA" w:rsidRDefault="007544CA" w:rsidP="00133508">
            <w:pPr>
              <w:pStyle w:val="Figure"/>
            </w:pPr>
          </w:p>
        </w:tc>
      </w:tr>
      <w:tr w:rsidR="007544CA" w:rsidRPr="00176D3F" w:rsidTr="00133508">
        <w:tc>
          <w:tcPr>
            <w:tcW w:w="8771" w:type="dxa"/>
            <w:tcBorders>
              <w:top w:val="nil"/>
              <w:left w:val="nil"/>
              <w:bottom w:val="nil"/>
              <w:right w:val="nil"/>
            </w:tcBorders>
            <w:shd w:val="clear" w:color="auto" w:fill="auto"/>
          </w:tcPr>
          <w:p w:rsidR="007544CA" w:rsidRPr="00176D3F" w:rsidRDefault="007544CA" w:rsidP="00133508">
            <w:pPr>
              <w:pStyle w:val="Note"/>
            </w:pPr>
            <w:r>
              <w:rPr>
                <w:rStyle w:val="NoteLabel"/>
              </w:rPr>
              <w:t>a</w:t>
            </w:r>
            <w:r>
              <w:t xml:space="preserve"> Numbers in parenthesis are  number of negotiating Parties. The European Union counts as one..</w:t>
            </w:r>
          </w:p>
        </w:tc>
      </w:tr>
      <w:tr w:rsidR="007544CA" w:rsidRPr="00176D3F" w:rsidTr="00133508">
        <w:tc>
          <w:tcPr>
            <w:tcW w:w="8771" w:type="dxa"/>
            <w:tcBorders>
              <w:top w:val="nil"/>
              <w:left w:val="nil"/>
              <w:bottom w:val="nil"/>
              <w:right w:val="nil"/>
            </w:tcBorders>
            <w:shd w:val="clear" w:color="auto" w:fill="auto"/>
          </w:tcPr>
          <w:p w:rsidR="007544CA" w:rsidRPr="00176D3F" w:rsidRDefault="007544CA" w:rsidP="00133508">
            <w:pPr>
              <w:pStyle w:val="Source"/>
            </w:pPr>
            <w:r>
              <w:rPr>
                <w:i/>
              </w:rPr>
              <w:t>S</w:t>
            </w:r>
            <w:r w:rsidRPr="00784A05">
              <w:rPr>
                <w:i/>
              </w:rPr>
              <w:t>ource</w:t>
            </w:r>
            <w:r w:rsidRPr="00176D3F">
              <w:t xml:space="preserve">: </w:t>
            </w:r>
            <w:r>
              <w:t>Trade and Assistance Review 2013</w:t>
            </w:r>
            <w:r>
              <w:noBreakHyphen/>
              <w:t>14 and DFAT website.</w:t>
            </w:r>
          </w:p>
        </w:tc>
      </w:tr>
      <w:tr w:rsidR="007544CA" w:rsidTr="00133508">
        <w:tc>
          <w:tcPr>
            <w:tcW w:w="8771" w:type="dxa"/>
            <w:tcBorders>
              <w:top w:val="nil"/>
              <w:left w:val="nil"/>
              <w:bottom w:val="single" w:sz="6" w:space="0" w:color="78A22F"/>
              <w:right w:val="nil"/>
            </w:tcBorders>
            <w:shd w:val="clear" w:color="auto" w:fill="auto"/>
          </w:tcPr>
          <w:p w:rsidR="007544CA" w:rsidRDefault="007544CA" w:rsidP="00133508">
            <w:pPr>
              <w:pStyle w:val="Figurespace"/>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F2F2F2"/>
          </w:tcPr>
          <w:p w:rsidR="007544CA" w:rsidRDefault="007544CA" w:rsidP="00133508">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4.</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1</w:t>
            </w:r>
            <w:r>
              <w:rPr>
                <w:b w:val="0"/>
              </w:rPr>
              <w:fldChar w:fldCharType="end"/>
            </w:r>
            <w:r>
              <w:tab/>
              <w:t>Conclusions in regard to the merits of trade agreement</w:t>
            </w:r>
          </w:p>
        </w:tc>
      </w:tr>
      <w:tr w:rsidR="007544CA" w:rsidTr="00133508">
        <w:trPr>
          <w:cantSplit/>
        </w:trPr>
        <w:tc>
          <w:tcPr>
            <w:tcW w:w="8771" w:type="dxa"/>
            <w:tcBorders>
              <w:top w:val="nil"/>
              <w:left w:val="nil"/>
              <w:bottom w:val="nil"/>
              <w:right w:val="nil"/>
            </w:tcBorders>
            <w:shd w:val="clear" w:color="auto" w:fill="F2F2F2"/>
          </w:tcPr>
          <w:p w:rsidR="007544CA" w:rsidRDefault="007544CA" w:rsidP="00133508">
            <w:pPr>
              <w:pStyle w:val="Box"/>
            </w:pPr>
            <w:r>
              <w:t xml:space="preserve">The Commission has previously raised questions about the merits of trade agreements (including PC 2010, </w:t>
            </w:r>
            <w:r w:rsidRPr="00615835">
              <w:t>and the</w:t>
            </w:r>
            <w:r>
              <w:t xml:space="preserve"> </w:t>
            </w:r>
            <w:r w:rsidRPr="00A97A22">
              <w:rPr>
                <w:i/>
              </w:rPr>
              <w:t>Trade &amp; Assistance Review</w:t>
            </w:r>
            <w:r>
              <w:t xml:space="preserve"> 2014</w:t>
            </w:r>
            <w:r>
              <w:noBreakHyphen/>
              <w:t>15). The overall conclusions are as follows:</w:t>
            </w:r>
          </w:p>
          <w:p w:rsidR="007544CA" w:rsidRDefault="007544CA" w:rsidP="00133508">
            <w:pPr>
              <w:pStyle w:val="BoxListBullet"/>
            </w:pPr>
            <w:r>
              <w:t>Multilateral trade reform offers potentially larger improvements in national and global welfare than a series of bilateral agreements. While the slow progress of the Doha Round of multilateral trade reform has accelerated preferential agreement making, the trade</w:t>
            </w:r>
            <w:r>
              <w:noBreakHyphen/>
              <w:t xml:space="preserve">diverting effects of bilateral agreements should not be forgotten. </w:t>
            </w:r>
          </w:p>
          <w:p w:rsidR="007544CA" w:rsidRDefault="007544CA" w:rsidP="00133508">
            <w:pPr>
              <w:pStyle w:val="BoxListBullet"/>
            </w:pPr>
            <w:r>
              <w:t>Australia gains more from reducing its own tariff barriers than from the tariff reductions of a bilateral trade agreement partner.</w:t>
            </w:r>
          </w:p>
          <w:p w:rsidR="007544CA" w:rsidRDefault="007544CA" w:rsidP="00133508">
            <w:pPr>
              <w:pStyle w:val="BoxListBullet"/>
            </w:pPr>
            <w:r>
              <w:t>The benefits of increased merchandise trade emanating from bilateral trade agreements have been exaggerated.</w:t>
            </w:r>
          </w:p>
          <w:p w:rsidR="007544CA" w:rsidRDefault="007544CA" w:rsidP="00133508">
            <w:pPr>
              <w:pStyle w:val="BoxListBullet"/>
            </w:pPr>
            <w:r>
              <w:t>Different and complex rules of origin in Australia’s preferential trade agreements are likely to impede competition and add to the costs of firms engaging in trade.</w:t>
            </w:r>
          </w:p>
          <w:p w:rsidR="007544CA" w:rsidRDefault="007544CA" w:rsidP="00133508">
            <w:pPr>
              <w:pStyle w:val="BoxListBullet"/>
            </w:pPr>
            <w:r>
              <w:t>The nature and scope of negotiating remits should be assessed from a national structural reform perspective before entry into negotiations, rather than primarily for export opportunities. The text of proposed trade agreements should be made public and a rigorous analysis independent of the negotiating agency published with the final text.</w:t>
            </w:r>
          </w:p>
          <w:p w:rsidR="007544CA" w:rsidRDefault="007544CA" w:rsidP="00133508">
            <w:pPr>
              <w:pStyle w:val="BoxListBullet"/>
            </w:pPr>
            <w:r>
              <w:t>The Australian Government should seek to avoid the inclusion of Investors</w:t>
            </w:r>
            <w:r>
              <w:noBreakHyphen/>
              <w:t>State Dispute Settlement (</w:t>
            </w:r>
            <w:proofErr w:type="spellStart"/>
            <w:r>
              <w:t>ISDS</w:t>
            </w:r>
            <w:proofErr w:type="spellEnd"/>
            <w:r>
              <w:t>) provisions in bilateral and regional trade agreements that grant foreign investors in Australia substantive or procedural rights greater than those enjoyed by Australian investors.</w:t>
            </w:r>
          </w:p>
          <w:p w:rsidR="007544CA" w:rsidRDefault="007544CA" w:rsidP="00133508">
            <w:pPr>
              <w:pStyle w:val="BoxListBullet"/>
            </w:pPr>
            <w:r>
              <w:t>The history of Intellectual Property (IP) being addressed in preferential trade deals has resulted in more stringent arrangements than contained in the multilateral agreed Trade</w:t>
            </w:r>
            <w:r>
              <w:noBreakHyphen/>
              <w:t xml:space="preserve">Related Aspects of Intellectual Property (TRIPS). Australia’s participation in international negotiations in relation to IP laws should focus on </w:t>
            </w:r>
            <w:proofErr w:type="spellStart"/>
            <w:r>
              <w:t>plurilateral</w:t>
            </w:r>
            <w:proofErr w:type="spellEnd"/>
            <w:r>
              <w:t xml:space="preserve"> or multilateral settings. Support for any measures to alter the extent and enforcement of IP rights should be informed by a robust economic analysis of the resultant benefits and costs.</w:t>
            </w:r>
          </w:p>
        </w:tc>
      </w:tr>
      <w:tr w:rsidR="007544CA" w:rsidTr="00133508">
        <w:trPr>
          <w:cantSplit/>
        </w:trPr>
        <w:tc>
          <w:tcPr>
            <w:tcW w:w="8771" w:type="dxa"/>
            <w:tcBorders>
              <w:top w:val="nil"/>
              <w:left w:val="nil"/>
              <w:bottom w:val="single" w:sz="6" w:space="0" w:color="78A22F"/>
              <w:right w:val="nil"/>
            </w:tcBorders>
            <w:shd w:val="clear" w:color="auto" w:fill="F2F2F2"/>
          </w:tcPr>
          <w:p w:rsidR="007544CA" w:rsidRDefault="007544CA">
            <w:pPr>
              <w:pStyle w:val="Box"/>
              <w:spacing w:before="0" w:line="120" w:lineRule="exact"/>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Heading3"/>
        <w:spacing w:before="480"/>
      </w:pPr>
      <w:r>
        <w:t>Australia’s offer to accede to the Government Procurement Agreement</w:t>
      </w:r>
    </w:p>
    <w:p w:rsidR="007544CA" w:rsidRDefault="007544CA" w:rsidP="00133508">
      <w:pPr>
        <w:pStyle w:val="BodyText"/>
        <w:spacing w:before="200"/>
      </w:pPr>
      <w:r>
        <w:rPr>
          <w:lang w:val="en-US"/>
        </w:rPr>
        <w:t xml:space="preserve">The Government Procurement Agreement (GPA) is a WTO </w:t>
      </w:r>
      <w:proofErr w:type="spellStart"/>
      <w:r>
        <w:rPr>
          <w:lang w:val="en-US"/>
        </w:rPr>
        <w:t>plurilateral</w:t>
      </w:r>
      <w:proofErr w:type="spellEnd"/>
      <w:r>
        <w:rPr>
          <w:lang w:val="en-US"/>
        </w:rPr>
        <w:t xml:space="preserve"> agreement which opens government procurement markets between its members. The Agreement’s main principles are transparency and non</w:t>
      </w:r>
      <w:r>
        <w:rPr>
          <w:lang w:val="en-US"/>
        </w:rPr>
        <w:noBreakHyphen/>
        <w:t xml:space="preserve">discrimination. It requires GPA members to provide other members’ suppliers conditions ‘no less </w:t>
      </w:r>
      <w:proofErr w:type="spellStart"/>
      <w:r>
        <w:rPr>
          <w:lang w:val="en-US"/>
        </w:rPr>
        <w:t>favourable</w:t>
      </w:r>
      <w:proofErr w:type="spellEnd"/>
      <w:r>
        <w:rPr>
          <w:lang w:val="en-US"/>
        </w:rPr>
        <w:t xml:space="preserve">’ than domestic suppliers. In addition, the GPA provides for domestic review procedures to enable aggrieved firms to seek a review of procurement decisions. </w:t>
      </w:r>
      <w:r>
        <w:t xml:space="preserve">The </w:t>
      </w:r>
      <w:r w:rsidRPr="00F16FF8">
        <w:t xml:space="preserve">GPA has </w:t>
      </w:r>
      <w:r>
        <w:t xml:space="preserve">18 </w:t>
      </w:r>
      <w:r w:rsidRPr="00F16FF8">
        <w:t>members</w:t>
      </w:r>
      <w:r>
        <w:t xml:space="preserve"> (with the EU counting as one)</w:t>
      </w:r>
      <w:r w:rsidRPr="00F16FF8">
        <w:t xml:space="preserve">. </w:t>
      </w:r>
      <w:r>
        <w:t>Other</w:t>
      </w:r>
      <w:r w:rsidRPr="00F16FF8">
        <w:t xml:space="preserve"> WTO members, most notably China, are engaged in accession negotiations. </w:t>
      </w:r>
    </w:p>
    <w:p w:rsidR="007544CA" w:rsidRDefault="007544CA" w:rsidP="00133508">
      <w:pPr>
        <w:pStyle w:val="BodyText"/>
        <w:spacing w:before="200"/>
        <w:rPr>
          <w:lang w:val="en-US"/>
        </w:rPr>
      </w:pPr>
      <w:r w:rsidRPr="00F16FF8">
        <w:t xml:space="preserve">Australia presented its accession offer to the WTO Committee on Government Procurement </w:t>
      </w:r>
      <w:r>
        <w:t>in</w:t>
      </w:r>
      <w:r w:rsidRPr="00F16FF8">
        <w:t xml:space="preserve"> September 2015</w:t>
      </w:r>
      <w:r>
        <w:t xml:space="preserve"> (</w:t>
      </w:r>
      <w:proofErr w:type="spellStart"/>
      <w:r>
        <w:t>DFAT</w:t>
      </w:r>
      <w:proofErr w:type="spellEnd"/>
      <w:r>
        <w:t> </w:t>
      </w:r>
      <w:proofErr w:type="spellStart"/>
      <w:r>
        <w:t>2016b</w:t>
      </w:r>
      <w:proofErr w:type="spellEnd"/>
      <w:r>
        <w:t>)</w:t>
      </w:r>
      <w:r w:rsidRPr="00F16FF8">
        <w:t>.</w:t>
      </w:r>
      <w:r>
        <w:t xml:space="preserve"> </w:t>
      </w:r>
      <w:r>
        <w:rPr>
          <w:lang w:val="en-US"/>
        </w:rPr>
        <w:t>The Committee discussed Australia’s offer in February 2016. The Australian Government is now considering feedback from GPA members, in consultation with state and territory governments. Australia’s accession offer has yet to be made public.</w:t>
      </w:r>
    </w:p>
    <w:p w:rsidR="007544CA" w:rsidRDefault="007544CA" w:rsidP="00133508">
      <w:pPr>
        <w:pStyle w:val="BodyText"/>
        <w:spacing w:before="200"/>
      </w:pPr>
      <w:r>
        <w:rPr>
          <w:lang w:val="en-US"/>
        </w:rPr>
        <w:lastRenderedPageBreak/>
        <w:t>GPA membership would provide legally binding market access for Australian firms to the procurement markets of GPA Members. This is expected to provide safeguards against any protectionist measures GPA parties might introduce, while delivering the disciplines of a ‘multilateral rules</w:t>
      </w:r>
      <w:r>
        <w:rPr>
          <w:lang w:val="en-US"/>
        </w:rPr>
        <w:noBreakHyphen/>
        <w:t>based system’ (</w:t>
      </w:r>
      <w:proofErr w:type="spellStart"/>
      <w:r>
        <w:rPr>
          <w:lang w:val="en-US"/>
        </w:rPr>
        <w:t>DFAT</w:t>
      </w:r>
      <w:proofErr w:type="spellEnd"/>
      <w:r>
        <w:rPr>
          <w:lang w:val="en-US"/>
        </w:rPr>
        <w:t xml:space="preserve"> </w:t>
      </w:r>
      <w:proofErr w:type="spellStart"/>
      <w:r>
        <w:rPr>
          <w:lang w:val="en-US"/>
        </w:rPr>
        <w:t>2016b</w:t>
      </w:r>
      <w:proofErr w:type="spellEnd"/>
      <w:r>
        <w:rPr>
          <w:lang w:val="en-US"/>
        </w:rPr>
        <w:t>). While Australian firms are not automatically disqualified from participation in GPA members’ markets, there are currently no legal barriers to stop GPA members from excluding Australian firms.</w:t>
      </w:r>
    </w:p>
    <w:p w:rsidR="007544CA" w:rsidRDefault="007544CA" w:rsidP="00133508">
      <w:pPr>
        <w:pStyle w:val="BodyText"/>
        <w:spacing w:before="200"/>
        <w:rPr>
          <w:lang w:val="en-US"/>
        </w:rPr>
      </w:pPr>
      <w:r>
        <w:rPr>
          <w:lang w:val="en-US"/>
        </w:rPr>
        <w:t>Australian suppliers already have legally</w:t>
      </w:r>
      <w:r>
        <w:rPr>
          <w:lang w:val="en-US"/>
        </w:rPr>
        <w:noBreakHyphen/>
        <w:t xml:space="preserve">binding access to the procurement markets of the US, Singapore, Chile, the Republic of Korea and Japan through bilateral FTAs. Australia has also negotiated procurement market access in the </w:t>
      </w:r>
      <w:proofErr w:type="spellStart"/>
      <w:r>
        <w:rPr>
          <w:lang w:val="en-US"/>
        </w:rPr>
        <w:t>TPP</w:t>
      </w:r>
      <w:proofErr w:type="spellEnd"/>
      <w:r>
        <w:rPr>
          <w:lang w:val="en-US"/>
        </w:rPr>
        <w:t xml:space="preserve">. </w:t>
      </w:r>
    </w:p>
    <w:p w:rsidR="007544CA" w:rsidRDefault="007544CA" w:rsidP="00133508">
      <w:pPr>
        <w:pStyle w:val="Heading3"/>
        <w:spacing w:before="480"/>
      </w:pPr>
      <w:r>
        <w:t>Australia signs Trans</w:t>
      </w:r>
      <w:r>
        <w:noBreakHyphen/>
        <w:t>Pacific Partnership Agreement</w:t>
      </w:r>
    </w:p>
    <w:p w:rsidR="007544CA" w:rsidRDefault="007544CA" w:rsidP="00133508">
      <w:pPr>
        <w:pStyle w:val="BodyText"/>
        <w:spacing w:before="200"/>
        <w:rPr>
          <w:lang w:val="en-US"/>
        </w:rPr>
      </w:pPr>
      <w:r>
        <w:t xml:space="preserve">The </w:t>
      </w:r>
      <w:proofErr w:type="spellStart"/>
      <w:r>
        <w:t>TPP</w:t>
      </w:r>
      <w:proofErr w:type="spellEnd"/>
      <w:r>
        <w:t xml:space="preserve"> aimed to create a comprehensive model agreement that </w:t>
      </w:r>
      <w:r>
        <w:rPr>
          <w:lang w:val="en"/>
        </w:rPr>
        <w:t>would facilitate a consolidation of differences in existing bilateral agreements</w:t>
      </w:r>
      <w:r>
        <w:t xml:space="preserve"> and provide scope to be expanded to include additional members. The agreement covers </w:t>
      </w:r>
      <w:r>
        <w:rPr>
          <w:lang w:val="en"/>
        </w:rPr>
        <w:t xml:space="preserve">trade in goods and services, rules of origin, trade remedies, </w:t>
      </w:r>
      <w:r w:rsidRPr="00F83842">
        <w:rPr>
          <w:lang w:val="en"/>
        </w:rPr>
        <w:t xml:space="preserve">sanitary and </w:t>
      </w:r>
      <w:proofErr w:type="spellStart"/>
      <w:r w:rsidRPr="00F83842">
        <w:rPr>
          <w:lang w:val="en"/>
        </w:rPr>
        <w:t>phyto</w:t>
      </w:r>
      <w:proofErr w:type="spellEnd"/>
      <w:r>
        <w:rPr>
          <w:lang w:val="en"/>
        </w:rPr>
        <w:noBreakHyphen/>
      </w:r>
      <w:r w:rsidRPr="00F83842">
        <w:rPr>
          <w:lang w:val="en"/>
        </w:rPr>
        <w:t>sanitary measures</w:t>
      </w:r>
      <w:r>
        <w:rPr>
          <w:lang w:val="en"/>
        </w:rPr>
        <w:t xml:space="preserve">, technical barriers to trade, intellectual property, government procurement, competition policy, temporary entry of business persons and dispute settlement procedures. </w:t>
      </w:r>
      <w:r>
        <w:t xml:space="preserve">The 12 countries that negotiated the </w:t>
      </w:r>
      <w:proofErr w:type="spellStart"/>
      <w:r>
        <w:t>TPP</w:t>
      </w:r>
      <w:proofErr w:type="spellEnd"/>
      <w:r>
        <w:t xml:space="preserve"> — Australia, Brunei, Canada, Chile, Japan, Malaysia, Mexico, New Zealand, Peru, Singapore, the United States and Vietnam — account for around 40 per cent of global GDP and one quarter of world trade.</w:t>
      </w:r>
    </w:p>
    <w:p w:rsidR="007544CA" w:rsidRDefault="007544CA" w:rsidP="00133508">
      <w:pPr>
        <w:pStyle w:val="BodyText"/>
        <w:spacing w:before="200"/>
        <w:rPr>
          <w:lang w:val="en-US"/>
        </w:rPr>
      </w:pPr>
      <w:r>
        <w:rPr>
          <w:lang w:val="en-US"/>
        </w:rPr>
        <w:t xml:space="preserve">The </w:t>
      </w:r>
      <w:proofErr w:type="spellStart"/>
      <w:r>
        <w:rPr>
          <w:lang w:val="en-US"/>
        </w:rPr>
        <w:t>TPP</w:t>
      </w:r>
      <w:proofErr w:type="spellEnd"/>
      <w:r>
        <w:rPr>
          <w:lang w:val="en-US"/>
        </w:rPr>
        <w:t xml:space="preserve"> was signed by the Minister for Trade and Investment on</w:t>
      </w:r>
      <w:r w:rsidRPr="00777556">
        <w:rPr>
          <w:lang w:val="en-US"/>
        </w:rPr>
        <w:t xml:space="preserve"> 4</w:t>
      </w:r>
      <w:r>
        <w:rPr>
          <w:lang w:val="en-US"/>
        </w:rPr>
        <w:t> </w:t>
      </w:r>
      <w:r w:rsidRPr="00777556">
        <w:rPr>
          <w:lang w:val="en-US"/>
        </w:rPr>
        <w:t>February</w:t>
      </w:r>
      <w:r>
        <w:rPr>
          <w:lang w:val="en-US"/>
        </w:rPr>
        <w:t xml:space="preserve"> 2016. The text of the agreement </w:t>
      </w:r>
      <w:r w:rsidRPr="00777556">
        <w:rPr>
          <w:lang w:val="en-US"/>
        </w:rPr>
        <w:t xml:space="preserve">and accompanying National Interest Analysis </w:t>
      </w:r>
      <w:r>
        <w:rPr>
          <w:lang w:val="en-US"/>
        </w:rPr>
        <w:t xml:space="preserve">was then tabled </w:t>
      </w:r>
      <w:r w:rsidRPr="00777556">
        <w:rPr>
          <w:lang w:val="en-US"/>
        </w:rPr>
        <w:t>in the Australian Parliament on 9</w:t>
      </w:r>
      <w:r>
        <w:rPr>
          <w:lang w:val="en-US"/>
        </w:rPr>
        <w:t> </w:t>
      </w:r>
      <w:r w:rsidRPr="00777556">
        <w:rPr>
          <w:lang w:val="en-US"/>
        </w:rPr>
        <w:t xml:space="preserve">February 2016. </w:t>
      </w:r>
      <w:r>
        <w:rPr>
          <w:lang w:val="en-US"/>
        </w:rPr>
        <w:t>The inquiry into the tabled treaty by t</w:t>
      </w:r>
      <w:r w:rsidRPr="00777556">
        <w:rPr>
          <w:lang w:val="en-US"/>
        </w:rPr>
        <w:t>he Joint Standing Committee on Treaties (</w:t>
      </w:r>
      <w:proofErr w:type="spellStart"/>
      <w:r w:rsidRPr="00777556">
        <w:rPr>
          <w:lang w:val="en-US"/>
        </w:rPr>
        <w:t>JSCOT</w:t>
      </w:r>
      <w:proofErr w:type="spellEnd"/>
      <w:r w:rsidRPr="00777556">
        <w:rPr>
          <w:lang w:val="en-US"/>
        </w:rPr>
        <w:t>)</w:t>
      </w:r>
      <w:r>
        <w:rPr>
          <w:lang w:val="en-US"/>
        </w:rPr>
        <w:t xml:space="preserve"> lapsed when parliament was dissolved on 9 May 2016. Over 250 submissions were made to the inquiry. Ministers from </w:t>
      </w:r>
      <w:proofErr w:type="spellStart"/>
      <w:r>
        <w:rPr>
          <w:lang w:val="en-US"/>
        </w:rPr>
        <w:t>TPP</w:t>
      </w:r>
      <w:proofErr w:type="spellEnd"/>
      <w:r>
        <w:rPr>
          <w:lang w:val="en-US"/>
        </w:rPr>
        <w:t xml:space="preserve"> countries met on 17 May 2016 to review progress on their respective internal processes to approve the Agreement.</w:t>
      </w:r>
    </w:p>
    <w:p w:rsidR="007544CA" w:rsidRDefault="007544CA" w:rsidP="00133508">
      <w:pPr>
        <w:pStyle w:val="BodyText"/>
        <w:spacing w:before="200"/>
        <w:rPr>
          <w:lang w:val="en-US"/>
        </w:rPr>
      </w:pPr>
      <w:r>
        <w:rPr>
          <w:lang w:val="en-US"/>
        </w:rPr>
        <w:t xml:space="preserve">It is uncertain whether the United States will sign the </w:t>
      </w:r>
      <w:proofErr w:type="spellStart"/>
      <w:r>
        <w:rPr>
          <w:lang w:val="en-US"/>
        </w:rPr>
        <w:t>TPP</w:t>
      </w:r>
      <w:proofErr w:type="spellEnd"/>
      <w:r>
        <w:rPr>
          <w:lang w:val="en-US"/>
        </w:rPr>
        <w:t xml:space="preserve"> before its presidential election in November 2016. Recent political statements by the two leading candidates have brought into doubt the likelihood that the US will actually accede. </w:t>
      </w:r>
    </w:p>
    <w:p w:rsidR="007544CA" w:rsidRDefault="007544CA" w:rsidP="00133508">
      <w:pPr>
        <w:pStyle w:val="BodyText"/>
        <w:spacing w:before="200"/>
        <w:rPr>
          <w:lang w:val="en-US"/>
        </w:rPr>
      </w:pPr>
      <w:r>
        <w:rPr>
          <w:lang w:val="en-US"/>
        </w:rPr>
        <w:t xml:space="preserve">There are provisions in the </w:t>
      </w:r>
      <w:proofErr w:type="spellStart"/>
      <w:r>
        <w:rPr>
          <w:lang w:val="en-US"/>
        </w:rPr>
        <w:t>TPP</w:t>
      </w:r>
      <w:proofErr w:type="spellEnd"/>
      <w:r>
        <w:rPr>
          <w:lang w:val="en-US"/>
        </w:rPr>
        <w:t xml:space="preserve"> that the Commission has previously flagged as of questionable benefit. These include term of copyright and the investor state dispute settlement elements. </w:t>
      </w:r>
    </w:p>
    <w:p w:rsidR="007544CA" w:rsidRDefault="007544CA" w:rsidP="00133508">
      <w:pPr>
        <w:pStyle w:val="Heading3"/>
        <w:spacing w:before="480"/>
        <w:rPr>
          <w:lang w:val="en-US"/>
        </w:rPr>
      </w:pPr>
      <w:r>
        <w:rPr>
          <w:lang w:val="en-US"/>
        </w:rPr>
        <w:t xml:space="preserve">Australia’s position on a Trade in Services Agreement </w:t>
      </w:r>
    </w:p>
    <w:p w:rsidR="007544CA" w:rsidRDefault="007544CA" w:rsidP="00133508">
      <w:pPr>
        <w:pStyle w:val="BodyText"/>
        <w:spacing w:before="200"/>
        <w:rPr>
          <w:lang w:val="en-US"/>
        </w:rPr>
      </w:pPr>
      <w:r w:rsidRPr="00705A9F">
        <w:rPr>
          <w:lang w:val="en-US"/>
        </w:rPr>
        <w:t>The Trade in Services Agreement (</w:t>
      </w:r>
      <w:proofErr w:type="spellStart"/>
      <w:r w:rsidRPr="00705A9F">
        <w:rPr>
          <w:lang w:val="en-US"/>
        </w:rPr>
        <w:t>TiSA</w:t>
      </w:r>
      <w:proofErr w:type="spellEnd"/>
      <w:r w:rsidRPr="00705A9F">
        <w:rPr>
          <w:lang w:val="en-US"/>
        </w:rPr>
        <w:t xml:space="preserve">) is a </w:t>
      </w:r>
      <w:r>
        <w:rPr>
          <w:lang w:val="en-US"/>
        </w:rPr>
        <w:t>proposed services</w:t>
      </w:r>
      <w:r>
        <w:rPr>
          <w:lang w:val="en-US"/>
        </w:rPr>
        <w:noBreakHyphen/>
        <w:t xml:space="preserve">only trade agreement jointly led by Australia, the European Union and the United States. There are currently </w:t>
      </w:r>
      <w:r w:rsidRPr="00705A9F">
        <w:rPr>
          <w:lang w:val="en-US"/>
        </w:rPr>
        <w:t xml:space="preserve">23 </w:t>
      </w:r>
      <w:r>
        <w:rPr>
          <w:lang w:val="en-US"/>
        </w:rPr>
        <w:t xml:space="preserve">negotiating </w:t>
      </w:r>
      <w:r w:rsidRPr="00705A9F">
        <w:rPr>
          <w:lang w:val="en-US"/>
        </w:rPr>
        <w:t>Parties</w:t>
      </w:r>
      <w:r>
        <w:rPr>
          <w:lang w:val="en-US"/>
        </w:rPr>
        <w:t xml:space="preserve"> (the EU countries are counted as one party). Negotiations commenced </w:t>
      </w:r>
      <w:r>
        <w:rPr>
          <w:lang w:val="en-US"/>
        </w:rPr>
        <w:lastRenderedPageBreak/>
        <w:t xml:space="preserve">in 2012. By opening up trade in services, the Parties hope the </w:t>
      </w:r>
      <w:proofErr w:type="spellStart"/>
      <w:r>
        <w:rPr>
          <w:lang w:val="en-US"/>
        </w:rPr>
        <w:t>TiSA</w:t>
      </w:r>
      <w:proofErr w:type="spellEnd"/>
      <w:r>
        <w:rPr>
          <w:lang w:val="en-US"/>
        </w:rPr>
        <w:t xml:space="preserve"> talks will help kick start the stalled multilateral negotiations under the WTO Doha Round.</w:t>
      </w:r>
      <w:r>
        <w:rPr>
          <w:rStyle w:val="FootnoteReference"/>
          <w:lang w:val="en-US"/>
        </w:rPr>
        <w:footnoteReference w:id="19"/>
      </w:r>
    </w:p>
    <w:p w:rsidR="007544CA" w:rsidRDefault="007544CA" w:rsidP="00133508">
      <w:pPr>
        <w:pStyle w:val="BodyText"/>
        <w:spacing w:before="200"/>
        <w:rPr>
          <w:lang w:val="en-US"/>
        </w:rPr>
      </w:pPr>
      <w:r>
        <w:rPr>
          <w:lang w:val="en-US"/>
        </w:rPr>
        <w:t xml:space="preserve">At an informal meeting of </w:t>
      </w:r>
      <w:proofErr w:type="spellStart"/>
      <w:r>
        <w:rPr>
          <w:lang w:val="en-US"/>
        </w:rPr>
        <w:t>TiSA</w:t>
      </w:r>
      <w:proofErr w:type="spellEnd"/>
      <w:r>
        <w:rPr>
          <w:lang w:val="en-US"/>
        </w:rPr>
        <w:t xml:space="preserve"> party ministers held in Davos, Switzerland in January 2016, ministers agreed to aim to conclude negotiations by the end of 2016.</w:t>
      </w:r>
    </w:p>
    <w:p w:rsidR="007544CA" w:rsidRPr="004508C4" w:rsidRDefault="007544CA" w:rsidP="00133508">
      <w:pPr>
        <w:pStyle w:val="BodyText"/>
        <w:rPr>
          <w:lang w:val="en-US"/>
        </w:rPr>
      </w:pPr>
      <w:r>
        <w:rPr>
          <w:lang w:val="en-US"/>
        </w:rPr>
        <w:t xml:space="preserve">Australia’s </w:t>
      </w:r>
      <w:r w:rsidRPr="004508C4">
        <w:rPr>
          <w:lang w:val="en-US"/>
        </w:rPr>
        <w:t>objective in the negotiations is to deliver improved access and tangible commercial benefits for Australia’s services sector, including:</w:t>
      </w:r>
    </w:p>
    <w:p w:rsidR="007544CA" w:rsidRPr="004508C4" w:rsidRDefault="007544CA" w:rsidP="00133508">
      <w:pPr>
        <w:pStyle w:val="ListBullet"/>
        <w:rPr>
          <w:lang w:val="en-US"/>
        </w:rPr>
      </w:pPr>
      <w:r w:rsidRPr="004508C4">
        <w:rPr>
          <w:lang w:val="en-US"/>
        </w:rPr>
        <w:t>addressing discriminatory barriers to cross</w:t>
      </w:r>
      <w:r>
        <w:rPr>
          <w:lang w:val="en-US"/>
        </w:rPr>
        <w:noBreakHyphen/>
      </w:r>
      <w:r w:rsidRPr="004508C4">
        <w:rPr>
          <w:lang w:val="en-US"/>
        </w:rPr>
        <w:t>border services trade</w:t>
      </w:r>
    </w:p>
    <w:p w:rsidR="007544CA" w:rsidRPr="004508C4" w:rsidRDefault="007544CA" w:rsidP="00133508">
      <w:pPr>
        <w:pStyle w:val="ListBullet"/>
        <w:rPr>
          <w:lang w:val="en-US"/>
        </w:rPr>
      </w:pPr>
      <w:r w:rsidRPr="004508C4">
        <w:rPr>
          <w:lang w:val="en-US"/>
        </w:rPr>
        <w:t>improving investment conditions for Australian business seeking to establish an offshore commercial presence</w:t>
      </w:r>
    </w:p>
    <w:p w:rsidR="007544CA" w:rsidRDefault="007544CA" w:rsidP="00133508">
      <w:pPr>
        <w:pStyle w:val="ListBullet"/>
        <w:rPr>
          <w:lang w:val="en-US"/>
        </w:rPr>
      </w:pPr>
      <w:r w:rsidRPr="004508C4">
        <w:rPr>
          <w:lang w:val="en-US"/>
        </w:rPr>
        <w:t xml:space="preserve">improving business mobility so Australian services professionals can more easily work in </w:t>
      </w:r>
      <w:proofErr w:type="spellStart"/>
      <w:r w:rsidRPr="004508C4">
        <w:rPr>
          <w:lang w:val="en-US"/>
        </w:rPr>
        <w:t>TiSA</w:t>
      </w:r>
      <w:proofErr w:type="spellEnd"/>
      <w:r w:rsidRPr="004508C4">
        <w:rPr>
          <w:lang w:val="en-US"/>
        </w:rPr>
        <w:t xml:space="preserve"> countries.</w:t>
      </w:r>
    </w:p>
    <w:p w:rsidR="007544CA" w:rsidRDefault="007544CA" w:rsidP="00133508">
      <w:pPr>
        <w:pStyle w:val="BodyText"/>
      </w:pPr>
      <w:proofErr w:type="spellStart"/>
      <w:r>
        <w:t>TiSA</w:t>
      </w:r>
      <w:proofErr w:type="spellEnd"/>
      <w:r>
        <w:t xml:space="preserve"> parties collectively account for around 70 per cent of global trade in services. Six of the </w:t>
      </w:r>
      <w:proofErr w:type="spellStart"/>
      <w:r>
        <w:t>TiSA</w:t>
      </w:r>
      <w:proofErr w:type="spellEnd"/>
      <w:r>
        <w:t xml:space="preserve"> Parties were in Australia’s top ten destinations for services exports in 2014</w:t>
      </w:r>
      <w:r>
        <w:noBreakHyphen/>
        <w:t xml:space="preserve">15 — the United States, United Kingdom (as part of EU), New Zealand, Japan, Hong Kong and Republic of Korea. </w:t>
      </w:r>
    </w:p>
    <w:p w:rsidR="007544CA" w:rsidRDefault="007544CA" w:rsidP="00133508">
      <w:pPr>
        <w:pStyle w:val="BodyText"/>
      </w:pPr>
      <w:r>
        <w:t>Australia’s offer is broadly based on its revised offer tabled in the WTO Doha Round in 2005 (box 4.2).</w:t>
      </w:r>
    </w:p>
    <w:p w:rsidR="007544CA" w:rsidRDefault="007544CA" w:rsidP="00133508">
      <w:pPr>
        <w:pStyle w:val="Heading2"/>
        <w:rPr>
          <w:lang w:val="en-US"/>
        </w:rPr>
      </w:pPr>
      <w:r w:rsidRPr="00777556">
        <w:rPr>
          <w:lang w:val="en-US"/>
        </w:rPr>
        <w:fldChar w:fldCharType="begin" w:fldLock="1"/>
      </w:r>
      <w:r w:rsidRPr="00777556">
        <w:rPr>
          <w:lang w:val="en-US"/>
        </w:rPr>
        <w:instrText xml:space="preserve"> COMMENTS  \* MERGEFORMAT </w:instrText>
      </w:r>
      <w:r w:rsidRPr="00777556">
        <w:rPr>
          <w:lang w:val="en-US"/>
        </w:rPr>
        <w:fldChar w:fldCharType="separate"/>
      </w:r>
      <w:r>
        <w:rPr>
          <w:lang w:val="en-US"/>
        </w:rPr>
        <w:t>4.</w:t>
      </w:r>
      <w:r w:rsidRPr="00777556">
        <w:rPr>
          <w:lang w:val="en-US"/>
        </w:rPr>
        <w:fldChar w:fldCharType="end"/>
      </w:r>
      <w:r w:rsidRPr="00777556">
        <w:rPr>
          <w:lang w:val="en-US"/>
        </w:rPr>
        <w:fldChar w:fldCharType="begin" w:fldLock="1"/>
      </w:r>
      <w:r w:rsidRPr="00777556">
        <w:rPr>
          <w:lang w:val="en-US"/>
        </w:rPr>
        <w:instrText xml:space="preserve"> SEQ Heading2 </w:instrText>
      </w:r>
      <w:r w:rsidRPr="00777556">
        <w:rPr>
          <w:lang w:val="en-US"/>
        </w:rPr>
        <w:fldChar w:fldCharType="separate"/>
      </w:r>
      <w:r>
        <w:rPr>
          <w:noProof/>
          <w:lang w:val="en-US"/>
        </w:rPr>
        <w:t>2</w:t>
      </w:r>
      <w:r w:rsidRPr="00777556">
        <w:rPr>
          <w:noProof/>
          <w:lang w:val="en-US"/>
        </w:rPr>
        <w:fldChar w:fldCharType="end"/>
      </w:r>
      <w:r w:rsidRPr="00777556">
        <w:rPr>
          <w:lang w:val="en-US"/>
        </w:rPr>
        <w:tab/>
      </w:r>
      <w:r>
        <w:rPr>
          <w:lang w:val="en-US"/>
        </w:rPr>
        <w:t>Progress on tobacco plain packaging disputes</w:t>
      </w:r>
    </w:p>
    <w:p w:rsidR="007544CA" w:rsidRDefault="007544CA" w:rsidP="00133508">
      <w:pPr>
        <w:pStyle w:val="BodyText"/>
        <w:spacing w:before="200"/>
        <w:rPr>
          <w:lang w:val="en-US"/>
        </w:rPr>
      </w:pPr>
      <w:r w:rsidRPr="00A9021E">
        <w:rPr>
          <w:lang w:val="en-US"/>
        </w:rPr>
        <w:t>Australia’s tobacco plain packaging legislation came into full effect on 1</w:t>
      </w:r>
      <w:r>
        <w:rPr>
          <w:lang w:val="en-US"/>
        </w:rPr>
        <w:t> </w:t>
      </w:r>
      <w:r w:rsidRPr="00A9021E">
        <w:rPr>
          <w:lang w:val="en-US"/>
        </w:rPr>
        <w:t xml:space="preserve">December 2012. The legislation prohibits logos, brand imagery, </w:t>
      </w:r>
      <w:r w:rsidRPr="00F47FA9">
        <w:t>colours</w:t>
      </w:r>
      <w:r w:rsidRPr="00A9021E">
        <w:rPr>
          <w:lang w:val="en-US"/>
        </w:rPr>
        <w:t xml:space="preserve"> and promotional text other than brand and product names in a standard c</w:t>
      </w:r>
      <w:proofErr w:type="spellStart"/>
      <w:r w:rsidRPr="00F47FA9">
        <w:t>olour</w:t>
      </w:r>
      <w:proofErr w:type="spellEnd"/>
      <w:r w:rsidRPr="00A9021E">
        <w:rPr>
          <w:lang w:val="en-US"/>
        </w:rPr>
        <w:t>, position, font style and size appearing on tobacco packaging.</w:t>
      </w:r>
      <w:r>
        <w:rPr>
          <w:lang w:val="en-US"/>
        </w:rPr>
        <w:t xml:space="preserve"> </w:t>
      </w:r>
      <w:r w:rsidRPr="00A9021E">
        <w:rPr>
          <w:lang w:val="en-US"/>
        </w:rPr>
        <w:t>Tobacco plain packaging forms part of a range of tobacco control measures to reduce the rate of smoking in Australia</w:t>
      </w:r>
      <w:r>
        <w:rPr>
          <w:lang w:val="en-US"/>
        </w:rPr>
        <w:t>.</w:t>
      </w:r>
    </w:p>
    <w:p w:rsidR="007544CA" w:rsidRDefault="007544CA" w:rsidP="00133508">
      <w:pPr>
        <w:pStyle w:val="BodyText"/>
        <w:spacing w:before="200"/>
        <w:rPr>
          <w:lang w:val="en-US"/>
        </w:rPr>
      </w:pPr>
      <w:r>
        <w:rPr>
          <w:lang w:val="en-US"/>
        </w:rPr>
        <w:t>Dispute against the Australian legislation by the tobacco companies or countries acting in their interests has been three</w:t>
      </w:r>
      <w:r>
        <w:rPr>
          <w:lang w:val="en-US"/>
        </w:rPr>
        <w:noBreakHyphen/>
        <w:t xml:space="preserve">pronged: </w:t>
      </w:r>
    </w:p>
    <w:p w:rsidR="007544CA" w:rsidRDefault="007544CA" w:rsidP="00133508">
      <w:pPr>
        <w:pStyle w:val="ListBullet"/>
        <w:rPr>
          <w:lang w:val="en-US"/>
        </w:rPr>
      </w:pPr>
      <w:r>
        <w:rPr>
          <w:lang w:val="en-US"/>
        </w:rPr>
        <w:t>under the WTO Dispute Resolution rules</w:t>
      </w:r>
    </w:p>
    <w:p w:rsidR="007544CA" w:rsidRDefault="007544CA" w:rsidP="00133508">
      <w:pPr>
        <w:pStyle w:val="ListBullet"/>
        <w:rPr>
          <w:lang w:val="en-US"/>
        </w:rPr>
      </w:pPr>
      <w:r>
        <w:rPr>
          <w:lang w:val="en-US"/>
        </w:rPr>
        <w:t>by Investor</w:t>
      </w:r>
      <w:r>
        <w:rPr>
          <w:lang w:val="en-US"/>
        </w:rPr>
        <w:noBreakHyphen/>
        <w:t xml:space="preserve">State Dispute arbitration </w:t>
      </w:r>
      <w:r w:rsidRPr="00E3280F">
        <w:t>conducted under the United Nations Commission on International Trade Law Arbitration Rules</w:t>
      </w:r>
    </w:p>
    <w:p w:rsidR="007544CA" w:rsidRDefault="007544CA" w:rsidP="00133508">
      <w:pPr>
        <w:pStyle w:val="ListBullet"/>
        <w:rPr>
          <w:lang w:val="en-US"/>
        </w:rPr>
      </w:pPr>
      <w:r>
        <w:rPr>
          <w:lang w:val="en-US"/>
        </w:rPr>
        <w:t>via Constitutional challenge.</w:t>
      </w:r>
    </w:p>
    <w:p w:rsidR="007544CA" w:rsidRPr="00AE35A1" w:rsidRDefault="007544CA" w:rsidP="0013350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F2F2F2"/>
          </w:tcPr>
          <w:p w:rsidR="007544CA" w:rsidRDefault="007544CA" w:rsidP="00133508">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4.</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2</w:t>
            </w:r>
            <w:r>
              <w:rPr>
                <w:b w:val="0"/>
              </w:rPr>
              <w:fldChar w:fldCharType="end"/>
            </w:r>
            <w:r>
              <w:tab/>
              <w:t>Australia’s position on a Trade in Services Agreement</w:t>
            </w:r>
          </w:p>
        </w:tc>
      </w:tr>
      <w:tr w:rsidR="007544CA" w:rsidTr="00133508">
        <w:trPr>
          <w:cantSplit/>
        </w:trPr>
        <w:tc>
          <w:tcPr>
            <w:tcW w:w="8771" w:type="dxa"/>
            <w:tcBorders>
              <w:top w:val="nil"/>
              <w:left w:val="nil"/>
              <w:bottom w:val="nil"/>
              <w:right w:val="nil"/>
            </w:tcBorders>
            <w:shd w:val="clear" w:color="auto" w:fill="F2F2F2"/>
          </w:tcPr>
          <w:p w:rsidR="007544CA" w:rsidRDefault="007544CA" w:rsidP="00133508">
            <w:pPr>
              <w:pStyle w:val="BoxHeading1"/>
            </w:pPr>
            <w:r>
              <w:t>What is included in Australia’s market access offer?</w:t>
            </w:r>
          </w:p>
          <w:p w:rsidR="007544CA" w:rsidRDefault="007544CA" w:rsidP="00133508">
            <w:pPr>
              <w:pStyle w:val="Box"/>
            </w:pPr>
            <w:r>
              <w:t>Australia’s offer is broadly based on its revised offer tabled in the WTO in 2005. It also includes commitments made in Australia’s existing FTAs with respect to non</w:t>
            </w:r>
            <w:r>
              <w:noBreakHyphen/>
              <w:t>discriminatory treatment of foreign service suppliers, locking in current levels of market openness, and future liberalisation.</w:t>
            </w:r>
          </w:p>
          <w:p w:rsidR="007544CA" w:rsidRDefault="007544CA" w:rsidP="00133508">
            <w:pPr>
              <w:pStyle w:val="BoxHeading1"/>
            </w:pPr>
            <w:r>
              <w:t>Is Australia making commitments on health or education?</w:t>
            </w:r>
          </w:p>
          <w:p w:rsidR="007544CA" w:rsidRDefault="007544CA" w:rsidP="00133508">
            <w:pPr>
              <w:pStyle w:val="Box"/>
            </w:pPr>
            <w:r>
              <w:t xml:space="preserve">Australia’s </w:t>
            </w:r>
            <w:proofErr w:type="spellStart"/>
            <w:r>
              <w:t>TiSA</w:t>
            </w:r>
            <w:proofErr w:type="spellEnd"/>
            <w:r>
              <w:t xml:space="preserve"> market access offer does not include commitments on health, public education, public utilities, social security or other public services.</w:t>
            </w:r>
          </w:p>
          <w:p w:rsidR="007544CA" w:rsidRDefault="007544CA" w:rsidP="00133508">
            <w:pPr>
              <w:pStyle w:val="BoxHeading1"/>
            </w:pPr>
            <w:r>
              <w:t xml:space="preserve">How is Australia approaching 21st century issues in the </w:t>
            </w:r>
            <w:proofErr w:type="spellStart"/>
            <w:r>
              <w:t>TiSA</w:t>
            </w:r>
            <w:proofErr w:type="spellEnd"/>
            <w:r>
              <w:t>, such as cross</w:t>
            </w:r>
            <w:r>
              <w:noBreakHyphen/>
              <w:t>border data flows?</w:t>
            </w:r>
          </w:p>
          <w:p w:rsidR="007544CA" w:rsidRDefault="007544CA" w:rsidP="00133508">
            <w:pPr>
              <w:pStyle w:val="Box"/>
            </w:pPr>
            <w:r>
              <w:t xml:space="preserve">Australia supports the inclusion of ‘21st century’ trade issues in the </w:t>
            </w:r>
            <w:proofErr w:type="spellStart"/>
            <w:r>
              <w:t>TiSA</w:t>
            </w:r>
            <w:proofErr w:type="spellEnd"/>
            <w:r>
              <w:t>, such as cross</w:t>
            </w:r>
            <w:r>
              <w:noBreakHyphen/>
              <w:t xml:space="preserve">border data flows. Providing certainty for businesses of all types about their ability to transfer data across borders is something that the </w:t>
            </w:r>
            <w:proofErr w:type="spellStart"/>
            <w:r>
              <w:t>TiSA</w:t>
            </w:r>
            <w:proofErr w:type="spellEnd"/>
            <w:r>
              <w:t xml:space="preserve"> is well placed to address. It will be important to recognise the role of good regulatory practice to build consumer confidence in online transactions and increase participation in the digital economy. In Australia’s view, appropriate privacy protections will facilitate the development of electronic commerce. </w:t>
            </w:r>
          </w:p>
          <w:p w:rsidR="007544CA" w:rsidRDefault="007544CA" w:rsidP="00133508">
            <w:pPr>
              <w:pStyle w:val="BoxHeading1"/>
            </w:pPr>
            <w:r>
              <w:t xml:space="preserve">Is Australia making commitments on </w:t>
            </w:r>
            <w:proofErr w:type="spellStart"/>
            <w:r>
              <w:t>audio</w:t>
            </w:r>
            <w:r>
              <w:noBreakHyphen/>
              <w:t>visual</w:t>
            </w:r>
            <w:proofErr w:type="spellEnd"/>
            <w:r>
              <w:t xml:space="preserve"> services?</w:t>
            </w:r>
          </w:p>
          <w:p w:rsidR="007544CA" w:rsidRDefault="007544CA" w:rsidP="00133508">
            <w:pPr>
              <w:pStyle w:val="Box"/>
            </w:pPr>
            <w:r>
              <w:t xml:space="preserve">Australia’s </w:t>
            </w:r>
            <w:proofErr w:type="spellStart"/>
            <w:r>
              <w:t>TiSA</w:t>
            </w:r>
            <w:proofErr w:type="spellEnd"/>
            <w:r>
              <w:t xml:space="preserve"> market access offer does not include commitments on </w:t>
            </w:r>
            <w:proofErr w:type="spellStart"/>
            <w:r>
              <w:t>audio</w:t>
            </w:r>
            <w:r>
              <w:noBreakHyphen/>
              <w:t>visual</w:t>
            </w:r>
            <w:proofErr w:type="spellEnd"/>
            <w:r>
              <w:t xml:space="preserve"> services. </w:t>
            </w:r>
          </w:p>
          <w:p w:rsidR="007544CA" w:rsidRDefault="007544CA" w:rsidP="00133508">
            <w:pPr>
              <w:pStyle w:val="BoxHeading1"/>
            </w:pPr>
            <w:r>
              <w:t>Will temporary entry/labour mobility be part of the TISA?</w:t>
            </w:r>
          </w:p>
          <w:p w:rsidR="007544CA" w:rsidRDefault="007544CA" w:rsidP="00133508">
            <w:pPr>
              <w:pStyle w:val="Box"/>
            </w:pPr>
            <w:proofErr w:type="spellStart"/>
            <w:r>
              <w:t>TiSA</w:t>
            </w:r>
            <w:proofErr w:type="spellEnd"/>
            <w:r>
              <w:t xml:space="preserve"> parties have agreed to negotiate a high ambition agreement that covers all services sectors, including temporary entry of business persons. Many </w:t>
            </w:r>
            <w:proofErr w:type="spellStart"/>
            <w:r>
              <w:t>TiSA</w:t>
            </w:r>
            <w:proofErr w:type="spellEnd"/>
            <w:r>
              <w:t xml:space="preserve"> parties’ interest in temporary entry relates not only to potential market access commitments, but the rules which govern temporary entry, for example in areas such as transparency of visa application procedures. </w:t>
            </w:r>
          </w:p>
          <w:p w:rsidR="007544CA" w:rsidRDefault="007544CA" w:rsidP="00133508">
            <w:pPr>
              <w:pStyle w:val="Box"/>
            </w:pPr>
            <w:r>
              <w:t xml:space="preserve">Australia’s </w:t>
            </w:r>
            <w:proofErr w:type="spellStart"/>
            <w:r>
              <w:t>TiSA</w:t>
            </w:r>
            <w:proofErr w:type="spellEnd"/>
            <w:r>
              <w:t xml:space="preserve"> market access offer on temporary entry reflects Australia’s revised WTO Doha Round offer tabled in 2005. </w:t>
            </w:r>
          </w:p>
          <w:p w:rsidR="007544CA" w:rsidRDefault="007544CA" w:rsidP="00133508">
            <w:pPr>
              <w:pStyle w:val="BoxHeading1"/>
            </w:pPr>
            <w:r>
              <w:t>Is Investor</w:t>
            </w:r>
            <w:r>
              <w:noBreakHyphen/>
              <w:t>State Dispute Settlement (</w:t>
            </w:r>
            <w:proofErr w:type="spellStart"/>
            <w:r>
              <w:t>ISDS</w:t>
            </w:r>
            <w:proofErr w:type="spellEnd"/>
            <w:r>
              <w:t xml:space="preserve">) part of the </w:t>
            </w:r>
            <w:proofErr w:type="spellStart"/>
            <w:r>
              <w:t>TiSA</w:t>
            </w:r>
            <w:proofErr w:type="spellEnd"/>
            <w:r>
              <w:t xml:space="preserve"> negotiations?</w:t>
            </w:r>
          </w:p>
          <w:p w:rsidR="007544CA" w:rsidRDefault="007544CA" w:rsidP="00133508">
            <w:pPr>
              <w:pStyle w:val="Box"/>
            </w:pPr>
            <w:r>
              <w:t xml:space="preserve">There have been no proposals by any </w:t>
            </w:r>
            <w:proofErr w:type="spellStart"/>
            <w:r>
              <w:t>TiSA</w:t>
            </w:r>
            <w:proofErr w:type="spellEnd"/>
            <w:r>
              <w:t xml:space="preserve"> party to include </w:t>
            </w:r>
            <w:proofErr w:type="spellStart"/>
            <w:r>
              <w:t>ISDS</w:t>
            </w:r>
            <w:proofErr w:type="spellEnd"/>
            <w:r>
              <w:t xml:space="preserve"> in the </w:t>
            </w:r>
            <w:proofErr w:type="spellStart"/>
            <w:r>
              <w:t>TiSA</w:t>
            </w:r>
            <w:proofErr w:type="spellEnd"/>
            <w:r>
              <w:t>.</w:t>
            </w:r>
          </w:p>
        </w:tc>
      </w:tr>
      <w:tr w:rsidR="007544CA" w:rsidTr="00133508">
        <w:trPr>
          <w:cantSplit/>
        </w:trPr>
        <w:tc>
          <w:tcPr>
            <w:tcW w:w="8771" w:type="dxa"/>
            <w:tcBorders>
              <w:top w:val="nil"/>
              <w:left w:val="nil"/>
              <w:bottom w:val="nil"/>
              <w:right w:val="nil"/>
            </w:tcBorders>
            <w:shd w:val="clear" w:color="auto" w:fill="F2F2F2"/>
          </w:tcPr>
          <w:p w:rsidR="007544CA" w:rsidRDefault="007544CA" w:rsidP="00133508">
            <w:pPr>
              <w:pStyle w:val="BoxSource"/>
            </w:pPr>
            <w:r>
              <w:rPr>
                <w:i/>
              </w:rPr>
              <w:t>Source(s</w:t>
            </w:r>
            <w:r w:rsidRPr="00167F06">
              <w:t xml:space="preserve"> </w:t>
            </w:r>
            <w:proofErr w:type="spellStart"/>
            <w:r>
              <w:t>DFAT</w:t>
            </w:r>
            <w:proofErr w:type="spellEnd"/>
            <w:r>
              <w:t xml:space="preserve"> (</w:t>
            </w:r>
            <w:proofErr w:type="spellStart"/>
            <w:r>
              <w:t>2016a</w:t>
            </w:r>
            <w:proofErr w:type="spellEnd"/>
            <w:r w:rsidRPr="008F5251">
              <w:t>)</w:t>
            </w:r>
            <w:r>
              <w:t>.</w:t>
            </w:r>
          </w:p>
        </w:tc>
      </w:tr>
      <w:tr w:rsidR="007544CA" w:rsidTr="00133508">
        <w:trPr>
          <w:cantSplit/>
        </w:trPr>
        <w:tc>
          <w:tcPr>
            <w:tcW w:w="8771" w:type="dxa"/>
            <w:tcBorders>
              <w:top w:val="nil"/>
              <w:left w:val="nil"/>
              <w:bottom w:val="single" w:sz="6" w:space="0" w:color="78A22F"/>
              <w:right w:val="nil"/>
            </w:tcBorders>
            <w:shd w:val="clear" w:color="auto" w:fill="F2F2F2"/>
          </w:tcPr>
          <w:p w:rsidR="007544CA" w:rsidRDefault="007544CA" w:rsidP="00133508">
            <w:pPr>
              <w:pStyle w:val="Box"/>
              <w:spacing w:before="0" w:line="120" w:lineRule="exact"/>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Pr="00777556" w:rsidRDefault="007544CA" w:rsidP="00133508">
      <w:pPr>
        <w:pStyle w:val="BodyText"/>
        <w:rPr>
          <w:lang w:val="en-US"/>
        </w:rPr>
      </w:pPr>
      <w:r>
        <w:rPr>
          <w:lang w:val="en-US"/>
        </w:rPr>
        <w:t xml:space="preserve">The Constitutional challenges were unsuccessful in 2012. The </w:t>
      </w:r>
      <w:proofErr w:type="spellStart"/>
      <w:r>
        <w:rPr>
          <w:lang w:val="en-US"/>
        </w:rPr>
        <w:t>ISDS</w:t>
      </w:r>
      <w:proofErr w:type="spellEnd"/>
      <w:r>
        <w:rPr>
          <w:lang w:val="en-US"/>
        </w:rPr>
        <w:t xml:space="preserve"> arbitration dismissed the case in 2015 (after a substantial cost to taxpayers</w:t>
      </w:r>
      <w:r>
        <w:rPr>
          <w:rStyle w:val="FootnoteReference"/>
          <w:lang w:val="en-US"/>
        </w:rPr>
        <w:footnoteReference w:id="20"/>
      </w:r>
      <w:r>
        <w:rPr>
          <w:lang w:val="en-US"/>
        </w:rPr>
        <w:t xml:space="preserve">, some of which may be recouped). The WTO disputes remain open (box 4.3). </w:t>
      </w:r>
    </w:p>
    <w:p w:rsidR="007544CA" w:rsidRDefault="007544C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F2F2F2"/>
          </w:tcPr>
          <w:p w:rsidR="007544CA" w:rsidRDefault="007544CA" w:rsidP="00133508">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4.</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3</w:t>
            </w:r>
            <w:r>
              <w:rPr>
                <w:b w:val="0"/>
              </w:rPr>
              <w:fldChar w:fldCharType="end"/>
            </w:r>
            <w:r>
              <w:tab/>
              <w:t>Challenges to Australia’s tobacco plain packaging legislation</w:t>
            </w:r>
          </w:p>
        </w:tc>
      </w:tr>
      <w:tr w:rsidR="007544CA" w:rsidTr="00133508">
        <w:trPr>
          <w:cantSplit/>
        </w:trPr>
        <w:tc>
          <w:tcPr>
            <w:tcW w:w="8771" w:type="dxa"/>
            <w:tcBorders>
              <w:top w:val="nil"/>
              <w:left w:val="nil"/>
              <w:bottom w:val="nil"/>
              <w:right w:val="nil"/>
            </w:tcBorders>
            <w:shd w:val="clear" w:color="auto" w:fill="F2F2F2"/>
          </w:tcPr>
          <w:p w:rsidR="007544CA" w:rsidRDefault="007544CA" w:rsidP="00133508">
            <w:pPr>
              <w:pStyle w:val="BoxHeading1"/>
            </w:pPr>
            <w:r>
              <w:t xml:space="preserve">WTO Disputes </w:t>
            </w:r>
          </w:p>
          <w:p w:rsidR="007544CA" w:rsidRDefault="007544CA" w:rsidP="00133508">
            <w:pPr>
              <w:pStyle w:val="Box"/>
            </w:pPr>
            <w:r>
              <w:t>The WTO Dispute Settlement Body (</w:t>
            </w:r>
            <w:proofErr w:type="spellStart"/>
            <w:r>
              <w:t>DSB</w:t>
            </w:r>
            <w:proofErr w:type="spellEnd"/>
            <w:r>
              <w:t>) has established dispute settlement panels at the requests of Ukraine (28 September 2012), Honduras (25 September 2013), Indonesia (26 March 2014), the Dominican Republic (25 April 2014), and Cuba (25 April 2014). In addition to the complainant countries, 41 other countries have requested (and been granted permission) to join the disputes as third parties. All five complainants claim that Australia’s tobacco plain packaging laws appear to be inconsistent with certain provisions of the Trade</w:t>
            </w:r>
            <w:r>
              <w:noBreakHyphen/>
              <w:t>Related Aspects of Intellectual Property Rights (TRIPS) Agreement, the Technical Barriers to Trade (TBT) Agreement, and the General Agreement on Tariffs and Trade (GATT 1994).</w:t>
            </w:r>
          </w:p>
          <w:p w:rsidR="007544CA" w:rsidRPr="004A37E9" w:rsidRDefault="007544CA" w:rsidP="00133508">
            <w:pPr>
              <w:pStyle w:val="Box"/>
            </w:pPr>
            <w:r>
              <w:t>On 5 May 2014, the WTO Director</w:t>
            </w:r>
            <w:r>
              <w:noBreakHyphen/>
              <w:t xml:space="preserve">General composed the panels in each of the five tobacco disputes. The same panellists have been appointed to hear the five disputes.  </w:t>
            </w:r>
          </w:p>
          <w:p w:rsidR="007544CA" w:rsidRDefault="007544CA" w:rsidP="00133508">
            <w:pPr>
              <w:pStyle w:val="BoxHeading1"/>
            </w:pPr>
            <w:r>
              <w:t>Investor</w:t>
            </w:r>
            <w:r>
              <w:noBreakHyphen/>
              <w:t>State arbitration Dispute</w:t>
            </w:r>
          </w:p>
          <w:p w:rsidR="007544CA" w:rsidRDefault="007544CA" w:rsidP="00133508">
            <w:pPr>
              <w:pStyle w:val="Box"/>
            </w:pPr>
            <w:r>
              <w:t xml:space="preserve">Pursuant to the </w:t>
            </w:r>
            <w:r w:rsidRPr="00DA6A60">
              <w:rPr>
                <w:i/>
              </w:rPr>
              <w:t>Agreement</w:t>
            </w:r>
            <w:r w:rsidRPr="0008224A">
              <w:rPr>
                <w:i/>
              </w:rPr>
              <w:t xml:space="preserve"> between the Government of Australia and the Government of Hong Kong for the Promotion and Protection of Investments</w:t>
            </w:r>
            <w:r>
              <w:t xml:space="preserve">, which entered into force in 1993, Philip Morris Asia Limited served Australia with a Notice of Claim (followed by a Notice of Arbitration) in 2011 over tobacco plain packaging requirements. </w:t>
            </w:r>
            <w:r w:rsidRPr="004A37E9">
              <w:t xml:space="preserve">This </w:t>
            </w:r>
            <w:r>
              <w:t xml:space="preserve">was </w:t>
            </w:r>
            <w:r w:rsidRPr="004A37E9">
              <w:t>the first investor</w:t>
            </w:r>
            <w:r>
              <w:noBreakHyphen/>
              <w:t>s</w:t>
            </w:r>
            <w:r w:rsidRPr="004A37E9">
              <w:t>tate dispute brought against Australia</w:t>
            </w:r>
            <w:r>
              <w:t>.</w:t>
            </w:r>
          </w:p>
          <w:p w:rsidR="007544CA" w:rsidRDefault="007544CA" w:rsidP="00133508">
            <w:pPr>
              <w:pStyle w:val="Box"/>
            </w:pPr>
            <w:r w:rsidRPr="00E3280F">
              <w:t xml:space="preserve">The arbitration </w:t>
            </w:r>
            <w:r>
              <w:t>was</w:t>
            </w:r>
            <w:r w:rsidRPr="00E3280F">
              <w:t xml:space="preserve"> conducted under the United Nations Commission on International Trade Law Arbitration Rules 2010. </w:t>
            </w:r>
            <w:r w:rsidRPr="00AC2D98">
              <w:t>On 18</w:t>
            </w:r>
            <w:r>
              <w:t> </w:t>
            </w:r>
            <w:r w:rsidRPr="00AC2D98">
              <w:t>December 2015 the tribunal issued a unanimous decision agreeing with Australia's position that the tribunal has no jurisdiction to hear Philip Morris Asia's claim. On 17</w:t>
            </w:r>
            <w:r>
              <w:t> </w:t>
            </w:r>
            <w:r w:rsidRPr="00AC2D98">
              <w:t xml:space="preserve">May 2016 the tribunal published the decision with the parties' confidential information redacted. The tribunal found that Philip Morris Asia's claim was an abuse of </w:t>
            </w:r>
            <w:r>
              <w:t>process (abuse of rights)</w:t>
            </w:r>
            <w:r w:rsidRPr="00AC2D98">
              <w:t xml:space="preserve">, because Philip Morris Asia acquired an Australian subsidiary, Philip Morris (Australia) Limited, for the purpose of initiating </w:t>
            </w:r>
            <w:r>
              <w:t>the dispute</w:t>
            </w:r>
            <w:r w:rsidRPr="00AC2D98">
              <w:t xml:space="preserve"> under the Hong Kong Agreement. This concluded the arbitration in Australia's favour, subject to finalisation of the costs claim.</w:t>
            </w:r>
          </w:p>
          <w:p w:rsidR="007544CA" w:rsidRDefault="007544CA" w:rsidP="00133508">
            <w:pPr>
              <w:pStyle w:val="BoxHeading1"/>
            </w:pPr>
            <w:r>
              <w:t>Constitutional challenges</w:t>
            </w:r>
          </w:p>
          <w:p w:rsidR="007544CA" w:rsidRDefault="007544CA" w:rsidP="00133508">
            <w:pPr>
              <w:pStyle w:val="Box"/>
            </w:pPr>
            <w:r>
              <w:t xml:space="preserve">Two challenges to the tobacco plain packaging legislation were heard by the High Court of Australia 17–19 April 2012: British American Tobacco Australasia Limited and </w:t>
            </w:r>
            <w:proofErr w:type="spellStart"/>
            <w:r>
              <w:t>Ors</w:t>
            </w:r>
            <w:proofErr w:type="spellEnd"/>
            <w:r>
              <w:t xml:space="preserve"> v. Commonwealth of Australia and J T International SA v. Commonwealth of Australia.</w:t>
            </w:r>
          </w:p>
          <w:p w:rsidR="007544CA" w:rsidRDefault="007544CA" w:rsidP="00133508">
            <w:pPr>
              <w:pStyle w:val="Box"/>
            </w:pPr>
            <w:r>
              <w:t xml:space="preserve">On 15 August 2012, the High Court handed down orders for these matters, and found that the </w:t>
            </w:r>
            <w:r w:rsidRPr="0074698D">
              <w:rPr>
                <w:i/>
              </w:rPr>
              <w:t>Tobacco Plain Packaging Act 2011</w:t>
            </w:r>
            <w:r>
              <w:t xml:space="preserve"> is not contrary to s 51(xxxi) of the Constitution. On 5 October 2012 the Court handed down its reasons for the decision. By a 6:1 majority (</w:t>
            </w:r>
            <w:proofErr w:type="spellStart"/>
            <w:r>
              <w:t>Heydon</w:t>
            </w:r>
            <w:proofErr w:type="spellEnd"/>
            <w:r>
              <w:t xml:space="preserve"> J in dissent) the Court held that there had been no acquisition of property that would have required provision of 'just terms' under </w:t>
            </w:r>
            <w:proofErr w:type="spellStart"/>
            <w:r>
              <w:t>s51</w:t>
            </w:r>
            <w:proofErr w:type="spellEnd"/>
            <w:r>
              <w:t>(xxxi) of the Constitution.</w:t>
            </w:r>
          </w:p>
        </w:tc>
      </w:tr>
      <w:tr w:rsidR="007544CA" w:rsidTr="00133508">
        <w:trPr>
          <w:cantSplit/>
        </w:trPr>
        <w:tc>
          <w:tcPr>
            <w:tcW w:w="8771" w:type="dxa"/>
            <w:tcBorders>
              <w:top w:val="nil"/>
              <w:left w:val="nil"/>
              <w:bottom w:val="nil"/>
              <w:right w:val="nil"/>
            </w:tcBorders>
            <w:shd w:val="clear" w:color="auto" w:fill="F2F2F2"/>
          </w:tcPr>
          <w:p w:rsidR="007544CA" w:rsidRDefault="007544CA" w:rsidP="00133508">
            <w:pPr>
              <w:pStyle w:val="BoxSource"/>
            </w:pPr>
            <w:r>
              <w:rPr>
                <w:i/>
              </w:rPr>
              <w:t>Source</w:t>
            </w:r>
            <w:r w:rsidRPr="00167F06">
              <w:t xml:space="preserve"> </w:t>
            </w:r>
            <w:r>
              <w:t xml:space="preserve"> </w:t>
            </w:r>
            <w:proofErr w:type="spellStart"/>
            <w:r>
              <w:t>DFAT</w:t>
            </w:r>
            <w:proofErr w:type="spellEnd"/>
            <w:r>
              <w:t xml:space="preserve"> </w:t>
            </w:r>
            <w:proofErr w:type="spellStart"/>
            <w:r>
              <w:t>2016c</w:t>
            </w:r>
            <w:proofErr w:type="spellEnd"/>
            <w:r>
              <w:t xml:space="preserve"> .</w:t>
            </w:r>
          </w:p>
        </w:tc>
      </w:tr>
      <w:tr w:rsidR="007544CA" w:rsidTr="00133508">
        <w:trPr>
          <w:cantSplit/>
        </w:trPr>
        <w:tc>
          <w:tcPr>
            <w:tcW w:w="8771" w:type="dxa"/>
            <w:tcBorders>
              <w:top w:val="nil"/>
              <w:left w:val="nil"/>
              <w:bottom w:val="single" w:sz="6" w:space="0" w:color="78A22F"/>
              <w:right w:val="nil"/>
            </w:tcBorders>
            <w:shd w:val="clear" w:color="auto" w:fill="F2F2F2"/>
          </w:tcPr>
          <w:p w:rsidR="007544CA" w:rsidRDefault="007544CA">
            <w:pPr>
              <w:pStyle w:val="Box"/>
              <w:spacing w:before="0" w:line="120" w:lineRule="exact"/>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366344" w:rsidP="00133508">
      <w:pPr>
        <w:pStyle w:val="Heading2"/>
      </w:pPr>
      <w:r>
        <w:lastRenderedPageBreak/>
        <w:fldChar w:fldCharType="begin" w:fldLock="1"/>
      </w:r>
      <w:r>
        <w:instrText xml:space="preserve"> COMMENTS  \* MERGEFORMAT </w:instrText>
      </w:r>
      <w:r>
        <w:fldChar w:fldCharType="separate"/>
      </w:r>
      <w:r w:rsidR="007544CA">
        <w:t>4.</w:t>
      </w:r>
      <w:r>
        <w:fldChar w:fldCharType="end"/>
      </w:r>
      <w:r>
        <w:fldChar w:fldCharType="begin" w:fldLock="1"/>
      </w:r>
      <w:r>
        <w:instrText xml:space="preserve"> SEQ Heading2 </w:instrText>
      </w:r>
      <w:r>
        <w:fldChar w:fldCharType="separate"/>
      </w:r>
      <w:r w:rsidR="007544CA">
        <w:rPr>
          <w:noProof/>
        </w:rPr>
        <w:t>3</w:t>
      </w:r>
      <w:r>
        <w:rPr>
          <w:noProof/>
        </w:rPr>
        <w:fldChar w:fldCharType="end"/>
      </w:r>
      <w:r w:rsidR="007544CA">
        <w:tab/>
        <w:t>Developments in Australia’s Anti</w:t>
      </w:r>
      <w:r w:rsidR="007544CA">
        <w:noBreakHyphen/>
        <w:t>Dumping Arrangements</w:t>
      </w:r>
    </w:p>
    <w:p w:rsidR="007544CA" w:rsidRDefault="007544CA" w:rsidP="00133508">
      <w:pPr>
        <w:pStyle w:val="BodyText"/>
      </w:pPr>
      <w:r>
        <w:t xml:space="preserve">In early 2016 the Commission published </w:t>
      </w:r>
      <w:r w:rsidRPr="00B523FF">
        <w:t xml:space="preserve">an economic stocktake of recent </w:t>
      </w:r>
      <w:proofErr w:type="spellStart"/>
      <w:r w:rsidRPr="00B523FF">
        <w:t>anti</w:t>
      </w:r>
      <w:r>
        <w:noBreakHyphen/>
      </w:r>
      <w:r w:rsidRPr="00B523FF">
        <w:t>dumping</w:t>
      </w:r>
      <w:proofErr w:type="spellEnd"/>
      <w:r w:rsidRPr="00B523FF">
        <w:t xml:space="preserve"> activity and the changes to Australia</w:t>
      </w:r>
      <w:r>
        <w:t>’</w:t>
      </w:r>
      <w:r w:rsidRPr="00B523FF">
        <w:t xml:space="preserve">s </w:t>
      </w:r>
      <w:proofErr w:type="spellStart"/>
      <w:r w:rsidRPr="00B523FF">
        <w:t>anti</w:t>
      </w:r>
      <w:r>
        <w:noBreakHyphen/>
      </w:r>
      <w:r w:rsidRPr="00B523FF">
        <w:t>dumping</w:t>
      </w:r>
      <w:proofErr w:type="spellEnd"/>
      <w:r w:rsidRPr="00B523FF">
        <w:t xml:space="preserve"> system since the Commission's 2009 inquiry</w:t>
      </w:r>
      <w:r>
        <w:t xml:space="preserve"> (PC 2016). </w:t>
      </w:r>
      <w:r w:rsidRPr="00B523FF">
        <w:t xml:space="preserve">The Commission found that there has been an increase in use of </w:t>
      </w:r>
      <w:proofErr w:type="spellStart"/>
      <w:r w:rsidRPr="00B523FF">
        <w:t>anti</w:t>
      </w:r>
      <w:r>
        <w:noBreakHyphen/>
      </w:r>
      <w:r w:rsidRPr="00B523FF">
        <w:t>dumping</w:t>
      </w:r>
      <w:proofErr w:type="spellEnd"/>
      <w:r w:rsidRPr="00B523FF">
        <w:t xml:space="preserve"> measures in recent years, alongside policy changes that have made </w:t>
      </w:r>
      <w:proofErr w:type="spellStart"/>
      <w:r w:rsidRPr="00B523FF">
        <w:t>anti</w:t>
      </w:r>
      <w:r>
        <w:noBreakHyphen/>
      </w:r>
      <w:r w:rsidRPr="00B523FF">
        <w:t>dumping</w:t>
      </w:r>
      <w:proofErr w:type="spellEnd"/>
      <w:r w:rsidRPr="00B523FF">
        <w:t xml:space="preserve"> protections easier to access</w:t>
      </w:r>
      <w:r>
        <w:t xml:space="preserve"> (box 4.4)</w:t>
      </w:r>
      <w:r w:rsidRPr="00B523FF">
        <w:t xml:space="preserve">. The </w:t>
      </w:r>
      <w:r>
        <w:t xml:space="preserve">recent trend has been an </w:t>
      </w:r>
      <w:r w:rsidRPr="00B523FF">
        <w:t>increased demand for protection and a</w:t>
      </w:r>
      <w:r>
        <w:t xml:space="preserve"> more accommodating </w:t>
      </w:r>
      <w:r w:rsidRPr="00B523FF">
        <w:t>Australian system</w:t>
      </w:r>
      <w:r>
        <w:t>.</w:t>
      </w:r>
    </w:p>
    <w:p w:rsidR="007544CA" w:rsidRDefault="007544CA" w:rsidP="00133508">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F2F2F2"/>
          </w:tcPr>
          <w:p w:rsidR="007544CA" w:rsidRDefault="007544CA" w:rsidP="00133508">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4.</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4</w:t>
            </w:r>
            <w:r>
              <w:rPr>
                <w:b w:val="0"/>
              </w:rPr>
              <w:fldChar w:fldCharType="end"/>
            </w:r>
            <w:r>
              <w:tab/>
              <w:t xml:space="preserve">Australia’s </w:t>
            </w:r>
            <w:proofErr w:type="spellStart"/>
            <w:r>
              <w:t>anti</w:t>
            </w:r>
            <w:r>
              <w:noBreakHyphen/>
              <w:t>dumping</w:t>
            </w:r>
            <w:proofErr w:type="spellEnd"/>
            <w:r>
              <w:t xml:space="preserve"> system and recent changes</w:t>
            </w:r>
          </w:p>
        </w:tc>
      </w:tr>
      <w:tr w:rsidR="007544CA" w:rsidTr="00133508">
        <w:trPr>
          <w:cantSplit/>
        </w:trPr>
        <w:tc>
          <w:tcPr>
            <w:tcW w:w="8771" w:type="dxa"/>
            <w:tcBorders>
              <w:top w:val="nil"/>
              <w:left w:val="nil"/>
              <w:bottom w:val="nil"/>
              <w:right w:val="nil"/>
            </w:tcBorders>
            <w:shd w:val="clear" w:color="auto" w:fill="F2F2F2"/>
          </w:tcPr>
          <w:p w:rsidR="007544CA" w:rsidRDefault="007544CA" w:rsidP="00133508">
            <w:pPr>
              <w:pStyle w:val="BoxHeading1"/>
            </w:pPr>
            <w:r>
              <w:t>Import protection through dumping duties</w:t>
            </w:r>
          </w:p>
          <w:p w:rsidR="007544CA" w:rsidRDefault="007544CA" w:rsidP="00133508">
            <w:pPr>
              <w:pStyle w:val="Box"/>
            </w:pPr>
            <w:r>
              <w:t xml:space="preserve">Australia's </w:t>
            </w:r>
            <w:proofErr w:type="spellStart"/>
            <w:r>
              <w:t>anti</w:t>
            </w:r>
            <w:r>
              <w:noBreakHyphen/>
              <w:t>dumping</w:t>
            </w:r>
            <w:proofErr w:type="spellEnd"/>
            <w:r>
              <w:t xml:space="preserve"> and countervailing system provides Australian firms with protection in addition to that available through the general tariff regime. As </w:t>
            </w:r>
            <w:proofErr w:type="spellStart"/>
            <w:r>
              <w:t>anti</w:t>
            </w:r>
            <w:r>
              <w:noBreakHyphen/>
              <w:t>dumping</w:t>
            </w:r>
            <w:proofErr w:type="spellEnd"/>
            <w:r>
              <w:t xml:space="preserve"> duties apply to all relevant imports regardless of whether the complainant firm can supply such volume, the costs to the economy are normally well in excess of the benefit to the firm. Companies may apply to the Anti</w:t>
            </w:r>
            <w:r>
              <w:noBreakHyphen/>
              <w:t>Dumping Commission for protection — which usually takes the form of special customs duties on the imported goods — when:</w:t>
            </w:r>
          </w:p>
          <w:p w:rsidR="007544CA" w:rsidRDefault="007544CA" w:rsidP="00133508">
            <w:pPr>
              <w:pStyle w:val="BoxListBullet"/>
            </w:pPr>
            <w:r>
              <w:t>either the export price of a good to Australia is lower than the price (or deemed 'normal' price) in the supplier's home market; or</w:t>
            </w:r>
          </w:p>
          <w:p w:rsidR="007544CA" w:rsidRDefault="007544CA" w:rsidP="00133508">
            <w:pPr>
              <w:pStyle w:val="BoxListBullet"/>
            </w:pPr>
            <w:r>
              <w:t>the supplier has received any of a specified group of subsidies from its government, and</w:t>
            </w:r>
          </w:p>
          <w:p w:rsidR="007544CA" w:rsidRDefault="007544CA" w:rsidP="00133508">
            <w:pPr>
              <w:pStyle w:val="BoxListBullet"/>
            </w:pPr>
            <w:r>
              <w:t>the 'dumped' or subsidised imports cause, or threaten to cause, 'material injury' to a local producer of 'like goods'.</w:t>
            </w:r>
          </w:p>
          <w:p w:rsidR="007544CA" w:rsidRDefault="007544CA" w:rsidP="00133508">
            <w:pPr>
              <w:pStyle w:val="Box"/>
            </w:pPr>
            <w:r>
              <w:t xml:space="preserve">Once instituted, </w:t>
            </w:r>
            <w:proofErr w:type="spellStart"/>
            <w:r>
              <w:t>anti</w:t>
            </w:r>
            <w:r>
              <w:noBreakHyphen/>
              <w:t>dumping</w:t>
            </w:r>
            <w:proofErr w:type="spellEnd"/>
            <w:r>
              <w:t xml:space="preserve"> measures generally remain in place for at least five years, with some persisting for decades.</w:t>
            </w:r>
          </w:p>
          <w:p w:rsidR="007544CA" w:rsidRDefault="007544CA" w:rsidP="00133508">
            <w:pPr>
              <w:pStyle w:val="BoxHeading1"/>
            </w:pPr>
            <w:r>
              <w:t>Recent strengthening of protection</w:t>
            </w:r>
          </w:p>
          <w:p w:rsidR="007544CA" w:rsidRDefault="007544CA" w:rsidP="00133508">
            <w:pPr>
              <w:pStyle w:val="Box"/>
            </w:pPr>
            <w:r>
              <w:t xml:space="preserve">Recent changes to Australia's </w:t>
            </w:r>
            <w:proofErr w:type="spellStart"/>
            <w:r>
              <w:t>anti</w:t>
            </w:r>
            <w:r>
              <w:noBreakHyphen/>
              <w:t>dumping</w:t>
            </w:r>
            <w:proofErr w:type="spellEnd"/>
            <w:r>
              <w:t xml:space="preserve"> system have collectively increased the likelihood that firms can obtain support, and the likely level of those measures through:</w:t>
            </w:r>
          </w:p>
          <w:p w:rsidR="007544CA" w:rsidRDefault="007544CA" w:rsidP="00133508">
            <w:pPr>
              <w:pStyle w:val="BoxListBullet"/>
            </w:pPr>
            <w:r>
              <w:t xml:space="preserve">a broadening of the material injury test </w:t>
            </w:r>
          </w:p>
          <w:p w:rsidR="007544CA" w:rsidRDefault="007544CA" w:rsidP="00133508">
            <w:pPr>
              <w:pStyle w:val="BoxListBullet"/>
            </w:pPr>
            <w:r>
              <w:t>widening of the scope to use proxy or constructed normal values in dumping cases. Typically, these methodologies will be more likely to lead to a finding of dumping than the previous default methodology based on prices in the exporter's home market</w:t>
            </w:r>
          </w:p>
          <w:p w:rsidR="007544CA" w:rsidRDefault="007544CA" w:rsidP="00133508">
            <w:pPr>
              <w:pStyle w:val="BoxListBullet"/>
            </w:pPr>
            <w:r>
              <w:t>weakening of the lesser duty rule (which provides for reduced levels of protection when this would be sufficient to remediate injury for a local industry)</w:t>
            </w:r>
          </w:p>
          <w:p w:rsidR="007544CA" w:rsidRDefault="007544CA" w:rsidP="00133508">
            <w:pPr>
              <w:pStyle w:val="BoxListBullet"/>
            </w:pPr>
            <w:r>
              <w:t>introduction of a new anti</w:t>
            </w:r>
            <w:r>
              <w:noBreakHyphen/>
              <w:t>circumvention framework, which will almost inevitably lead to some unwarranted extension of measures — as well as unduly constraining importers’ pricing flexibility.</w:t>
            </w:r>
          </w:p>
          <w:p w:rsidR="007544CA" w:rsidRDefault="007544CA" w:rsidP="00133508">
            <w:pPr>
              <w:pStyle w:val="Box"/>
            </w:pPr>
            <w:r>
              <w:t>One firm (</w:t>
            </w:r>
            <w:proofErr w:type="spellStart"/>
            <w:r>
              <w:t>Arrium</w:t>
            </w:r>
            <w:proofErr w:type="spellEnd"/>
            <w:r>
              <w:t xml:space="preserve"> steel) has recently achieved </w:t>
            </w:r>
            <w:proofErr w:type="spellStart"/>
            <w:r>
              <w:t>anti</w:t>
            </w:r>
            <w:r>
              <w:noBreakHyphen/>
              <w:t>dumping</w:t>
            </w:r>
            <w:proofErr w:type="spellEnd"/>
            <w:r>
              <w:t xml:space="preserve"> coverage of 75 per cent of its product base. </w:t>
            </w:r>
            <w:proofErr w:type="spellStart"/>
            <w:r>
              <w:t>Arium</w:t>
            </w:r>
            <w:proofErr w:type="spellEnd"/>
            <w:r>
              <w:t xml:space="preserve"> advised its shareholders in 2014 that it would explore the feasibility of applying for additional </w:t>
            </w:r>
            <w:proofErr w:type="spellStart"/>
            <w:r>
              <w:t>anti</w:t>
            </w:r>
            <w:r>
              <w:noBreakHyphen/>
              <w:t>dumping</w:t>
            </w:r>
            <w:proofErr w:type="spellEnd"/>
            <w:r>
              <w:t xml:space="preserve"> measures on top of its then already significant coverage levels (65 per cent).</w:t>
            </w:r>
          </w:p>
        </w:tc>
      </w:tr>
      <w:tr w:rsidR="007544CA" w:rsidTr="00133508">
        <w:trPr>
          <w:cantSplit/>
        </w:trPr>
        <w:tc>
          <w:tcPr>
            <w:tcW w:w="8771" w:type="dxa"/>
            <w:tcBorders>
              <w:top w:val="nil"/>
              <w:left w:val="nil"/>
              <w:bottom w:val="single" w:sz="6" w:space="0" w:color="78A22F"/>
              <w:right w:val="nil"/>
            </w:tcBorders>
            <w:shd w:val="clear" w:color="auto" w:fill="F2F2F2"/>
          </w:tcPr>
          <w:p w:rsidR="007544CA" w:rsidRDefault="007544CA" w:rsidP="00133508">
            <w:pPr>
              <w:pStyle w:val="BoxSource"/>
            </w:pPr>
            <w:r w:rsidRPr="000F7588">
              <w:rPr>
                <w:i/>
              </w:rPr>
              <w:t>Source</w:t>
            </w:r>
            <w:r>
              <w:t>:  PC 2016.</w:t>
            </w:r>
          </w:p>
        </w:tc>
      </w:tr>
    </w:tbl>
    <w:p w:rsidR="007544CA" w:rsidRDefault="007544CA" w:rsidP="00133508">
      <w:pPr>
        <w:pStyle w:val="Heading3"/>
      </w:pPr>
      <w:r>
        <w:lastRenderedPageBreak/>
        <w:t xml:space="preserve">Global </w:t>
      </w:r>
      <w:proofErr w:type="spellStart"/>
      <w:r>
        <w:t>a</w:t>
      </w:r>
      <w:r w:rsidRPr="000929EA">
        <w:t>nti</w:t>
      </w:r>
      <w:r>
        <w:noBreakHyphen/>
      </w:r>
      <w:r w:rsidRPr="000929EA">
        <w:t>dumping</w:t>
      </w:r>
      <w:proofErr w:type="spellEnd"/>
      <w:r w:rsidRPr="000929EA">
        <w:t xml:space="preserve"> activity has increased since the Global Financial Crisis</w:t>
      </w:r>
    </w:p>
    <w:p w:rsidR="007544CA" w:rsidRDefault="007544CA" w:rsidP="00133508">
      <w:pPr>
        <w:pStyle w:val="BodyText"/>
      </w:pPr>
      <w:r>
        <w:t xml:space="preserve">In the wake of the Global Financial Crisis, the cyclical upswing in use of the system that typically occurs during softer economic conditions has again been evident in both Australia (figure 4.2) and overseas. Australia is a substantial user of </w:t>
      </w:r>
      <w:proofErr w:type="spellStart"/>
      <w:r>
        <w:t>anti</w:t>
      </w:r>
      <w:r>
        <w:noBreakHyphen/>
        <w:t>dumping</w:t>
      </w:r>
      <w:proofErr w:type="spellEnd"/>
      <w:r>
        <w:t xml:space="preserve"> measures, ranking tenth on a global scale, a level out of proportion to Australia’s position as a trading nation.</w:t>
      </w:r>
    </w:p>
    <w:p w:rsidR="007544CA" w:rsidRDefault="007544CA" w:rsidP="00133508">
      <w:pPr>
        <w:pStyle w:val="BodyText"/>
      </w:pPr>
      <w:r>
        <w:t xml:space="preserve">While cyclical pressures explain part of the recent increase in </w:t>
      </w:r>
      <w:proofErr w:type="spellStart"/>
      <w:r>
        <w:t>anti</w:t>
      </w:r>
      <w:r>
        <w:noBreakHyphen/>
        <w:t>dumping</w:t>
      </w:r>
      <w:proofErr w:type="spellEnd"/>
      <w:r>
        <w:t xml:space="preserve"> activity, other factors have also been at play. In particular, a global supply glut in the steel industry has seen the Australian steel industry increasingly seeking relief from intense price competition through the </w:t>
      </w:r>
      <w:proofErr w:type="spellStart"/>
      <w:r>
        <w:t>anti</w:t>
      </w:r>
      <w:r>
        <w:noBreakHyphen/>
        <w:t>dumping</w:t>
      </w:r>
      <w:proofErr w:type="spellEnd"/>
      <w:r>
        <w:t xml:space="preserve"> system. </w:t>
      </w:r>
    </w:p>
    <w:p w:rsidR="007544CA" w:rsidRDefault="007544CA" w:rsidP="00133508">
      <w:pPr>
        <w:pStyle w:val="BodyText"/>
      </w:pPr>
      <w:r>
        <w:t>Recent changes to Australia’s system to make protection more accessible for its clients are also likely to have contributed to the increase in usage.</w:t>
      </w:r>
    </w:p>
    <w:p w:rsidR="007544CA" w:rsidRDefault="007544CA" w:rsidP="0013350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Pr="00176D3F" w:rsidRDefault="007544CA" w:rsidP="00133508">
            <w:pPr>
              <w:pStyle w:val="FigureTitle"/>
            </w:pPr>
            <w:r w:rsidRPr="00784A05">
              <w:rPr>
                <w:b w:val="0"/>
              </w:rPr>
              <w:t xml:space="preserve">Figure </w:t>
            </w:r>
            <w:r w:rsidRPr="00784A05">
              <w:rPr>
                <w:b w:val="0"/>
              </w:rPr>
              <w:fldChar w:fldCharType="begin" w:fldLock="1"/>
            </w:r>
            <w:r w:rsidRPr="00784A05">
              <w:rPr>
                <w:b w:val="0"/>
              </w:rPr>
              <w:instrText xml:space="preserve"> COMMENTS  \* MERGEFORMAT </w:instrText>
            </w:r>
            <w:r w:rsidRPr="00784A05">
              <w:rPr>
                <w:b w:val="0"/>
              </w:rPr>
              <w:fldChar w:fldCharType="separate"/>
            </w:r>
            <w:r>
              <w:rPr>
                <w:b w:val="0"/>
              </w:rPr>
              <w:t>4.</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2</w:t>
            </w:r>
            <w:r w:rsidRPr="00784A05">
              <w:rPr>
                <w:b w:val="0"/>
              </w:rPr>
              <w:fldChar w:fldCharType="end"/>
            </w:r>
            <w:r>
              <w:tab/>
              <w:t xml:space="preserve">Australian </w:t>
            </w:r>
            <w:proofErr w:type="spellStart"/>
            <w:r>
              <w:t>anti</w:t>
            </w:r>
            <w:r>
              <w:noBreakHyphen/>
              <w:t>dumping</w:t>
            </w:r>
            <w:proofErr w:type="spellEnd"/>
            <w:r>
              <w:t xml:space="preserve"> and countervailing activity </w:t>
            </w:r>
            <w:r>
              <w:br/>
              <w:t>1990</w:t>
            </w:r>
            <w:r>
              <w:noBreakHyphen/>
              <w:t>91 to 2014</w:t>
            </w:r>
            <w:r>
              <w:noBreakHyphen/>
              <w:t>15</w:t>
            </w:r>
          </w:p>
        </w:tc>
      </w:tr>
      <w:tr w:rsidR="007544CA" w:rsidTr="0013350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544CA" w:rsidTr="00133508">
              <w:trPr>
                <w:jc w:val="center"/>
              </w:trPr>
              <w:tc>
                <w:tcPr>
                  <w:tcW w:w="5000" w:type="pct"/>
                  <w:tcBorders>
                    <w:top w:val="nil"/>
                    <w:bottom w:val="nil"/>
                  </w:tcBorders>
                </w:tcPr>
                <w:p w:rsidR="007544CA" w:rsidRDefault="007544CA" w:rsidP="00133508">
                  <w:pPr>
                    <w:pStyle w:val="Figure"/>
                    <w:spacing w:before="60" w:after="60"/>
                  </w:pPr>
                  <w:r>
                    <w:rPr>
                      <w:noProof/>
                    </w:rPr>
                    <w:drawing>
                      <wp:inline distT="0" distB="0" distL="0" distR="0" wp14:anchorId="0326354B" wp14:editId="6BD73730">
                        <wp:extent cx="5391150" cy="2867025"/>
                        <wp:effectExtent l="0" t="0" r="0" b="9525"/>
                        <wp:docPr id="15" name="Picture 15" descr="This figure shows Australia’s anti-dumping initiations and measures imposed peaked in 1990-91, then fell to significantly (almost minimal) lower levels around 2008. Since then initiations and measures imposed per year have increased markedly though not to the level in 1990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7544CA" w:rsidRDefault="007544CA" w:rsidP="00133508">
            <w:pPr>
              <w:pStyle w:val="Figure"/>
            </w:pPr>
          </w:p>
        </w:tc>
      </w:tr>
      <w:tr w:rsidR="007544CA" w:rsidRPr="00176D3F" w:rsidTr="00133508">
        <w:tc>
          <w:tcPr>
            <w:tcW w:w="8771" w:type="dxa"/>
            <w:tcBorders>
              <w:top w:val="nil"/>
              <w:left w:val="nil"/>
              <w:bottom w:val="nil"/>
              <w:right w:val="nil"/>
            </w:tcBorders>
            <w:shd w:val="clear" w:color="auto" w:fill="auto"/>
          </w:tcPr>
          <w:p w:rsidR="007544CA" w:rsidRPr="00176D3F" w:rsidRDefault="007544CA" w:rsidP="00133508">
            <w:pPr>
              <w:pStyle w:val="Source"/>
            </w:pPr>
            <w:r>
              <w:rPr>
                <w:i/>
              </w:rPr>
              <w:t>S</w:t>
            </w:r>
            <w:r w:rsidRPr="00784A05">
              <w:rPr>
                <w:i/>
              </w:rPr>
              <w:t>ource</w:t>
            </w:r>
            <w:r w:rsidRPr="00176D3F">
              <w:t xml:space="preserve">: </w:t>
            </w:r>
            <w:r>
              <w:t>PC (</w:t>
            </w:r>
            <w:proofErr w:type="spellStart"/>
            <w:r>
              <w:t>2016a</w:t>
            </w:r>
            <w:proofErr w:type="spellEnd"/>
            <w:r>
              <w:t>).</w:t>
            </w:r>
          </w:p>
        </w:tc>
      </w:tr>
      <w:tr w:rsidR="007544CA" w:rsidTr="00133508">
        <w:tc>
          <w:tcPr>
            <w:tcW w:w="8771" w:type="dxa"/>
            <w:tcBorders>
              <w:top w:val="nil"/>
              <w:left w:val="nil"/>
              <w:bottom w:val="single" w:sz="6" w:space="0" w:color="78A22F"/>
              <w:right w:val="nil"/>
            </w:tcBorders>
            <w:shd w:val="clear" w:color="auto" w:fill="auto"/>
          </w:tcPr>
          <w:p w:rsidR="007544CA" w:rsidRDefault="007544CA" w:rsidP="00133508">
            <w:pPr>
              <w:pStyle w:val="Figurespace"/>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Heading3"/>
      </w:pPr>
      <w:r>
        <w:t xml:space="preserve">Growth in </w:t>
      </w:r>
      <w:proofErr w:type="spellStart"/>
      <w:r>
        <w:t>anti</w:t>
      </w:r>
      <w:r>
        <w:noBreakHyphen/>
        <w:t>dumping</w:t>
      </w:r>
      <w:proofErr w:type="spellEnd"/>
      <w:r>
        <w:t xml:space="preserve"> activity has been concentrated in the steel sector</w:t>
      </w:r>
    </w:p>
    <w:p w:rsidR="007544CA" w:rsidRDefault="007544CA" w:rsidP="00133508">
      <w:pPr>
        <w:pStyle w:val="BodyText"/>
      </w:pPr>
      <w:r>
        <w:t xml:space="preserve">A notable feature of Australia's </w:t>
      </w:r>
      <w:proofErr w:type="spellStart"/>
      <w:r>
        <w:t>anti</w:t>
      </w:r>
      <w:r>
        <w:noBreakHyphen/>
        <w:t>dumping</w:t>
      </w:r>
      <w:proofErr w:type="spellEnd"/>
      <w:r>
        <w:t xml:space="preserve"> activity in recent years is the predominance of the steel sector. Steel products accounted for 86 per cent of </w:t>
      </w:r>
      <w:proofErr w:type="spellStart"/>
      <w:r>
        <w:t>anti</w:t>
      </w:r>
      <w:r>
        <w:noBreakHyphen/>
        <w:t>dumping</w:t>
      </w:r>
      <w:proofErr w:type="spellEnd"/>
      <w:r>
        <w:t xml:space="preserve"> and countervailing investigations and 60 per cent of all the measures imposed in 2014</w:t>
      </w:r>
      <w:r>
        <w:noBreakHyphen/>
        <w:t xml:space="preserve">15. </w:t>
      </w:r>
      <w:r>
        <w:lastRenderedPageBreak/>
        <w:t>Moreover, the rapid rise in the number of measures on steel products accounts for the bulk of the total increase in Australian measures in recent years. Measures on steel products currently make up 60 per cent of all measures in force. Most of the steel measures were on products from Asia (figure 4.3).</w:t>
      </w:r>
    </w:p>
    <w:p w:rsidR="007544CA" w:rsidRDefault="007544CA" w:rsidP="0013350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Pr="00AB5B51" w:rsidRDefault="007544CA" w:rsidP="00133508">
            <w:pPr>
              <w:pStyle w:val="FigureTitle"/>
              <w:rPr>
                <w:b w:val="0"/>
                <w:position w:val="6"/>
                <w:sz w:val="18"/>
              </w:rPr>
            </w:pPr>
            <w:r w:rsidRPr="00784A05">
              <w:rPr>
                <w:b w:val="0"/>
              </w:rPr>
              <w:t xml:space="preserve">Figure </w:t>
            </w:r>
            <w:r w:rsidRPr="00784A05">
              <w:rPr>
                <w:b w:val="0"/>
              </w:rPr>
              <w:fldChar w:fldCharType="begin" w:fldLock="1"/>
            </w:r>
            <w:r w:rsidRPr="00784A05">
              <w:rPr>
                <w:b w:val="0"/>
              </w:rPr>
              <w:instrText xml:space="preserve"> COMMENTS  \* MERGEFORMAT </w:instrText>
            </w:r>
            <w:r w:rsidRPr="00784A05">
              <w:rPr>
                <w:b w:val="0"/>
              </w:rPr>
              <w:fldChar w:fldCharType="separate"/>
            </w:r>
            <w:r>
              <w:rPr>
                <w:b w:val="0"/>
              </w:rPr>
              <w:t>4.</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3</w:t>
            </w:r>
            <w:r w:rsidRPr="00784A05">
              <w:rPr>
                <w:b w:val="0"/>
              </w:rPr>
              <w:fldChar w:fldCharType="end"/>
            </w:r>
            <w:r>
              <w:tab/>
              <w:t xml:space="preserve">Australian </w:t>
            </w:r>
            <w:proofErr w:type="spellStart"/>
            <w:r>
              <w:t>anti</w:t>
            </w:r>
            <w:r>
              <w:noBreakHyphen/>
              <w:t>dumping</w:t>
            </w:r>
            <w:proofErr w:type="spellEnd"/>
            <w:r>
              <w:t xml:space="preserve"> and countervailing initiations and measures by industry, 2014</w:t>
            </w:r>
            <w:r>
              <w:noBreakHyphen/>
              <w:t>15</w:t>
            </w:r>
            <w:r w:rsidRPr="0096472F">
              <w:rPr>
                <w:rStyle w:val="NoteLabel"/>
                <w:rFonts w:ascii="Arial Bold" w:hAnsi="Arial Bold"/>
                <w:b/>
                <w:position w:val="10"/>
              </w:rPr>
              <w:t>a</w:t>
            </w:r>
          </w:p>
        </w:tc>
      </w:tr>
      <w:tr w:rsidR="007544CA" w:rsidTr="0013350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544CA" w:rsidTr="00133508">
              <w:trPr>
                <w:jc w:val="center"/>
              </w:trPr>
              <w:tc>
                <w:tcPr>
                  <w:tcW w:w="5000" w:type="pct"/>
                  <w:tcBorders>
                    <w:top w:val="nil"/>
                    <w:bottom w:val="nil"/>
                  </w:tcBorders>
                </w:tcPr>
                <w:p w:rsidR="007544CA" w:rsidRDefault="007544CA" w:rsidP="00133508">
                  <w:pPr>
                    <w:pStyle w:val="Figure"/>
                    <w:spacing w:before="60" w:after="60"/>
                  </w:pPr>
                  <w:r>
                    <w:rPr>
                      <w:noProof/>
                    </w:rPr>
                    <w:drawing>
                      <wp:inline distT="0" distB="0" distL="0" distR="0" wp14:anchorId="3A6D2E71" wp14:editId="099B7527">
                        <wp:extent cx="5391150" cy="2562225"/>
                        <wp:effectExtent l="0" t="0" r="0" b="9525"/>
                        <wp:docPr id="16" name="Picture 16" descr="The figures comprises 2 pie graphs, one each for initiated investigation and measures imposed, for Australia in 2014, showing the pies divided into the proportion of cases for the main manufacturing industri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figures comprises 2 pie graphs, one each for initiated investigation and measures imposed, for Australia in 2014, showing the pies divided into the proportion of cases for the main manufacturing industries. "/>
                                <pic:cNvPicPr>
                                  <a:picLocks noChangeAspect="1" noChangeArrowheads="1"/>
                                </pic:cNvPicPr>
                              </pic:nvPicPr>
                              <pic:blipFill>
                                <a:blip r:embed="rId36" cstate="print">
                                  <a:extLst>
                                    <a:ext uri="{28A0092B-C50C-407E-A947-70E740481C1C}">
                                      <a14:useLocalDpi xmlns:a14="http://schemas.microsoft.com/office/drawing/2010/main" val="0"/>
                                    </a:ext>
                                  </a:extLst>
                                </a:blip>
                                <a:srcRect l="11412" r="10106" b="4897"/>
                                <a:stretch>
                                  <a:fillRect/>
                                </a:stretch>
                              </pic:blipFill>
                              <pic:spPr bwMode="auto">
                                <a:xfrm>
                                  <a:off x="0" y="0"/>
                                  <a:ext cx="5391150" cy="2562225"/>
                                </a:xfrm>
                                <a:prstGeom prst="rect">
                                  <a:avLst/>
                                </a:prstGeom>
                                <a:noFill/>
                                <a:ln>
                                  <a:noFill/>
                                </a:ln>
                              </pic:spPr>
                            </pic:pic>
                          </a:graphicData>
                        </a:graphic>
                      </wp:inline>
                    </w:drawing>
                  </w:r>
                </w:p>
              </w:tc>
            </w:tr>
          </w:tbl>
          <w:p w:rsidR="007544CA" w:rsidRDefault="007544CA" w:rsidP="00133508">
            <w:pPr>
              <w:pStyle w:val="Figure"/>
            </w:pPr>
          </w:p>
        </w:tc>
      </w:tr>
      <w:tr w:rsidR="007544CA" w:rsidRPr="00176D3F" w:rsidTr="00133508">
        <w:tc>
          <w:tcPr>
            <w:tcW w:w="8771" w:type="dxa"/>
            <w:tcBorders>
              <w:top w:val="nil"/>
              <w:left w:val="nil"/>
              <w:bottom w:val="nil"/>
              <w:right w:val="nil"/>
            </w:tcBorders>
            <w:shd w:val="clear" w:color="auto" w:fill="auto"/>
          </w:tcPr>
          <w:p w:rsidR="007544CA" w:rsidRPr="00CA1EBE" w:rsidRDefault="007544CA" w:rsidP="00133508">
            <w:pPr>
              <w:pStyle w:val="Note"/>
            </w:pPr>
            <w:r>
              <w:rPr>
                <w:rStyle w:val="NoteLabel"/>
              </w:rPr>
              <w:t xml:space="preserve">a </w:t>
            </w:r>
            <w:r w:rsidRPr="00F47FA9">
              <w:t>Some measures imposed in 2014</w:t>
            </w:r>
            <w:r w:rsidRPr="00F47FA9">
              <w:noBreakHyphen/>
              <w:t>15 relate to cases initiated in prior years</w:t>
            </w:r>
            <w:r w:rsidR="00575350" w:rsidRPr="00575350">
              <w:t>.</w:t>
            </w:r>
          </w:p>
        </w:tc>
      </w:tr>
      <w:tr w:rsidR="007544CA" w:rsidRPr="00176D3F" w:rsidTr="00133508">
        <w:tc>
          <w:tcPr>
            <w:tcW w:w="8771" w:type="dxa"/>
            <w:tcBorders>
              <w:top w:val="nil"/>
              <w:left w:val="nil"/>
              <w:bottom w:val="nil"/>
              <w:right w:val="nil"/>
            </w:tcBorders>
            <w:shd w:val="clear" w:color="auto" w:fill="auto"/>
          </w:tcPr>
          <w:p w:rsidR="007544CA" w:rsidRPr="00176D3F" w:rsidRDefault="007544CA" w:rsidP="00133508">
            <w:pPr>
              <w:pStyle w:val="Source"/>
            </w:pPr>
            <w:r>
              <w:rPr>
                <w:i/>
              </w:rPr>
              <w:t>S</w:t>
            </w:r>
            <w:r w:rsidRPr="00784A05">
              <w:rPr>
                <w:i/>
              </w:rPr>
              <w:t>ource</w:t>
            </w:r>
            <w:r w:rsidRPr="00176D3F">
              <w:t xml:space="preserve">: </w:t>
            </w:r>
            <w:r>
              <w:t>PC (</w:t>
            </w:r>
            <w:proofErr w:type="spellStart"/>
            <w:r>
              <w:t>2016a</w:t>
            </w:r>
            <w:proofErr w:type="spellEnd"/>
            <w:r>
              <w:t>).</w:t>
            </w:r>
          </w:p>
        </w:tc>
      </w:tr>
      <w:tr w:rsidR="007544CA" w:rsidTr="00133508">
        <w:tc>
          <w:tcPr>
            <w:tcW w:w="8771" w:type="dxa"/>
            <w:tcBorders>
              <w:top w:val="nil"/>
              <w:left w:val="nil"/>
              <w:bottom w:val="single" w:sz="6" w:space="0" w:color="78A22F"/>
              <w:right w:val="nil"/>
            </w:tcBorders>
            <w:shd w:val="clear" w:color="auto" w:fill="auto"/>
          </w:tcPr>
          <w:p w:rsidR="007544CA" w:rsidRDefault="007544CA" w:rsidP="00133508">
            <w:pPr>
              <w:pStyle w:val="Figurespace"/>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Heading3"/>
      </w:pPr>
      <w:r>
        <w:t>How much protection is provided?</w:t>
      </w:r>
    </w:p>
    <w:p w:rsidR="007544CA" w:rsidRDefault="007544CA" w:rsidP="00133508">
      <w:pPr>
        <w:pStyle w:val="BodyText"/>
        <w:spacing w:before="200"/>
      </w:pPr>
      <w:r>
        <w:t xml:space="preserve">In Australia, the average dumping duty imposed between 2009 and 2015 was 17 per cent, which is more than three times Australia's maximum scheduled tariff rate of 5 per cent. The median duty was 11 per cent. </w:t>
      </w:r>
    </w:p>
    <w:p w:rsidR="007544CA" w:rsidRDefault="007544CA" w:rsidP="00133508">
      <w:pPr>
        <w:pStyle w:val="BodyText"/>
        <w:spacing w:before="200"/>
      </w:pPr>
      <w:r>
        <w:t>The value of protection available to local industries is a function of the duration of measures as well as their magnitude. The available data suggest that a significant proportion of measures are extended beyond their initial term of five years. For example, of the 29 measures that were eligible for renewal between 2008</w:t>
      </w:r>
      <w:r>
        <w:noBreakHyphen/>
        <w:t>09 and 2014</w:t>
      </w:r>
      <w:r>
        <w:noBreakHyphen/>
        <w:t>15, 60 per cent were continued. In a few cases, protection has been provided for very long periods (15 years or longer).</w:t>
      </w:r>
    </w:p>
    <w:p w:rsidR="007544CA" w:rsidRDefault="007544CA">
      <w:pPr>
        <w:rPr>
          <w:rFonts w:ascii="Arial" w:hAnsi="Arial"/>
          <w:b/>
          <w:sz w:val="26"/>
          <w:szCs w:val="20"/>
        </w:rPr>
      </w:pPr>
      <w:r>
        <w:br w:type="page"/>
      </w:r>
    </w:p>
    <w:p w:rsidR="007544CA" w:rsidRDefault="007544CA" w:rsidP="00133508">
      <w:pPr>
        <w:pStyle w:val="Heading3"/>
      </w:pPr>
      <w:r>
        <w:lastRenderedPageBreak/>
        <w:t xml:space="preserve">The costs of imposing dumping measures exceed the benefits </w:t>
      </w:r>
    </w:p>
    <w:p w:rsidR="007544CA" w:rsidRDefault="007544CA" w:rsidP="00133508">
      <w:pPr>
        <w:pStyle w:val="BodyText"/>
        <w:spacing w:before="200"/>
      </w:pPr>
      <w:r>
        <w:t xml:space="preserve">Importantly, the costs imposed on the community by </w:t>
      </w:r>
      <w:proofErr w:type="spellStart"/>
      <w:r>
        <w:t>anti</w:t>
      </w:r>
      <w:r>
        <w:noBreakHyphen/>
        <w:t>dumping</w:t>
      </w:r>
      <w:proofErr w:type="spellEnd"/>
      <w:r>
        <w:t xml:space="preserve"> protection exceed the benefits for recipient industries. This net cost arises from, among other things, less efficient resource use and muted incentives for protected industries to innovate or otherwise improve their competitiveness. As noted earlier, </w:t>
      </w:r>
      <w:proofErr w:type="spellStart"/>
      <w:r>
        <w:t>anti</w:t>
      </w:r>
      <w:r>
        <w:noBreakHyphen/>
        <w:t>dumping</w:t>
      </w:r>
      <w:proofErr w:type="spellEnd"/>
      <w:r>
        <w:t xml:space="preserve"> raises costs across all Australian users of an imported product, even ones that the now</w:t>
      </w:r>
      <w:r>
        <w:noBreakHyphen/>
        <w:t>protected firm did not and could not supply. As such, the assistance is inherently poorly targeted, even if some support could be justified.</w:t>
      </w:r>
    </w:p>
    <w:p w:rsidR="007544CA" w:rsidRDefault="007544CA" w:rsidP="00133508">
      <w:pPr>
        <w:pStyle w:val="BodyText"/>
        <w:spacing w:before="200"/>
      </w:pPr>
      <w:r>
        <w:t xml:space="preserve">In fact, </w:t>
      </w:r>
      <w:proofErr w:type="spellStart"/>
      <w:r>
        <w:t>anti</w:t>
      </w:r>
      <w:r>
        <w:noBreakHyphen/>
        <w:t>dumping</w:t>
      </w:r>
      <w:proofErr w:type="spellEnd"/>
      <w:r>
        <w:t xml:space="preserve"> measures lead to worse outcomes for the community than 'comparable' tariff protection — the accompanying administrative and compliance costs are (proportionately) much higher, there are hidden trade deterrence costs, and there is scope for overseas suppliers to appropriate duty revenue. </w:t>
      </w:r>
    </w:p>
    <w:p w:rsidR="007544CA" w:rsidRPr="0058668F" w:rsidRDefault="007544CA" w:rsidP="00133508">
      <w:pPr>
        <w:pStyle w:val="BodyText"/>
        <w:spacing w:before="200"/>
      </w:pPr>
      <w:r>
        <w:t>Arguments that the system provides other benefits to the community that would eliminate this cost are without merit or highly problematic.</w:t>
      </w:r>
    </w:p>
    <w:p w:rsidR="007544CA" w:rsidRDefault="00366344" w:rsidP="00133508">
      <w:pPr>
        <w:pStyle w:val="Heading2"/>
      </w:pPr>
      <w:r>
        <w:fldChar w:fldCharType="begin" w:fldLock="1"/>
      </w:r>
      <w:r>
        <w:instrText xml:space="preserve"> COMMENTS  \* MERGEFORMAT </w:instrText>
      </w:r>
      <w:r>
        <w:fldChar w:fldCharType="separate"/>
      </w:r>
      <w:r w:rsidR="007544CA">
        <w:t>4.</w:t>
      </w:r>
      <w:r>
        <w:fldChar w:fldCharType="end"/>
      </w:r>
      <w:r>
        <w:fldChar w:fldCharType="begin" w:fldLock="1"/>
      </w:r>
      <w:r>
        <w:instrText xml:space="preserve"> SEQ Heading2 </w:instrText>
      </w:r>
      <w:r>
        <w:fldChar w:fldCharType="separate"/>
      </w:r>
      <w:r w:rsidR="007544CA">
        <w:rPr>
          <w:noProof/>
        </w:rPr>
        <w:t>4</w:t>
      </w:r>
      <w:r>
        <w:rPr>
          <w:noProof/>
        </w:rPr>
        <w:fldChar w:fldCharType="end"/>
      </w:r>
      <w:r w:rsidR="007544CA">
        <w:tab/>
        <w:t>Foreign investment rules and decisions</w:t>
      </w:r>
    </w:p>
    <w:p w:rsidR="007544CA" w:rsidRPr="00DC37D6" w:rsidRDefault="007544CA" w:rsidP="00133508">
      <w:pPr>
        <w:pStyle w:val="BodyText"/>
        <w:spacing w:before="200"/>
      </w:pPr>
      <w:r w:rsidRPr="00DC37D6">
        <w:t xml:space="preserve">Foreign investment rules </w:t>
      </w:r>
      <w:r>
        <w:t>can</w:t>
      </w:r>
      <w:r w:rsidRPr="00DC37D6">
        <w:t xml:space="preserve"> confer protection to domestic firms by restricting foreign competition. They can also impose costs on Australian firms by restricting their access to capital and </w:t>
      </w:r>
      <w:r>
        <w:t xml:space="preserve">by restricting their ability to enter into </w:t>
      </w:r>
      <w:r w:rsidRPr="00DC37D6">
        <w:t xml:space="preserve">strategic and other </w:t>
      </w:r>
      <w:r>
        <w:t xml:space="preserve">types of </w:t>
      </w:r>
      <w:r w:rsidRPr="00DC37D6">
        <w:t>partnerships. International comparisons by the OECD indicate that Australia has a more restrictive regime than many other developed countries</w:t>
      </w:r>
      <w:r>
        <w:t xml:space="preserve"> (</w:t>
      </w:r>
      <w:r w:rsidRPr="00C62B3E">
        <w:rPr>
          <w:i/>
        </w:rPr>
        <w:t>Trade &amp; Assistance Review</w:t>
      </w:r>
      <w:r>
        <w:t xml:space="preserve"> 2012</w:t>
      </w:r>
      <w:r>
        <w:noBreakHyphen/>
        <w:t>13, pp. 42–49)</w:t>
      </w:r>
      <w:r w:rsidRPr="00DC37D6">
        <w:t>.</w:t>
      </w:r>
    </w:p>
    <w:p w:rsidR="007544CA" w:rsidRDefault="007544CA" w:rsidP="00133508">
      <w:pPr>
        <w:pStyle w:val="BodyText"/>
        <w:spacing w:before="200"/>
      </w:pPr>
      <w:r>
        <w:t>Working in the direction of reducing restrictions, the entry into force of the China</w:t>
      </w:r>
      <w:r>
        <w:noBreakHyphen/>
        <w:t>Australia Free Trade Agreement increased the screening threshold from $252 million to $1094 million for Chinese proposals to invest in Australian businesses (excluding pastoral land, agribusiness and designated sensitive sectors).</w:t>
      </w:r>
    </w:p>
    <w:p w:rsidR="007544CA" w:rsidRDefault="007544CA" w:rsidP="00133508">
      <w:pPr>
        <w:pStyle w:val="BodyText"/>
        <w:spacing w:before="200"/>
      </w:pPr>
      <w:r>
        <w:t xml:space="preserve">Working in the direction of increasing restrictions has been the introduction of a requirement for a formal review </w:t>
      </w:r>
      <w:r w:rsidRPr="0056003A">
        <w:t>by the F</w:t>
      </w:r>
      <w:r>
        <w:t>oreign Investment Review Board (</w:t>
      </w:r>
      <w:proofErr w:type="spellStart"/>
      <w:r>
        <w:t>FI</w:t>
      </w:r>
      <w:r w:rsidRPr="0056003A">
        <w:t>RB</w:t>
      </w:r>
      <w:proofErr w:type="spellEnd"/>
      <w:r>
        <w:t xml:space="preserve">) of sales of </w:t>
      </w:r>
      <w:r w:rsidRPr="0056003A">
        <w:t>critical state</w:t>
      </w:r>
      <w:r>
        <w:noBreakHyphen/>
      </w:r>
      <w:r w:rsidRPr="0056003A">
        <w:t>owned infrastructure assets</w:t>
      </w:r>
      <w:r>
        <w:t xml:space="preserve"> </w:t>
      </w:r>
      <w:r w:rsidRPr="0056003A">
        <w:t>to private foreign investors</w:t>
      </w:r>
      <w:r>
        <w:t>.</w:t>
      </w:r>
      <w:r w:rsidRPr="0056003A">
        <w:t xml:space="preserve"> Critical infrastructure assets </w:t>
      </w:r>
      <w:r>
        <w:t xml:space="preserve">will </w:t>
      </w:r>
      <w:r w:rsidRPr="0056003A">
        <w:t>include: public infrastructure (an airport or airport site; a port; infrastructure for public transport; electricity, gas, water and sewerage systems); existing and proposed roads, railways, inter</w:t>
      </w:r>
      <w:r>
        <w:noBreakHyphen/>
      </w:r>
      <w:r w:rsidRPr="0056003A">
        <w:t>modal transfer facilities that are part of the National Land Transport Network or are designated by a State or Territory government as significant or controlled by the Government; telecommunications infrastructure; and nuclear facilities.</w:t>
      </w:r>
      <w:r>
        <w:t xml:space="preserve"> Previously, </w:t>
      </w:r>
      <w:proofErr w:type="spellStart"/>
      <w:r>
        <w:t>FIRB</w:t>
      </w:r>
      <w:proofErr w:type="spellEnd"/>
      <w:r>
        <w:t xml:space="preserve"> assessment was only required when assets were sold to state</w:t>
      </w:r>
      <w:r>
        <w:noBreakHyphen/>
        <w:t>owned enterprises.</w:t>
      </w:r>
    </w:p>
    <w:p w:rsidR="007544CA" w:rsidRDefault="007544CA">
      <w:pPr>
        <w:rPr>
          <w:szCs w:val="20"/>
        </w:rPr>
      </w:pPr>
      <w:r>
        <w:br w:type="page"/>
      </w:r>
    </w:p>
    <w:p w:rsidR="007544CA" w:rsidRDefault="007544CA" w:rsidP="00133508">
      <w:pPr>
        <w:pStyle w:val="BodyText"/>
      </w:pPr>
      <w:r>
        <w:lastRenderedPageBreak/>
        <w:t>Also working in the direction of increased restrictions are recent changes to foreign investment affecting agricultural enterprises including:</w:t>
      </w:r>
    </w:p>
    <w:p w:rsidR="007544CA" w:rsidRDefault="007544CA" w:rsidP="00133508">
      <w:pPr>
        <w:pStyle w:val="ListBullet"/>
      </w:pPr>
      <w:r>
        <w:t>establishment of an agricultural land foreign ownership register</w:t>
      </w:r>
    </w:p>
    <w:p w:rsidR="007544CA" w:rsidRDefault="007544CA" w:rsidP="00133508">
      <w:pPr>
        <w:pStyle w:val="ListBullet"/>
      </w:pPr>
      <w:r>
        <w:t>a reduction of the screening threshold for proposed foreign purchases of agricultural land by private investors to $15 million</w:t>
      </w:r>
    </w:p>
    <w:p w:rsidR="007544CA" w:rsidRDefault="007544CA" w:rsidP="00133508">
      <w:pPr>
        <w:pStyle w:val="ListBullet"/>
      </w:pPr>
      <w:proofErr w:type="spellStart"/>
      <w:r>
        <w:t>FIRB</w:t>
      </w:r>
      <w:proofErr w:type="spellEnd"/>
      <w:r>
        <w:t xml:space="preserve"> screening of direct interests in agribusinesses valued at $55 million or more.</w:t>
      </w:r>
    </w:p>
    <w:p w:rsidR="007544CA" w:rsidRDefault="007544CA" w:rsidP="00133508">
      <w:pPr>
        <w:pStyle w:val="BodyText"/>
        <w:spacing w:before="200"/>
      </w:pPr>
      <w:r>
        <w:t>The Commission’s draft inquiry report on Agriculture Regulation (PC </w:t>
      </w:r>
      <w:proofErr w:type="spellStart"/>
      <w:r>
        <w:t>2016b</w:t>
      </w:r>
      <w:proofErr w:type="spellEnd"/>
      <w:r>
        <w:t xml:space="preserve">) observed that the lower thresholds (combined with different thresholds depending on country of origin of the investor) will increase the cost and complexity of investing in Australian agriculture — ultimately deterring foreign direct investment in the sector, without offsetting public benefits. The lower thresholds are inimical to the long run interest of farmers and the broader community. The Commission recommended that the government should raise the screening thresholds for agricultural land and agribusiness to $252 million, indexed annually and no longer cumulative (in line with the thresholds that applied for agriculture prior to 2015, and thresholds currently applying to business acquisitions and developed commercial land). </w:t>
      </w:r>
    </w:p>
    <w:p w:rsidR="007544CA" w:rsidRDefault="007544CA" w:rsidP="00133508">
      <w:pPr>
        <w:pStyle w:val="BodyText"/>
        <w:spacing w:before="200"/>
      </w:pPr>
      <w:r>
        <w:t xml:space="preserve">The recent Kidman case has shone a spotlight on certain facets of the foreign investment rules (box 4.5). Unusually, it relied on a reviewer independent of the </w:t>
      </w:r>
      <w:proofErr w:type="spellStart"/>
      <w:r>
        <w:t>FIRB</w:t>
      </w:r>
      <w:proofErr w:type="spellEnd"/>
      <w:r>
        <w:t xml:space="preserve"> when assessing the ‘national interest’. The reviewer </w:t>
      </w:r>
      <w:r w:rsidRPr="00E8602D">
        <w:t>was tasked with providing advice on whether the competitive bid process offered fair opportunity to Australian bidders to participate.</w:t>
      </w:r>
      <w:r>
        <w:t xml:space="preserve"> On the one hand, this consideration may be seen as going beyond the existing factors typically considered by the Treasurer, which are listed in the Policy guidelines. (The ‘national interest’ is not defined in the legislation). This may open up further uncertainty in an already highly judgmental process. On the other hand, it may be viewed as further enlightening what scenarios may give rise to ‘national interest’ considerations. Clarity about this standard would be desirable.</w:t>
      </w:r>
    </w:p>
    <w:p w:rsidR="007544CA" w:rsidRDefault="007544CA" w:rsidP="00133508">
      <w:pPr>
        <w:pStyle w:val="BodyText"/>
        <w:spacing w:before="200"/>
      </w:pPr>
      <w:r>
        <w:t xml:space="preserve">The Kidman case appears to be unique in that the apparently final decision has been expressed as a preliminary decision. </w:t>
      </w:r>
    </w:p>
    <w:p w:rsidR="007544CA" w:rsidRDefault="007544CA" w:rsidP="00133508">
      <w:pPr>
        <w:pStyle w:val="BodyText"/>
        <w:spacing w:before="200"/>
      </w:pPr>
      <w:r>
        <w:t xml:space="preserve">The case also prompted views that the decision was about the bidder (Chinese) rather than the investment itself. While Chinese investment proposals have occasionally attracted an outsized measure of public discussion, perhaps because of blurred lines between private and public ownership of Chinese entities, Chinese investment in farmland has attracted public concern about Australia’s food security. </w:t>
      </w:r>
    </w:p>
    <w:p w:rsidR="007544CA" w:rsidRDefault="007544CA" w:rsidP="00133508">
      <w:pPr>
        <w:pStyle w:val="BodyText"/>
      </w:pPr>
      <w:r>
        <w:t>Where an Australian agricultural asset being sold is already devoted to export production, this concern about food security is counter</w:t>
      </w:r>
      <w:r>
        <w:noBreakHyphen/>
        <w:t>intuitive. And it overlooks Australia’s position as a food exporter that ‘is highly self</w:t>
      </w:r>
      <w:r>
        <w:noBreakHyphen/>
        <w:t xml:space="preserve">sufficient as well as food secure, producing more than twice it consumes’ (Moir 2011, p. 13). Moreover, the sentiment would seem to be deeply at odds with the otherwise persistent description across all levels of agriculture’s leaders that Australia offers a solution to the growing demand of Asia’s burgeoning middle class for higher quality food. Food security seems to be a misrepresentation of the issues. </w:t>
      </w:r>
    </w:p>
    <w:p w:rsidR="007544CA" w:rsidRDefault="007544C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F2F2F2"/>
          </w:tcPr>
          <w:p w:rsidR="007544CA" w:rsidRDefault="007544CA" w:rsidP="00133508">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4.</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5</w:t>
            </w:r>
            <w:r>
              <w:rPr>
                <w:b w:val="0"/>
              </w:rPr>
              <w:fldChar w:fldCharType="end"/>
            </w:r>
            <w:r>
              <w:tab/>
              <w:t xml:space="preserve">Rejection of the proposed sale of S. Kidman and </w:t>
            </w:r>
            <w:proofErr w:type="spellStart"/>
            <w:r>
              <w:t>Co’s</w:t>
            </w:r>
            <w:proofErr w:type="spellEnd"/>
            <w:r>
              <w:t xml:space="preserve"> cattle properties to Chinese investors</w:t>
            </w:r>
          </w:p>
        </w:tc>
      </w:tr>
      <w:tr w:rsidR="007544CA" w:rsidTr="00133508">
        <w:trPr>
          <w:cantSplit/>
        </w:trPr>
        <w:tc>
          <w:tcPr>
            <w:tcW w:w="8771" w:type="dxa"/>
            <w:tcBorders>
              <w:top w:val="nil"/>
              <w:left w:val="nil"/>
              <w:bottom w:val="nil"/>
              <w:right w:val="nil"/>
            </w:tcBorders>
            <w:shd w:val="clear" w:color="auto" w:fill="F2F2F2"/>
          </w:tcPr>
          <w:p w:rsidR="007544CA" w:rsidRPr="00AE7AF0" w:rsidRDefault="007544CA" w:rsidP="00133508">
            <w:pPr>
              <w:pStyle w:val="Box"/>
            </w:pPr>
            <w:proofErr w:type="spellStart"/>
            <w:r>
              <w:t>S.Kidman</w:t>
            </w:r>
            <w:proofErr w:type="spellEnd"/>
            <w:r>
              <w:t xml:space="preserve"> and </w:t>
            </w:r>
            <w:proofErr w:type="spellStart"/>
            <w:r>
              <w:t>Co's</w:t>
            </w:r>
            <w:proofErr w:type="spellEnd"/>
            <w:r>
              <w:t xml:space="preserve"> cattle properties across the continent cover about 1.3 per cent of Australia's land </w:t>
            </w:r>
            <w:r w:rsidRPr="00AE7AF0">
              <w:t>mass and 2.5</w:t>
            </w:r>
            <w:r>
              <w:t> </w:t>
            </w:r>
            <w:r w:rsidRPr="00AE7AF0">
              <w:t>per</w:t>
            </w:r>
            <w:r>
              <w:t> </w:t>
            </w:r>
            <w:r w:rsidRPr="00AE7AF0">
              <w:t>cent of Australia's current agricultural land, the largest private rural holding.</w:t>
            </w:r>
          </w:p>
          <w:p w:rsidR="007544CA" w:rsidRPr="00AE7AF0" w:rsidRDefault="007544CA" w:rsidP="00133508">
            <w:pPr>
              <w:pStyle w:val="Box"/>
            </w:pPr>
            <w:r w:rsidRPr="00AE7AF0">
              <w:t xml:space="preserve">In November 2015 a bid by Shanghai </w:t>
            </w:r>
            <w:proofErr w:type="spellStart"/>
            <w:r w:rsidRPr="00AE7AF0">
              <w:t>Pengxin</w:t>
            </w:r>
            <w:proofErr w:type="spellEnd"/>
            <w:r w:rsidRPr="00AE7AF0">
              <w:t xml:space="preserve"> for the land holdings was blocked (by the Treasurer) because it included the South Australian Anna Creek station, which partially sits over the Government's Woomera rocket testing range. </w:t>
            </w:r>
          </w:p>
          <w:p w:rsidR="007544CA" w:rsidRPr="00AE7AF0" w:rsidRDefault="007544CA" w:rsidP="00133508">
            <w:pPr>
              <w:pStyle w:val="Box"/>
            </w:pPr>
            <w:r w:rsidRPr="00AE7AF0">
              <w:t>Kidman then carved Anna Creek out of the sale. A subsequent bid of $370 million for an 80 per cent interest in Kidman was made by China</w:t>
            </w:r>
            <w:r w:rsidRPr="00AE7AF0">
              <w:noBreakHyphen/>
              <w:t xml:space="preserve">based </w:t>
            </w:r>
            <w:proofErr w:type="spellStart"/>
            <w:r w:rsidRPr="00AE7AF0">
              <w:t>Dakang</w:t>
            </w:r>
            <w:proofErr w:type="spellEnd"/>
            <w:r w:rsidRPr="00AE7AF0">
              <w:t xml:space="preserve"> Australia Holdings (in which Shanghai </w:t>
            </w:r>
            <w:proofErr w:type="spellStart"/>
            <w:r w:rsidRPr="00AE7AF0">
              <w:t>Pengxin</w:t>
            </w:r>
            <w:proofErr w:type="spellEnd"/>
            <w:r w:rsidRPr="00AE7AF0">
              <w:t xml:space="preserve"> hold a large interest).'.</w:t>
            </w:r>
          </w:p>
          <w:p w:rsidR="007544CA" w:rsidRDefault="007544CA" w:rsidP="00133508">
            <w:pPr>
              <w:pStyle w:val="Box"/>
            </w:pPr>
            <w:r w:rsidRPr="00AE7AF0">
              <w:t>On 15 April 2016 the Treasurer exercised statutory discretion to extend the review period until 26 July 2016 and asked</w:t>
            </w:r>
            <w:r>
              <w:t xml:space="preserve"> for an external, non</w:t>
            </w:r>
            <w:r>
              <w:noBreakHyphen/>
            </w:r>
            <w:proofErr w:type="spellStart"/>
            <w:r>
              <w:t>FIRB</w:t>
            </w:r>
            <w:proofErr w:type="spellEnd"/>
            <w:r>
              <w:t xml:space="preserve"> review of the sale. He then announced a ‘preliminary decision’ on 29 April 2016 to deny the proposal, citing that it was contrary to the national interest (Morrison 2016). The decision expressed </w:t>
            </w:r>
            <w:r w:rsidRPr="00E8602D">
              <w:t xml:space="preserve">concern that the Kidman portfolio </w:t>
            </w:r>
            <w:r>
              <w:t>was</w:t>
            </w:r>
            <w:r w:rsidRPr="00E8602D">
              <w:t xml:space="preserve"> offered as a single aggregated asset,</w:t>
            </w:r>
            <w:r>
              <w:t xml:space="preserve"> the size of</w:t>
            </w:r>
            <w:r w:rsidRPr="00E8602D">
              <w:t xml:space="preserve"> </w:t>
            </w:r>
            <w:r>
              <w:t>which made</w:t>
            </w:r>
            <w:r w:rsidRPr="00E8602D">
              <w:t xml:space="preserve"> it difficult for Australian bidders to be able to</w:t>
            </w:r>
            <w:r>
              <w:t xml:space="preserve"> make a competitive bid.</w:t>
            </w:r>
          </w:p>
          <w:p w:rsidR="007544CA" w:rsidRDefault="007544CA" w:rsidP="00133508">
            <w:pPr>
              <w:pStyle w:val="BoxHeading1"/>
            </w:pPr>
            <w:r>
              <w:t>Shedding some light on the ‘national interest’ test?</w:t>
            </w:r>
          </w:p>
          <w:p w:rsidR="007544CA" w:rsidRDefault="007544CA" w:rsidP="00133508">
            <w:pPr>
              <w:pStyle w:val="Box"/>
            </w:pPr>
            <w:r>
              <w:t>The decision was not based on any of the pre</w:t>
            </w:r>
            <w:r>
              <w:noBreakHyphen/>
              <w:t xml:space="preserve">existing national interest test provisions. </w:t>
            </w:r>
          </w:p>
          <w:p w:rsidR="007544CA" w:rsidRPr="00AE7AF0" w:rsidRDefault="007544CA" w:rsidP="00133508">
            <w:pPr>
              <w:pStyle w:val="Box"/>
            </w:pPr>
            <w:r>
              <w:t xml:space="preserve">The </w:t>
            </w:r>
            <w:r w:rsidRPr="00AE7AF0">
              <w:t>‘national interest’ test is not legislatively defined, and is decided on a case</w:t>
            </w:r>
            <w:r w:rsidRPr="00AE7AF0">
              <w:noBreakHyphen/>
              <w:t>by</w:t>
            </w:r>
            <w:r w:rsidRPr="00AE7AF0">
              <w:noBreakHyphen/>
              <w:t xml:space="preserve">case basis according to the judgment of the Treasurer. However, the </w:t>
            </w:r>
            <w:proofErr w:type="spellStart"/>
            <w:r w:rsidRPr="00AE7AF0">
              <w:t>FIRB</w:t>
            </w:r>
            <w:proofErr w:type="spellEnd"/>
            <w:r w:rsidRPr="00AE7AF0">
              <w:t xml:space="preserve"> does provide investors a set of ‘guidelines’, which outline five factors that are usually considered. These include: national security; competition policy; other Australian government policies and regulations (including environment and tax); the impact on the economy and community as a whole; and the character of the investor. There are also an additional set of six guidelines for the agricultural sector, which cover issues such as land access, biodiversity, productivity and employment. These guidelines were most recently re</w:t>
            </w:r>
            <w:r w:rsidRPr="00AE7AF0">
              <w:noBreakHyphen/>
              <w:t xml:space="preserve">issued in December 2015. However, they have remained relatively unchanged since the last major revision by the Rudd government in 2008, which was made in the wake of </w:t>
            </w:r>
            <w:proofErr w:type="spellStart"/>
            <w:r w:rsidRPr="00AE7AF0">
              <w:t>Chinalco’s</w:t>
            </w:r>
            <w:proofErr w:type="spellEnd"/>
            <w:r>
              <w:t xml:space="preserve"> purchase of a stake in Rio Tinto after </w:t>
            </w:r>
            <w:r w:rsidRPr="00AE7AF0">
              <w:t>BHP</w:t>
            </w:r>
            <w:r>
              <w:t>s  informal takeover offer.</w:t>
            </w:r>
            <w:r w:rsidRPr="00AE7AF0">
              <w:t xml:space="preserve"> </w:t>
            </w:r>
            <w:r>
              <w:t xml:space="preserve">(The </w:t>
            </w:r>
            <w:proofErr w:type="spellStart"/>
            <w:r>
              <w:t>Chimalco</w:t>
            </w:r>
            <w:proofErr w:type="spellEnd"/>
            <w:r>
              <w:t xml:space="preserve"> purchase was within existing </w:t>
            </w:r>
            <w:proofErr w:type="spellStart"/>
            <w:r>
              <w:t>FIRB</w:t>
            </w:r>
            <w:proofErr w:type="spellEnd"/>
            <w:r>
              <w:t xml:space="preserve"> rules).</w:t>
            </w:r>
          </w:p>
          <w:p w:rsidR="007544CA" w:rsidRPr="00AE7AF0" w:rsidRDefault="007544CA" w:rsidP="00133508">
            <w:pPr>
              <w:pStyle w:val="Box"/>
            </w:pPr>
            <w:r w:rsidRPr="00AE7AF0">
              <w:t xml:space="preserve">Rejection of foreign investment proposals is minimal. Recent rejections have been for one of the above reasons. Examples include the ADM bid for </w:t>
            </w:r>
            <w:proofErr w:type="spellStart"/>
            <w:r w:rsidRPr="00AE7AF0">
              <w:t>GrainCorp</w:t>
            </w:r>
            <w:proofErr w:type="spellEnd"/>
            <w:r w:rsidRPr="00AE7AF0">
              <w:t xml:space="preserve"> (rejected in 2013 on competition policy grounds), and the Singapore Stock Exchange’s attempted merger with the </w:t>
            </w:r>
            <w:proofErr w:type="spellStart"/>
            <w:r w:rsidRPr="00AE7AF0">
              <w:t>ASX</w:t>
            </w:r>
            <w:proofErr w:type="spellEnd"/>
            <w:r w:rsidRPr="00AE7AF0">
              <w:t xml:space="preserve"> (rejected in 2011 on financial regulatory grounds).</w:t>
            </w:r>
          </w:p>
          <w:p w:rsidR="007544CA" w:rsidRDefault="007544CA" w:rsidP="00133508">
            <w:pPr>
              <w:pStyle w:val="Box"/>
            </w:pPr>
            <w:r w:rsidRPr="00AE7AF0">
              <w:t xml:space="preserve">The message from the Kidman decision appears to be that </w:t>
            </w:r>
            <w:r>
              <w:t xml:space="preserve">the </w:t>
            </w:r>
            <w:r w:rsidRPr="00AE7AF0">
              <w:t>sale process now needs to be re</w:t>
            </w:r>
            <w:r w:rsidRPr="00AE7AF0">
              <w:noBreakHyphen/>
              <w:t>run</w:t>
            </w:r>
            <w:r>
              <w:t xml:space="preserve"> with </w:t>
            </w:r>
            <w:r w:rsidRPr="00AE7AF0">
              <w:t>disaggregated</w:t>
            </w:r>
            <w:r>
              <w:t xml:space="preserve"> assets</w:t>
            </w:r>
            <w:r w:rsidRPr="00AE7AF0">
              <w:t>, to increase the likelihood that local companies can win at least some of the assets</w:t>
            </w:r>
            <w:r>
              <w:t>. One view is that this is a de facto introduction of a local ownership policy for agricultural land (</w:t>
            </w:r>
            <w:proofErr w:type="spellStart"/>
            <w:r>
              <w:t>Kazakevitch</w:t>
            </w:r>
            <w:proofErr w:type="spellEnd"/>
            <w:r>
              <w:t xml:space="preserve"> and Wilson 2016).</w:t>
            </w:r>
            <w:r w:rsidDel="00EB3775">
              <w:t xml:space="preserve"> </w:t>
            </w:r>
            <w:r>
              <w:t>Like many countries, Australia does restrict foreign investment restrictions in ‘sensitive’ sectors. These include foreign ownership limits (usually on a percentage of shares in publicly listed companies) in the media sector, telecommunications (Telstra), banking, airports, and airlines (Qantas) (</w:t>
            </w:r>
            <w:r w:rsidRPr="00915837">
              <w:rPr>
                <w:i/>
              </w:rPr>
              <w:t>Trade &amp; Assistance Review 2012</w:t>
            </w:r>
            <w:r w:rsidRPr="00915837">
              <w:rPr>
                <w:i/>
              </w:rPr>
              <w:noBreakHyphen/>
              <w:t>13</w:t>
            </w:r>
            <w:r>
              <w:t>, box 3.2, p. 44).</w:t>
            </w:r>
          </w:p>
        </w:tc>
      </w:tr>
      <w:tr w:rsidR="007544CA" w:rsidTr="00133508">
        <w:trPr>
          <w:cantSplit/>
        </w:trPr>
        <w:tc>
          <w:tcPr>
            <w:tcW w:w="8771" w:type="dxa"/>
            <w:tcBorders>
              <w:top w:val="nil"/>
              <w:left w:val="nil"/>
              <w:bottom w:val="single" w:sz="6" w:space="0" w:color="78A22F"/>
              <w:right w:val="nil"/>
            </w:tcBorders>
            <w:shd w:val="clear" w:color="auto" w:fill="F2F2F2"/>
          </w:tcPr>
          <w:p w:rsidR="007544CA" w:rsidRDefault="007544CA">
            <w:pPr>
              <w:pStyle w:val="Box"/>
              <w:spacing w:before="0" w:line="120" w:lineRule="exact"/>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BodyText"/>
      </w:pPr>
    </w:p>
    <w:p w:rsidR="007544CA" w:rsidRDefault="007544CA" w:rsidP="007544CA">
      <w:pPr>
        <w:sectPr w:rsidR="007544CA" w:rsidSect="007544CA">
          <w:headerReference w:type="even" r:id="rId37"/>
          <w:headerReference w:type="default" r:id="rId38"/>
          <w:footerReference w:type="even" r:id="rId39"/>
          <w:footerReference w:type="default" r:id="rId40"/>
          <w:type w:val="oddPage"/>
          <w:pgSz w:w="11907" w:h="16840" w:code="9"/>
          <w:pgMar w:top="1985" w:right="1304" w:bottom="1247" w:left="1814" w:header="1701" w:footer="397" w:gutter="0"/>
          <w:pgNumType w:chapSep="period"/>
          <w:cols w:space="720"/>
          <w:docGrid w:linePitch="326"/>
        </w:sectPr>
      </w:pPr>
    </w:p>
    <w:p w:rsidR="007544CA" w:rsidRDefault="007544CA" w:rsidP="009540BA">
      <w:pPr>
        <w:pStyle w:val="Heading1"/>
      </w:pPr>
      <w:bookmarkStart w:id="20" w:name="_AppendixNotByChapter"/>
      <w:bookmarkEnd w:id="20"/>
      <w:r>
        <w:lastRenderedPageBreak/>
        <w:t>A</w:t>
      </w:r>
      <w:r>
        <w:tab/>
        <w:t>Detailed estimates of Australian Government assistance to industry</w:t>
      </w:r>
    </w:p>
    <w:p w:rsidR="007544CA" w:rsidRDefault="007544CA" w:rsidP="00133508">
      <w:pPr>
        <w:pStyle w:val="BodyText"/>
      </w:pPr>
      <w:r>
        <w:t>Chapter 2 provides an overview of the Commission’s estimates of Australian Government assistance to industry. This appendix provides supporting details of those estimates for the period 2009</w:t>
      </w:r>
      <w:r>
        <w:noBreakHyphen/>
        <w:t>10 to 2014</w:t>
      </w:r>
      <w:r>
        <w:noBreakHyphen/>
        <w:t xml:space="preserve">15. </w:t>
      </w:r>
    </w:p>
    <w:p w:rsidR="007544CA" w:rsidRDefault="007544CA" w:rsidP="00133508">
      <w:pPr>
        <w:pStyle w:val="BodyText"/>
      </w:pPr>
      <w:r>
        <w:t xml:space="preserve">Tables </w:t>
      </w:r>
      <w:proofErr w:type="spellStart"/>
      <w:r>
        <w:t>A.1</w:t>
      </w:r>
      <w:proofErr w:type="spellEnd"/>
      <w:r>
        <w:t xml:space="preserve"> to </w:t>
      </w:r>
      <w:proofErr w:type="spellStart"/>
      <w:r>
        <w:t>A.3</w:t>
      </w:r>
      <w:proofErr w:type="spellEnd"/>
      <w:r>
        <w:t xml:space="preserve"> provide estimates of net tariff assistance, budgetary assistance and net combined assistance by industry grouping. Tables </w:t>
      </w:r>
      <w:proofErr w:type="spellStart"/>
      <w:r>
        <w:t>A.4</w:t>
      </w:r>
      <w:proofErr w:type="spellEnd"/>
      <w:r>
        <w:t xml:space="preserve"> to </w:t>
      </w:r>
      <w:proofErr w:type="spellStart"/>
      <w:r>
        <w:t>A.7</w:t>
      </w:r>
      <w:proofErr w:type="spellEnd"/>
      <w:r>
        <w:t xml:space="preserve"> provide estimates of output tariff assistance, input tariff penalties, budgetary outlays and tax concessions by industry grouping. Tables </w:t>
      </w:r>
      <w:proofErr w:type="spellStart"/>
      <w:r>
        <w:t>A.8</w:t>
      </w:r>
      <w:proofErr w:type="spellEnd"/>
      <w:r>
        <w:t xml:space="preserve"> and </w:t>
      </w:r>
      <w:proofErr w:type="spellStart"/>
      <w:r>
        <w:t>A.9</w:t>
      </w:r>
      <w:proofErr w:type="spellEnd"/>
      <w:r>
        <w:t xml:space="preserve"> provide estimates of the nominal rate of combined assistance on outputs and the nominal rate of combined assistance on materials, respectively. </w:t>
      </w:r>
    </w:p>
    <w:p w:rsidR="007544CA" w:rsidRDefault="007544CA" w:rsidP="00133508">
      <w:pPr>
        <w:pStyle w:val="BodyText"/>
      </w:pPr>
      <w:r>
        <w:t xml:space="preserve">The budgetary assistance estimates are derived primarily from actual expenditures shown in departmental and agency annual reports, and the Australian Treasury’s Tax Expenditures Statement. Industry and sectoral </w:t>
      </w:r>
      <w:proofErr w:type="spellStart"/>
      <w:r>
        <w:t>disaggregations</w:t>
      </w:r>
      <w:proofErr w:type="spellEnd"/>
      <w:r>
        <w:t xml:space="preserve"> are based primarily on supplementary information provided by relevant departments or agencies. </w:t>
      </w:r>
    </w:p>
    <w:p w:rsidR="007544CA" w:rsidRDefault="007544CA" w:rsidP="00133508">
      <w:pPr>
        <w:pStyle w:val="BodyText"/>
      </w:pPr>
      <w:r>
        <w:t>Estimates prior to 2014</w:t>
      </w:r>
      <w:r>
        <w:noBreakHyphen/>
        <w:t>15 may differ from those originally published, due to revisions.</w:t>
      </w:r>
    </w:p>
    <w:p w:rsidR="007544CA" w:rsidRDefault="007544CA" w:rsidP="00133508">
      <w:pPr>
        <w:pStyle w:val="BodyText"/>
      </w:pPr>
      <w:r>
        <w:t>Further information on the assistance estimation methodology, program coverage, industry allocation and implementation of the current input</w:t>
      </w:r>
      <w:r>
        <w:noBreakHyphen/>
        <w:t xml:space="preserve">output series is provided in the Methodological Annex to the </w:t>
      </w:r>
      <w:r w:rsidRPr="00BB67F2">
        <w:rPr>
          <w:i/>
        </w:rPr>
        <w:t>Trade &amp; Assistance Review 2011</w:t>
      </w:r>
      <w:r w:rsidRPr="00BB67F2">
        <w:rPr>
          <w:i/>
        </w:rPr>
        <w:noBreakHyphen/>
        <w:t>12</w:t>
      </w:r>
      <w:r>
        <w:t xml:space="preserve">. The treatment of new programs and other methodological revisions from the previous review are provided in the methodological annex to this </w:t>
      </w:r>
      <w:r w:rsidRPr="00BB67F2">
        <w:t>Review</w:t>
      </w:r>
      <w:r>
        <w:t xml:space="preserve">. </w:t>
      </w:r>
    </w:p>
    <w:p w:rsidR="007544CA" w:rsidRDefault="007544CA" w:rsidP="00133508">
      <w:pPr>
        <w:pStyle w:val="BodyText"/>
      </w:pPr>
      <w:r>
        <w:t>Tables in this appendix are also available on the Commission’s website (http://</w:t>
      </w:r>
      <w:proofErr w:type="spellStart"/>
      <w:r>
        <w:t>www.pc.gov.au</w:t>
      </w:r>
      <w:proofErr w:type="spellEnd"/>
      <w:r>
        <w:t>/research/recurring/trade</w:t>
      </w:r>
      <w:r>
        <w:noBreakHyphen/>
        <w:t xml:space="preserve">assistance). Previous </w:t>
      </w:r>
      <w:r w:rsidRPr="00BB67F2">
        <w:rPr>
          <w:i/>
        </w:rPr>
        <w:t>Trade &amp; Assistance Review</w:t>
      </w:r>
      <w:r>
        <w:rPr>
          <w:i/>
        </w:rPr>
        <w:t xml:space="preserve">s </w:t>
      </w:r>
      <w:r>
        <w:t xml:space="preserve">also provided a breakdown of each industry’s assistance by program (tables </w:t>
      </w:r>
      <w:proofErr w:type="spellStart"/>
      <w:r>
        <w:t>A.10</w:t>
      </w:r>
      <w:proofErr w:type="spellEnd"/>
      <w:r>
        <w:t xml:space="preserve"> to </w:t>
      </w:r>
      <w:proofErr w:type="spellStart"/>
      <w:r>
        <w:t>A.14</w:t>
      </w:r>
      <w:proofErr w:type="spellEnd"/>
      <w:r>
        <w:t xml:space="preserve">). These tables will be available online only. </w:t>
      </w: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gridCol w:w="20"/>
      </w:tblGrid>
      <w:tr w:rsidR="007544CA" w:rsidTr="00133508">
        <w:trPr>
          <w:gridAfter w:val="1"/>
          <w:wAfter w:w="20" w:type="dxa"/>
        </w:trPr>
        <w:tc>
          <w:tcPr>
            <w:tcW w:w="8771" w:type="dxa"/>
            <w:tcBorders>
              <w:top w:val="single" w:sz="6" w:space="0" w:color="78A22F"/>
              <w:left w:val="nil"/>
              <w:bottom w:val="nil"/>
              <w:right w:val="nil"/>
            </w:tcBorders>
            <w:shd w:val="clear" w:color="auto" w:fill="auto"/>
          </w:tcPr>
          <w:p w:rsidR="007544CA" w:rsidRDefault="007544CA" w:rsidP="00133508">
            <w:pPr>
              <w:pStyle w:val="TableTitle"/>
              <w:spacing w:after="0"/>
              <w:ind w:left="1304" w:hanging="1304"/>
            </w:pPr>
            <w:r>
              <w:rPr>
                <w:b w:val="0"/>
              </w:rPr>
              <w:lastRenderedPageBreak/>
              <w:t xml:space="preserve">Table </w:t>
            </w:r>
            <w:r>
              <w:rPr>
                <w:b w:val="0"/>
              </w:rPr>
              <w:fldChar w:fldCharType="begin" w:fldLock="1"/>
            </w:r>
            <w:r>
              <w:rPr>
                <w:b w:val="0"/>
              </w:rPr>
              <w:instrText xml:space="preserve"> COMMENTS  \* MERGEFORMAT </w:instrText>
            </w:r>
            <w:r>
              <w:rPr>
                <w:b w:val="0"/>
              </w:rPr>
              <w:fldChar w:fldCharType="separate"/>
            </w:r>
            <w:proofErr w:type="spellStart"/>
            <w:r>
              <w:rPr>
                <w:b w:val="0"/>
              </w:rPr>
              <w:t>A.</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1</w:t>
            </w:r>
            <w:proofErr w:type="spellEnd"/>
            <w:r>
              <w:rPr>
                <w:b w:val="0"/>
              </w:rPr>
              <w:fldChar w:fldCharType="end"/>
            </w:r>
            <w:r>
              <w:tab/>
            </w:r>
            <w:r w:rsidRPr="00A26815">
              <w:t>Net tariff assistance by industry grouping, 200</w:t>
            </w:r>
            <w:r>
              <w:t>9</w:t>
            </w:r>
            <w:r>
              <w:noBreakHyphen/>
              <w:t>10</w:t>
            </w:r>
            <w:r w:rsidRPr="00A26815">
              <w:t xml:space="preserve"> to 201</w:t>
            </w:r>
            <w:r>
              <w:t>4</w:t>
            </w:r>
            <w:r>
              <w:noBreakHyphen/>
            </w:r>
            <w:r w:rsidRPr="00A26815">
              <w:t>1</w:t>
            </w:r>
            <w:r>
              <w:t>5</w:t>
            </w:r>
            <w:r w:rsidRPr="00575350">
              <w:rPr>
                <w:rStyle w:val="NoteLabel"/>
                <w:rFonts w:ascii="Arial Bold" w:hAnsi="Arial Bold"/>
                <w:b/>
                <w:position w:val="10"/>
              </w:rPr>
              <w:t>a</w:t>
            </w:r>
          </w:p>
          <w:p w:rsidR="007544CA" w:rsidRPr="00784A05" w:rsidRDefault="007544CA" w:rsidP="00133508">
            <w:pPr>
              <w:pStyle w:val="Subtitle"/>
              <w:spacing w:after="60"/>
              <w:ind w:left="1304"/>
            </w:pPr>
            <w:r w:rsidRPr="00A26815">
              <w:t>$ million (nominal)</w:t>
            </w:r>
          </w:p>
        </w:tc>
      </w:tr>
      <w:tr w:rsidR="007544CA" w:rsidTr="00133508">
        <w:trPr>
          <w:gridAfter w:val="1"/>
          <w:wAfter w:w="20" w:type="dxa"/>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597"/>
              <w:gridCol w:w="815"/>
              <w:gridCol w:w="815"/>
              <w:gridCol w:w="815"/>
              <w:gridCol w:w="815"/>
              <w:gridCol w:w="815"/>
              <w:gridCol w:w="815"/>
            </w:tblGrid>
            <w:tr w:rsidR="007544CA" w:rsidTr="00133508">
              <w:tc>
                <w:tcPr>
                  <w:tcW w:w="2118" w:type="pct"/>
                  <w:tcBorders>
                    <w:top w:val="single" w:sz="6" w:space="0" w:color="BFBFBF"/>
                    <w:bottom w:val="single" w:sz="6" w:space="0" w:color="BFBFBF"/>
                  </w:tcBorders>
                  <w:shd w:val="clear" w:color="auto" w:fill="auto"/>
                  <w:tcMar>
                    <w:top w:w="28" w:type="dxa"/>
                  </w:tcMar>
                </w:tcPr>
                <w:p w:rsidR="007544CA" w:rsidRPr="00AB1D7C" w:rsidRDefault="007544CA" w:rsidP="00133508">
                  <w:pPr>
                    <w:pStyle w:val="TableColumnHeading"/>
                    <w:spacing w:before="60" w:after="60"/>
                    <w:jc w:val="left"/>
                    <w:rPr>
                      <w:szCs w:val="18"/>
                    </w:rPr>
                  </w:pPr>
                  <w:r w:rsidRPr="00AB1D7C">
                    <w:rPr>
                      <w:szCs w:val="18"/>
                    </w:rPr>
                    <w:t>Industry grouping</w:t>
                  </w:r>
                </w:p>
              </w:tc>
              <w:tc>
                <w:tcPr>
                  <w:tcW w:w="480" w:type="pct"/>
                  <w:tcBorders>
                    <w:top w:val="single" w:sz="6" w:space="0" w:color="BFBFBF"/>
                    <w:bottom w:val="single" w:sz="6" w:space="0" w:color="BFBFBF"/>
                  </w:tcBorders>
                </w:tcPr>
                <w:p w:rsidR="007544CA" w:rsidRPr="00AB1D7C" w:rsidRDefault="007544CA" w:rsidP="00133508">
                  <w:pPr>
                    <w:pStyle w:val="TableColumnHeading"/>
                    <w:spacing w:before="60" w:after="60"/>
                    <w:ind w:left="0" w:right="57"/>
                    <w:rPr>
                      <w:szCs w:val="18"/>
                    </w:rPr>
                  </w:pPr>
                  <w:r w:rsidRPr="00AB1D7C">
                    <w:rPr>
                      <w:szCs w:val="18"/>
                    </w:rPr>
                    <w:t>2009</w:t>
                  </w:r>
                  <w:r>
                    <w:rPr>
                      <w:szCs w:val="18"/>
                    </w:rPr>
                    <w:noBreakHyphen/>
                  </w:r>
                  <w:r w:rsidRPr="00AB1D7C">
                    <w:rPr>
                      <w:szCs w:val="18"/>
                    </w:rPr>
                    <w:t>10</w:t>
                  </w:r>
                </w:p>
              </w:tc>
              <w:tc>
                <w:tcPr>
                  <w:tcW w:w="480" w:type="pct"/>
                  <w:tcBorders>
                    <w:top w:val="single" w:sz="6" w:space="0" w:color="BFBFBF"/>
                    <w:bottom w:val="single" w:sz="6" w:space="0" w:color="BFBFBF"/>
                  </w:tcBorders>
                </w:tcPr>
                <w:p w:rsidR="007544CA" w:rsidRPr="00AB1D7C" w:rsidRDefault="007544CA" w:rsidP="00133508">
                  <w:pPr>
                    <w:pStyle w:val="TableColumnHeading"/>
                    <w:spacing w:before="60" w:after="60"/>
                    <w:ind w:left="0" w:right="57"/>
                    <w:rPr>
                      <w:szCs w:val="18"/>
                    </w:rPr>
                  </w:pPr>
                  <w:r w:rsidRPr="00AB1D7C">
                    <w:rPr>
                      <w:szCs w:val="18"/>
                    </w:rPr>
                    <w:t>2010</w:t>
                  </w:r>
                  <w:r>
                    <w:rPr>
                      <w:szCs w:val="18"/>
                    </w:rPr>
                    <w:noBreakHyphen/>
                  </w:r>
                  <w:r w:rsidRPr="00AB1D7C">
                    <w:rPr>
                      <w:szCs w:val="18"/>
                    </w:rPr>
                    <w:t>11</w:t>
                  </w:r>
                </w:p>
              </w:tc>
              <w:tc>
                <w:tcPr>
                  <w:tcW w:w="480" w:type="pct"/>
                  <w:tcBorders>
                    <w:top w:val="single" w:sz="6" w:space="0" w:color="BFBFBF"/>
                    <w:bottom w:val="single" w:sz="6" w:space="0" w:color="BFBFBF"/>
                  </w:tcBorders>
                </w:tcPr>
                <w:p w:rsidR="007544CA" w:rsidRPr="00AB1D7C" w:rsidRDefault="007544CA" w:rsidP="00133508">
                  <w:pPr>
                    <w:pStyle w:val="TableColumnHeading"/>
                    <w:spacing w:before="60" w:after="60"/>
                    <w:ind w:left="0" w:right="57"/>
                    <w:rPr>
                      <w:szCs w:val="18"/>
                    </w:rPr>
                  </w:pPr>
                  <w:r w:rsidRPr="00AB1D7C">
                    <w:rPr>
                      <w:szCs w:val="18"/>
                    </w:rPr>
                    <w:t>2011</w:t>
                  </w:r>
                  <w:r>
                    <w:rPr>
                      <w:szCs w:val="18"/>
                    </w:rPr>
                    <w:noBreakHyphen/>
                  </w:r>
                  <w:r w:rsidRPr="00AB1D7C">
                    <w:rPr>
                      <w:szCs w:val="18"/>
                    </w:rPr>
                    <w:t>12</w:t>
                  </w:r>
                </w:p>
              </w:tc>
              <w:tc>
                <w:tcPr>
                  <w:tcW w:w="480" w:type="pct"/>
                  <w:tcBorders>
                    <w:top w:val="single" w:sz="6" w:space="0" w:color="BFBFBF"/>
                    <w:bottom w:val="single" w:sz="6" w:space="0" w:color="BFBFBF"/>
                  </w:tcBorders>
                </w:tcPr>
                <w:p w:rsidR="007544CA" w:rsidRPr="00AB1D7C" w:rsidRDefault="007544CA" w:rsidP="00133508">
                  <w:pPr>
                    <w:pStyle w:val="TableColumnHeading"/>
                    <w:spacing w:before="60" w:after="60"/>
                    <w:ind w:left="0" w:right="57"/>
                    <w:rPr>
                      <w:szCs w:val="18"/>
                    </w:rPr>
                  </w:pPr>
                  <w:r w:rsidRPr="00AB1D7C">
                    <w:rPr>
                      <w:szCs w:val="18"/>
                    </w:rPr>
                    <w:t>2012</w:t>
                  </w:r>
                  <w:r>
                    <w:rPr>
                      <w:szCs w:val="18"/>
                    </w:rPr>
                    <w:noBreakHyphen/>
                  </w:r>
                  <w:r w:rsidRPr="00AB1D7C">
                    <w:rPr>
                      <w:szCs w:val="18"/>
                    </w:rPr>
                    <w:t>13</w:t>
                  </w:r>
                </w:p>
              </w:tc>
              <w:tc>
                <w:tcPr>
                  <w:tcW w:w="480" w:type="pct"/>
                  <w:tcBorders>
                    <w:top w:val="single" w:sz="6" w:space="0" w:color="BFBFBF"/>
                    <w:bottom w:val="single" w:sz="6" w:space="0" w:color="BFBFBF"/>
                  </w:tcBorders>
                  <w:shd w:val="clear" w:color="auto" w:fill="auto"/>
                  <w:tcMar>
                    <w:top w:w="28" w:type="dxa"/>
                  </w:tcMar>
                </w:tcPr>
                <w:p w:rsidR="007544CA" w:rsidRPr="00AB1D7C" w:rsidRDefault="007544CA" w:rsidP="00133508">
                  <w:pPr>
                    <w:pStyle w:val="TableColumnHeading"/>
                    <w:spacing w:before="60" w:after="60"/>
                    <w:ind w:left="0" w:right="57"/>
                    <w:rPr>
                      <w:szCs w:val="18"/>
                    </w:rPr>
                  </w:pPr>
                  <w:r w:rsidRPr="00AB1D7C">
                    <w:rPr>
                      <w:szCs w:val="18"/>
                    </w:rPr>
                    <w:t>2013</w:t>
                  </w:r>
                  <w:r>
                    <w:rPr>
                      <w:szCs w:val="18"/>
                    </w:rPr>
                    <w:noBreakHyphen/>
                  </w:r>
                  <w:r w:rsidRPr="00AB1D7C">
                    <w:rPr>
                      <w:szCs w:val="18"/>
                    </w:rPr>
                    <w:t>14</w:t>
                  </w:r>
                </w:p>
              </w:tc>
              <w:tc>
                <w:tcPr>
                  <w:tcW w:w="480" w:type="pct"/>
                  <w:tcBorders>
                    <w:top w:val="single" w:sz="6" w:space="0" w:color="BFBFBF"/>
                    <w:bottom w:val="single" w:sz="6" w:space="0" w:color="BFBFBF"/>
                  </w:tcBorders>
                  <w:shd w:val="clear" w:color="auto" w:fill="auto"/>
                  <w:tcMar>
                    <w:top w:w="28" w:type="dxa"/>
                  </w:tcMar>
                </w:tcPr>
                <w:p w:rsidR="007544CA" w:rsidRPr="00AB1D7C" w:rsidRDefault="007544CA" w:rsidP="00133508">
                  <w:pPr>
                    <w:pStyle w:val="TableColumnHeading"/>
                    <w:spacing w:before="60" w:after="60"/>
                    <w:ind w:left="0" w:right="57"/>
                    <w:rPr>
                      <w:szCs w:val="18"/>
                    </w:rPr>
                  </w:pPr>
                  <w:r w:rsidRPr="00AB1D7C">
                    <w:rPr>
                      <w:szCs w:val="18"/>
                    </w:rPr>
                    <w:t>201</w:t>
                  </w:r>
                  <w:r>
                    <w:rPr>
                      <w:szCs w:val="18"/>
                    </w:rPr>
                    <w:t>4</w:t>
                  </w:r>
                  <w:r>
                    <w:rPr>
                      <w:szCs w:val="18"/>
                    </w:rPr>
                    <w:noBreakHyphen/>
                  </w:r>
                  <w:r w:rsidRPr="00AB1D7C">
                    <w:rPr>
                      <w:szCs w:val="18"/>
                    </w:rPr>
                    <w:t>1</w:t>
                  </w:r>
                  <w:r>
                    <w:rPr>
                      <w:szCs w:val="18"/>
                    </w:rPr>
                    <w:t>5</w:t>
                  </w:r>
                </w:p>
              </w:tc>
            </w:tr>
            <w:tr w:rsidR="007544CA" w:rsidRPr="00FC101B" w:rsidTr="00133508">
              <w:tc>
                <w:tcPr>
                  <w:tcW w:w="2118" w:type="pct"/>
                  <w:tcBorders>
                    <w:top w:val="single" w:sz="6" w:space="0" w:color="BFBFBF"/>
                  </w:tcBorders>
                  <w:vAlign w:val="bottom"/>
                </w:tcPr>
                <w:p w:rsidR="007544CA" w:rsidRPr="00A9616E" w:rsidRDefault="007544CA" w:rsidP="00133508">
                  <w:pPr>
                    <w:pStyle w:val="TableBodyText"/>
                    <w:spacing w:after="0"/>
                    <w:jc w:val="left"/>
                    <w:rPr>
                      <w:b/>
                    </w:rPr>
                  </w:pPr>
                  <w:r w:rsidRPr="00A9616E">
                    <w:rPr>
                      <w:b/>
                    </w:rPr>
                    <w:t>Primary production</w:t>
                  </w:r>
                </w:p>
              </w:tc>
              <w:tc>
                <w:tcPr>
                  <w:tcW w:w="480" w:type="pct"/>
                  <w:tcBorders>
                    <w:top w:val="single" w:sz="6" w:space="0" w:color="BFBFBF"/>
                  </w:tcBorders>
                  <w:vAlign w:val="bottom"/>
                </w:tcPr>
                <w:p w:rsidR="007544CA" w:rsidRPr="00A9616E" w:rsidRDefault="007544CA" w:rsidP="00133508">
                  <w:pPr>
                    <w:pStyle w:val="TableBodyText"/>
                    <w:spacing w:after="0"/>
                    <w:rPr>
                      <w:b/>
                    </w:rPr>
                  </w:pPr>
                  <w:r w:rsidRPr="00A9616E">
                    <w:rPr>
                      <w:b/>
                    </w:rPr>
                    <w:t>142.5</w:t>
                  </w:r>
                </w:p>
              </w:tc>
              <w:tc>
                <w:tcPr>
                  <w:tcW w:w="480" w:type="pct"/>
                  <w:tcBorders>
                    <w:top w:val="single" w:sz="6" w:space="0" w:color="BFBFBF"/>
                  </w:tcBorders>
                  <w:vAlign w:val="bottom"/>
                </w:tcPr>
                <w:p w:rsidR="007544CA" w:rsidRPr="00A9616E" w:rsidRDefault="007544CA" w:rsidP="00133508">
                  <w:pPr>
                    <w:pStyle w:val="TableBodyText"/>
                    <w:spacing w:after="0"/>
                    <w:rPr>
                      <w:b/>
                    </w:rPr>
                  </w:pPr>
                  <w:r w:rsidRPr="00A9616E">
                    <w:rPr>
                      <w:b/>
                    </w:rPr>
                    <w:t>158.3</w:t>
                  </w:r>
                </w:p>
              </w:tc>
              <w:tc>
                <w:tcPr>
                  <w:tcW w:w="480" w:type="pct"/>
                  <w:tcBorders>
                    <w:top w:val="single" w:sz="6" w:space="0" w:color="BFBFBF"/>
                  </w:tcBorders>
                  <w:vAlign w:val="bottom"/>
                </w:tcPr>
                <w:p w:rsidR="007544CA" w:rsidRPr="00A9616E" w:rsidRDefault="007544CA" w:rsidP="00133508">
                  <w:pPr>
                    <w:pStyle w:val="TableBodyText"/>
                    <w:spacing w:after="0"/>
                    <w:rPr>
                      <w:b/>
                    </w:rPr>
                  </w:pPr>
                  <w:r w:rsidRPr="00A9616E">
                    <w:rPr>
                      <w:b/>
                    </w:rPr>
                    <w:t>165.1</w:t>
                  </w:r>
                </w:p>
              </w:tc>
              <w:tc>
                <w:tcPr>
                  <w:tcW w:w="480" w:type="pct"/>
                  <w:tcBorders>
                    <w:top w:val="single" w:sz="6" w:space="0" w:color="BFBFBF"/>
                  </w:tcBorders>
                  <w:vAlign w:val="bottom"/>
                </w:tcPr>
                <w:p w:rsidR="007544CA" w:rsidRPr="00A9616E" w:rsidRDefault="007544CA" w:rsidP="00133508">
                  <w:pPr>
                    <w:pStyle w:val="TableBodyText"/>
                    <w:spacing w:after="0"/>
                    <w:rPr>
                      <w:b/>
                    </w:rPr>
                  </w:pPr>
                  <w:r w:rsidRPr="00A9616E">
                    <w:rPr>
                      <w:b/>
                    </w:rPr>
                    <w:t>177.5</w:t>
                  </w:r>
                </w:p>
              </w:tc>
              <w:tc>
                <w:tcPr>
                  <w:tcW w:w="480" w:type="pct"/>
                  <w:tcBorders>
                    <w:top w:val="single" w:sz="6" w:space="0" w:color="BFBFBF"/>
                  </w:tcBorders>
                  <w:vAlign w:val="bottom"/>
                </w:tcPr>
                <w:p w:rsidR="007544CA" w:rsidRPr="00A9616E" w:rsidRDefault="007544CA" w:rsidP="00133508">
                  <w:pPr>
                    <w:pStyle w:val="TableBodyText"/>
                    <w:spacing w:after="0"/>
                    <w:rPr>
                      <w:b/>
                    </w:rPr>
                  </w:pPr>
                  <w:r w:rsidRPr="00A9616E">
                    <w:rPr>
                      <w:b/>
                    </w:rPr>
                    <w:t>145.9</w:t>
                  </w:r>
                </w:p>
              </w:tc>
              <w:tc>
                <w:tcPr>
                  <w:tcW w:w="480" w:type="pct"/>
                  <w:tcBorders>
                    <w:top w:val="single" w:sz="6" w:space="0" w:color="BFBFBF"/>
                  </w:tcBorders>
                  <w:vAlign w:val="bottom"/>
                </w:tcPr>
                <w:p w:rsidR="007544CA" w:rsidRPr="00A9616E" w:rsidRDefault="007544CA" w:rsidP="00133508">
                  <w:pPr>
                    <w:pStyle w:val="TableBodyText"/>
                    <w:spacing w:after="0"/>
                    <w:rPr>
                      <w:b/>
                    </w:rPr>
                  </w:pPr>
                  <w:r w:rsidRPr="00A9616E">
                    <w:rPr>
                      <w:b/>
                    </w:rPr>
                    <w:t>124.7</w:t>
                  </w:r>
                </w:p>
              </w:tc>
            </w:tr>
            <w:tr w:rsidR="007544CA" w:rsidTr="00133508">
              <w:tc>
                <w:tcPr>
                  <w:tcW w:w="2118" w:type="pct"/>
                  <w:vAlign w:val="center"/>
                </w:tcPr>
                <w:p w:rsidR="007544CA" w:rsidRPr="00AB1D7C" w:rsidRDefault="007544CA" w:rsidP="00133508">
                  <w:pPr>
                    <w:pStyle w:val="TableBodyText"/>
                    <w:spacing w:after="20"/>
                    <w:jc w:val="left"/>
                  </w:pPr>
                  <w:r w:rsidRPr="00AB1D7C">
                    <w:t>Horticulture and fruit growing</w:t>
                  </w:r>
                </w:p>
              </w:tc>
              <w:tc>
                <w:tcPr>
                  <w:tcW w:w="480" w:type="pct"/>
                  <w:vAlign w:val="bottom"/>
                </w:tcPr>
                <w:p w:rsidR="007544CA" w:rsidRDefault="007544CA" w:rsidP="00133508">
                  <w:pPr>
                    <w:pStyle w:val="TableBodyText"/>
                    <w:spacing w:after="20"/>
                  </w:pPr>
                  <w:r>
                    <w:t>144.4</w:t>
                  </w:r>
                </w:p>
              </w:tc>
              <w:tc>
                <w:tcPr>
                  <w:tcW w:w="480" w:type="pct"/>
                  <w:vAlign w:val="bottom"/>
                </w:tcPr>
                <w:p w:rsidR="007544CA" w:rsidRDefault="007544CA" w:rsidP="00133508">
                  <w:pPr>
                    <w:pStyle w:val="TableBodyText"/>
                    <w:spacing w:after="20"/>
                  </w:pPr>
                  <w:r>
                    <w:t>163.6</w:t>
                  </w:r>
                </w:p>
              </w:tc>
              <w:tc>
                <w:tcPr>
                  <w:tcW w:w="480" w:type="pct"/>
                  <w:vAlign w:val="bottom"/>
                </w:tcPr>
                <w:p w:rsidR="007544CA" w:rsidRDefault="007544CA" w:rsidP="00133508">
                  <w:pPr>
                    <w:pStyle w:val="TableBodyText"/>
                    <w:spacing w:after="20"/>
                  </w:pPr>
                  <w:r>
                    <w:t>170.8</w:t>
                  </w:r>
                </w:p>
              </w:tc>
              <w:tc>
                <w:tcPr>
                  <w:tcW w:w="480" w:type="pct"/>
                  <w:vAlign w:val="bottom"/>
                </w:tcPr>
                <w:p w:rsidR="007544CA" w:rsidRDefault="007544CA" w:rsidP="00133508">
                  <w:pPr>
                    <w:pStyle w:val="TableBodyText"/>
                    <w:spacing w:after="20"/>
                  </w:pPr>
                  <w:r>
                    <w:t>181.9</w:t>
                  </w:r>
                </w:p>
              </w:tc>
              <w:tc>
                <w:tcPr>
                  <w:tcW w:w="480" w:type="pct"/>
                  <w:vAlign w:val="bottom"/>
                </w:tcPr>
                <w:p w:rsidR="007544CA" w:rsidRDefault="007544CA" w:rsidP="00133508">
                  <w:pPr>
                    <w:pStyle w:val="TableBodyText"/>
                    <w:spacing w:after="20"/>
                  </w:pPr>
                  <w:r>
                    <w:t>151.6</w:t>
                  </w:r>
                </w:p>
              </w:tc>
              <w:tc>
                <w:tcPr>
                  <w:tcW w:w="480" w:type="pct"/>
                  <w:vAlign w:val="bottom"/>
                </w:tcPr>
                <w:p w:rsidR="007544CA" w:rsidRDefault="007544CA" w:rsidP="00133508">
                  <w:pPr>
                    <w:pStyle w:val="TableBodyText"/>
                    <w:spacing w:after="20"/>
                  </w:pPr>
                  <w:r>
                    <w:t>130.2</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Sheep, beef cattle and grain farming</w:t>
                  </w:r>
                </w:p>
              </w:tc>
              <w:tc>
                <w:tcPr>
                  <w:tcW w:w="480" w:type="pct"/>
                  <w:vAlign w:val="bottom"/>
                </w:tcPr>
                <w:p w:rsidR="007544CA" w:rsidRDefault="007544CA" w:rsidP="00133508">
                  <w:pPr>
                    <w:pStyle w:val="TableBodyText"/>
                    <w:spacing w:after="20"/>
                  </w:pPr>
                  <w:r>
                    <w:noBreakHyphen/>
                    <w:t>12.4</w:t>
                  </w:r>
                </w:p>
              </w:tc>
              <w:tc>
                <w:tcPr>
                  <w:tcW w:w="480" w:type="pct"/>
                  <w:vAlign w:val="bottom"/>
                </w:tcPr>
                <w:p w:rsidR="007544CA" w:rsidRDefault="007544CA" w:rsidP="00133508">
                  <w:pPr>
                    <w:pStyle w:val="TableBodyText"/>
                    <w:spacing w:after="20"/>
                  </w:pPr>
                  <w:r>
                    <w:noBreakHyphen/>
                    <w:t>14.5</w:t>
                  </w:r>
                </w:p>
              </w:tc>
              <w:tc>
                <w:tcPr>
                  <w:tcW w:w="480" w:type="pct"/>
                  <w:vAlign w:val="bottom"/>
                </w:tcPr>
                <w:p w:rsidR="007544CA" w:rsidRDefault="007544CA" w:rsidP="00133508">
                  <w:pPr>
                    <w:pStyle w:val="TableBodyText"/>
                    <w:spacing w:after="20"/>
                  </w:pPr>
                  <w:r>
                    <w:noBreakHyphen/>
                    <w:t>16.1</w:t>
                  </w:r>
                </w:p>
              </w:tc>
              <w:tc>
                <w:tcPr>
                  <w:tcW w:w="480" w:type="pct"/>
                  <w:vAlign w:val="bottom"/>
                </w:tcPr>
                <w:p w:rsidR="007544CA" w:rsidRDefault="007544CA" w:rsidP="00133508">
                  <w:pPr>
                    <w:pStyle w:val="TableBodyText"/>
                    <w:spacing w:after="20"/>
                  </w:pPr>
                  <w:r>
                    <w:noBreakHyphen/>
                    <w:t>18.2</w:t>
                  </w:r>
                </w:p>
              </w:tc>
              <w:tc>
                <w:tcPr>
                  <w:tcW w:w="480" w:type="pct"/>
                  <w:shd w:val="clear" w:color="auto" w:fill="auto"/>
                  <w:vAlign w:val="bottom"/>
                </w:tcPr>
                <w:p w:rsidR="007544CA" w:rsidRDefault="007544CA" w:rsidP="00133508">
                  <w:pPr>
                    <w:pStyle w:val="TableBodyText"/>
                    <w:spacing w:after="20"/>
                  </w:pPr>
                  <w:r>
                    <w:noBreakHyphen/>
                    <w:t>18.9</w:t>
                  </w:r>
                </w:p>
              </w:tc>
              <w:tc>
                <w:tcPr>
                  <w:tcW w:w="480" w:type="pct"/>
                  <w:shd w:val="clear" w:color="auto" w:fill="auto"/>
                  <w:vAlign w:val="bottom"/>
                </w:tcPr>
                <w:p w:rsidR="007544CA" w:rsidRDefault="007544CA" w:rsidP="00133508">
                  <w:pPr>
                    <w:pStyle w:val="TableBodyText"/>
                    <w:spacing w:after="20"/>
                  </w:pPr>
                  <w:r>
                    <w:noBreakHyphen/>
                    <w:t>20.1</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Other crop growing</w:t>
                  </w:r>
                </w:p>
              </w:tc>
              <w:tc>
                <w:tcPr>
                  <w:tcW w:w="480" w:type="pct"/>
                  <w:vAlign w:val="bottom"/>
                </w:tcPr>
                <w:p w:rsidR="007544CA" w:rsidRDefault="007544CA" w:rsidP="00133508">
                  <w:pPr>
                    <w:pStyle w:val="TableBodyText"/>
                    <w:spacing w:after="20"/>
                  </w:pPr>
                  <w:r>
                    <w:noBreakHyphen/>
                    <w:t>2.2</w:t>
                  </w:r>
                </w:p>
              </w:tc>
              <w:tc>
                <w:tcPr>
                  <w:tcW w:w="480" w:type="pct"/>
                  <w:vAlign w:val="bottom"/>
                </w:tcPr>
                <w:p w:rsidR="007544CA" w:rsidRDefault="007544CA" w:rsidP="00133508">
                  <w:pPr>
                    <w:pStyle w:val="TableBodyText"/>
                    <w:spacing w:after="20"/>
                  </w:pPr>
                  <w:r>
                    <w:noBreakHyphen/>
                    <w:t>2.3</w:t>
                  </w:r>
                </w:p>
              </w:tc>
              <w:tc>
                <w:tcPr>
                  <w:tcW w:w="480" w:type="pct"/>
                  <w:vAlign w:val="bottom"/>
                </w:tcPr>
                <w:p w:rsidR="007544CA" w:rsidRDefault="007544CA" w:rsidP="00133508">
                  <w:pPr>
                    <w:pStyle w:val="TableBodyText"/>
                    <w:spacing w:after="20"/>
                  </w:pPr>
                  <w:r>
                    <w:noBreakHyphen/>
                    <w:t>2.3</w:t>
                  </w:r>
                </w:p>
              </w:tc>
              <w:tc>
                <w:tcPr>
                  <w:tcW w:w="480" w:type="pct"/>
                  <w:vAlign w:val="bottom"/>
                </w:tcPr>
                <w:p w:rsidR="007544CA" w:rsidRDefault="007544CA" w:rsidP="00133508">
                  <w:pPr>
                    <w:pStyle w:val="TableBodyText"/>
                    <w:spacing w:after="20"/>
                  </w:pPr>
                  <w:r>
                    <w:noBreakHyphen/>
                    <w:t>2.4</w:t>
                  </w:r>
                </w:p>
              </w:tc>
              <w:tc>
                <w:tcPr>
                  <w:tcW w:w="480" w:type="pct"/>
                  <w:shd w:val="clear" w:color="auto" w:fill="auto"/>
                  <w:vAlign w:val="bottom"/>
                </w:tcPr>
                <w:p w:rsidR="007544CA" w:rsidRDefault="007544CA" w:rsidP="00133508">
                  <w:pPr>
                    <w:pStyle w:val="TableBodyText"/>
                    <w:spacing w:after="20"/>
                  </w:pPr>
                  <w:r>
                    <w:noBreakHyphen/>
                    <w:t>2.4</w:t>
                  </w:r>
                </w:p>
              </w:tc>
              <w:tc>
                <w:tcPr>
                  <w:tcW w:w="480" w:type="pct"/>
                  <w:shd w:val="clear" w:color="auto" w:fill="auto"/>
                  <w:vAlign w:val="bottom"/>
                </w:tcPr>
                <w:p w:rsidR="007544CA" w:rsidRDefault="007544CA" w:rsidP="00133508">
                  <w:pPr>
                    <w:pStyle w:val="TableBodyText"/>
                    <w:spacing w:after="20"/>
                  </w:pPr>
                  <w:r>
                    <w:noBreakHyphen/>
                    <w:t>2.5</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Dairy cattle farming</w:t>
                  </w:r>
                </w:p>
              </w:tc>
              <w:tc>
                <w:tcPr>
                  <w:tcW w:w="480" w:type="pct"/>
                  <w:vAlign w:val="bottom"/>
                </w:tcPr>
                <w:p w:rsidR="007544CA" w:rsidRDefault="007544CA" w:rsidP="00133508">
                  <w:pPr>
                    <w:pStyle w:val="TableBodyText"/>
                    <w:spacing w:after="20"/>
                  </w:pPr>
                  <w:r>
                    <w:noBreakHyphen/>
                    <w:t>1.8</w:t>
                  </w:r>
                </w:p>
              </w:tc>
              <w:tc>
                <w:tcPr>
                  <w:tcW w:w="480" w:type="pct"/>
                  <w:vAlign w:val="bottom"/>
                </w:tcPr>
                <w:p w:rsidR="007544CA" w:rsidRDefault="007544CA" w:rsidP="00133508">
                  <w:pPr>
                    <w:pStyle w:val="TableBodyText"/>
                    <w:spacing w:after="20"/>
                  </w:pPr>
                  <w:r>
                    <w:noBreakHyphen/>
                    <w:t>2.0</w:t>
                  </w:r>
                </w:p>
              </w:tc>
              <w:tc>
                <w:tcPr>
                  <w:tcW w:w="480" w:type="pct"/>
                  <w:vAlign w:val="bottom"/>
                </w:tcPr>
                <w:p w:rsidR="007544CA" w:rsidRDefault="007544CA" w:rsidP="00133508">
                  <w:pPr>
                    <w:pStyle w:val="TableBodyText"/>
                    <w:spacing w:after="20"/>
                  </w:pPr>
                  <w:r>
                    <w:noBreakHyphen/>
                    <w:t>2.2</w:t>
                  </w:r>
                </w:p>
              </w:tc>
              <w:tc>
                <w:tcPr>
                  <w:tcW w:w="480" w:type="pct"/>
                  <w:vAlign w:val="bottom"/>
                </w:tcPr>
                <w:p w:rsidR="007544CA" w:rsidRDefault="007544CA" w:rsidP="00133508">
                  <w:pPr>
                    <w:pStyle w:val="TableBodyText"/>
                    <w:spacing w:after="20"/>
                  </w:pPr>
                  <w:r>
                    <w:noBreakHyphen/>
                    <w:t>2.4</w:t>
                  </w:r>
                </w:p>
              </w:tc>
              <w:tc>
                <w:tcPr>
                  <w:tcW w:w="480" w:type="pct"/>
                  <w:shd w:val="clear" w:color="auto" w:fill="auto"/>
                  <w:vAlign w:val="bottom"/>
                </w:tcPr>
                <w:p w:rsidR="007544CA" w:rsidRDefault="007544CA" w:rsidP="00133508">
                  <w:pPr>
                    <w:pStyle w:val="TableBodyText"/>
                    <w:spacing w:after="20"/>
                  </w:pPr>
                  <w:r>
                    <w:noBreakHyphen/>
                    <w:t>3.0</w:t>
                  </w:r>
                </w:p>
              </w:tc>
              <w:tc>
                <w:tcPr>
                  <w:tcW w:w="480" w:type="pct"/>
                  <w:shd w:val="clear" w:color="auto" w:fill="auto"/>
                  <w:vAlign w:val="bottom"/>
                </w:tcPr>
                <w:p w:rsidR="007544CA" w:rsidRDefault="007544CA" w:rsidP="00133508">
                  <w:pPr>
                    <w:pStyle w:val="TableBodyText"/>
                    <w:spacing w:after="20"/>
                  </w:pPr>
                  <w:r>
                    <w:noBreakHyphen/>
                    <w:t>3.8</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Other livestock farming</w:t>
                  </w:r>
                </w:p>
              </w:tc>
              <w:tc>
                <w:tcPr>
                  <w:tcW w:w="480" w:type="pct"/>
                  <w:vAlign w:val="bottom"/>
                </w:tcPr>
                <w:p w:rsidR="007544CA" w:rsidRDefault="007544CA" w:rsidP="00133508">
                  <w:pPr>
                    <w:pStyle w:val="TableBodyText"/>
                    <w:spacing w:after="20"/>
                  </w:pPr>
                  <w:r>
                    <w:noBreakHyphen/>
                    <w:t>3.5</w:t>
                  </w:r>
                </w:p>
              </w:tc>
              <w:tc>
                <w:tcPr>
                  <w:tcW w:w="480" w:type="pct"/>
                  <w:vAlign w:val="bottom"/>
                </w:tcPr>
                <w:p w:rsidR="007544CA" w:rsidRDefault="007544CA" w:rsidP="00133508">
                  <w:pPr>
                    <w:pStyle w:val="TableBodyText"/>
                    <w:spacing w:after="20"/>
                  </w:pPr>
                  <w:r>
                    <w:noBreakHyphen/>
                    <w:t>3.7</w:t>
                  </w:r>
                </w:p>
              </w:tc>
              <w:tc>
                <w:tcPr>
                  <w:tcW w:w="480" w:type="pct"/>
                  <w:vAlign w:val="bottom"/>
                </w:tcPr>
                <w:p w:rsidR="007544CA" w:rsidRDefault="007544CA" w:rsidP="00133508">
                  <w:pPr>
                    <w:pStyle w:val="TableBodyText"/>
                    <w:spacing w:after="20"/>
                  </w:pPr>
                  <w:r>
                    <w:noBreakHyphen/>
                    <w:t>3.7</w:t>
                  </w:r>
                </w:p>
              </w:tc>
              <w:tc>
                <w:tcPr>
                  <w:tcW w:w="480" w:type="pct"/>
                  <w:vAlign w:val="bottom"/>
                </w:tcPr>
                <w:p w:rsidR="007544CA" w:rsidRDefault="007544CA" w:rsidP="00133508">
                  <w:pPr>
                    <w:pStyle w:val="TableBodyText"/>
                    <w:spacing w:after="20"/>
                  </w:pPr>
                  <w:r>
                    <w:noBreakHyphen/>
                    <w:t>3.7</w:t>
                  </w:r>
                </w:p>
              </w:tc>
              <w:tc>
                <w:tcPr>
                  <w:tcW w:w="480" w:type="pct"/>
                  <w:shd w:val="clear" w:color="auto" w:fill="auto"/>
                  <w:vAlign w:val="bottom"/>
                </w:tcPr>
                <w:p w:rsidR="007544CA" w:rsidRDefault="007544CA" w:rsidP="00133508">
                  <w:pPr>
                    <w:pStyle w:val="TableBodyText"/>
                    <w:spacing w:after="20"/>
                  </w:pPr>
                  <w:r>
                    <w:noBreakHyphen/>
                    <w:t>4.0</w:t>
                  </w:r>
                </w:p>
              </w:tc>
              <w:tc>
                <w:tcPr>
                  <w:tcW w:w="480" w:type="pct"/>
                  <w:shd w:val="clear" w:color="auto" w:fill="auto"/>
                  <w:vAlign w:val="bottom"/>
                </w:tcPr>
                <w:p w:rsidR="007544CA" w:rsidRDefault="007544CA" w:rsidP="00133508">
                  <w:pPr>
                    <w:pStyle w:val="TableBodyText"/>
                    <w:spacing w:after="20"/>
                  </w:pPr>
                  <w:r>
                    <w:noBreakHyphen/>
                    <w:t>4.3</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Aquaculture and fishing</w:t>
                  </w:r>
                </w:p>
              </w:tc>
              <w:tc>
                <w:tcPr>
                  <w:tcW w:w="480" w:type="pct"/>
                  <w:vAlign w:val="bottom"/>
                </w:tcPr>
                <w:p w:rsidR="007544CA" w:rsidRDefault="007544CA" w:rsidP="00133508">
                  <w:pPr>
                    <w:pStyle w:val="TableBodyText"/>
                    <w:spacing w:after="20"/>
                  </w:pPr>
                  <w:r>
                    <w:noBreakHyphen/>
                    <w:t>12.8</w:t>
                  </w:r>
                </w:p>
              </w:tc>
              <w:tc>
                <w:tcPr>
                  <w:tcW w:w="480" w:type="pct"/>
                  <w:vAlign w:val="bottom"/>
                </w:tcPr>
                <w:p w:rsidR="007544CA" w:rsidRDefault="007544CA" w:rsidP="00133508">
                  <w:pPr>
                    <w:pStyle w:val="TableBodyText"/>
                    <w:spacing w:after="20"/>
                  </w:pPr>
                  <w:r>
                    <w:noBreakHyphen/>
                    <w:t>13.5</w:t>
                  </w:r>
                </w:p>
              </w:tc>
              <w:tc>
                <w:tcPr>
                  <w:tcW w:w="480" w:type="pct"/>
                  <w:vAlign w:val="bottom"/>
                </w:tcPr>
                <w:p w:rsidR="007544CA" w:rsidRDefault="007544CA" w:rsidP="00133508">
                  <w:pPr>
                    <w:pStyle w:val="TableBodyText"/>
                    <w:spacing w:after="20"/>
                  </w:pPr>
                  <w:r>
                    <w:noBreakHyphen/>
                    <w:t>14.5</w:t>
                  </w:r>
                </w:p>
              </w:tc>
              <w:tc>
                <w:tcPr>
                  <w:tcW w:w="480" w:type="pct"/>
                  <w:vAlign w:val="bottom"/>
                </w:tcPr>
                <w:p w:rsidR="007544CA" w:rsidRDefault="007544CA" w:rsidP="00133508">
                  <w:pPr>
                    <w:pStyle w:val="TableBodyText"/>
                    <w:spacing w:after="20"/>
                  </w:pPr>
                  <w:r>
                    <w:noBreakHyphen/>
                    <w:t>17.3</w:t>
                  </w:r>
                </w:p>
              </w:tc>
              <w:tc>
                <w:tcPr>
                  <w:tcW w:w="480" w:type="pct"/>
                  <w:shd w:val="clear" w:color="auto" w:fill="auto"/>
                  <w:vAlign w:val="bottom"/>
                </w:tcPr>
                <w:p w:rsidR="007544CA" w:rsidRDefault="007544CA" w:rsidP="00133508">
                  <w:pPr>
                    <w:pStyle w:val="TableBodyText"/>
                    <w:spacing w:after="20"/>
                  </w:pPr>
                  <w:r>
                    <w:noBreakHyphen/>
                    <w:t>17.4</w:t>
                  </w:r>
                </w:p>
              </w:tc>
              <w:tc>
                <w:tcPr>
                  <w:tcW w:w="480" w:type="pct"/>
                  <w:shd w:val="clear" w:color="auto" w:fill="auto"/>
                  <w:vAlign w:val="bottom"/>
                </w:tcPr>
                <w:p w:rsidR="007544CA" w:rsidRDefault="007544CA" w:rsidP="00133508">
                  <w:pPr>
                    <w:pStyle w:val="TableBodyText"/>
                    <w:spacing w:after="20"/>
                  </w:pPr>
                  <w:r>
                    <w:noBreakHyphen/>
                    <w:t>18.4</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Forestry and logging</w:t>
                  </w:r>
                </w:p>
              </w:tc>
              <w:tc>
                <w:tcPr>
                  <w:tcW w:w="480" w:type="pct"/>
                  <w:vAlign w:val="bottom"/>
                </w:tcPr>
                <w:p w:rsidR="007544CA" w:rsidRDefault="007544CA" w:rsidP="00133508">
                  <w:pPr>
                    <w:pStyle w:val="TableBodyText"/>
                    <w:spacing w:after="20"/>
                  </w:pPr>
                  <w:r>
                    <w:t>45.5</w:t>
                  </w:r>
                </w:p>
              </w:tc>
              <w:tc>
                <w:tcPr>
                  <w:tcW w:w="480" w:type="pct"/>
                  <w:vAlign w:val="bottom"/>
                </w:tcPr>
                <w:p w:rsidR="007544CA" w:rsidRDefault="007544CA" w:rsidP="00133508">
                  <w:pPr>
                    <w:pStyle w:val="TableBodyText"/>
                    <w:spacing w:after="20"/>
                  </w:pPr>
                  <w:r>
                    <w:t>46.4</w:t>
                  </w:r>
                </w:p>
              </w:tc>
              <w:tc>
                <w:tcPr>
                  <w:tcW w:w="480" w:type="pct"/>
                  <w:vAlign w:val="bottom"/>
                </w:tcPr>
                <w:p w:rsidR="007544CA" w:rsidRDefault="007544CA" w:rsidP="00133508">
                  <w:pPr>
                    <w:pStyle w:val="TableBodyText"/>
                    <w:spacing w:after="20"/>
                  </w:pPr>
                  <w:r>
                    <w:t>49.7</w:t>
                  </w:r>
                </w:p>
              </w:tc>
              <w:tc>
                <w:tcPr>
                  <w:tcW w:w="480" w:type="pct"/>
                  <w:vAlign w:val="bottom"/>
                </w:tcPr>
                <w:p w:rsidR="007544CA" w:rsidRDefault="007544CA" w:rsidP="00133508">
                  <w:pPr>
                    <w:pStyle w:val="TableBodyText"/>
                    <w:spacing w:after="20"/>
                  </w:pPr>
                  <w:r>
                    <w:t>49.0</w:t>
                  </w:r>
                </w:p>
              </w:tc>
              <w:tc>
                <w:tcPr>
                  <w:tcW w:w="480" w:type="pct"/>
                  <w:shd w:val="clear" w:color="auto" w:fill="auto"/>
                  <w:vAlign w:val="bottom"/>
                </w:tcPr>
                <w:p w:rsidR="007544CA" w:rsidRDefault="007544CA" w:rsidP="00133508">
                  <w:pPr>
                    <w:pStyle w:val="TableBodyText"/>
                    <w:spacing w:after="20"/>
                  </w:pPr>
                  <w:r>
                    <w:t>49.4</w:t>
                  </w:r>
                </w:p>
              </w:tc>
              <w:tc>
                <w:tcPr>
                  <w:tcW w:w="480" w:type="pct"/>
                  <w:shd w:val="clear" w:color="auto" w:fill="auto"/>
                  <w:vAlign w:val="bottom"/>
                </w:tcPr>
                <w:p w:rsidR="007544CA" w:rsidRDefault="007544CA" w:rsidP="00133508">
                  <w:pPr>
                    <w:pStyle w:val="TableBodyText"/>
                    <w:spacing w:after="20"/>
                  </w:pPr>
                  <w:r>
                    <w:t>53.4</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Primary production support services</w:t>
                  </w:r>
                </w:p>
              </w:tc>
              <w:tc>
                <w:tcPr>
                  <w:tcW w:w="480" w:type="pct"/>
                  <w:vAlign w:val="bottom"/>
                </w:tcPr>
                <w:p w:rsidR="007544CA" w:rsidRDefault="007544CA" w:rsidP="00133508">
                  <w:pPr>
                    <w:pStyle w:val="TableBodyText"/>
                    <w:spacing w:after="20"/>
                  </w:pPr>
                  <w:r>
                    <w:noBreakHyphen/>
                    <w:t>14.7</w:t>
                  </w:r>
                </w:p>
              </w:tc>
              <w:tc>
                <w:tcPr>
                  <w:tcW w:w="480" w:type="pct"/>
                  <w:vAlign w:val="bottom"/>
                </w:tcPr>
                <w:p w:rsidR="007544CA" w:rsidRDefault="007544CA" w:rsidP="00133508">
                  <w:pPr>
                    <w:pStyle w:val="TableBodyText"/>
                    <w:spacing w:after="20"/>
                  </w:pPr>
                  <w:r>
                    <w:noBreakHyphen/>
                    <w:t>15.7</w:t>
                  </w:r>
                </w:p>
              </w:tc>
              <w:tc>
                <w:tcPr>
                  <w:tcW w:w="480" w:type="pct"/>
                  <w:vAlign w:val="bottom"/>
                </w:tcPr>
                <w:p w:rsidR="007544CA" w:rsidRDefault="007544CA" w:rsidP="00133508">
                  <w:pPr>
                    <w:pStyle w:val="TableBodyText"/>
                    <w:spacing w:after="20"/>
                  </w:pPr>
                  <w:r>
                    <w:noBreakHyphen/>
                    <w:t>16.5</w:t>
                  </w:r>
                </w:p>
              </w:tc>
              <w:tc>
                <w:tcPr>
                  <w:tcW w:w="480" w:type="pct"/>
                  <w:vAlign w:val="bottom"/>
                </w:tcPr>
                <w:p w:rsidR="007544CA" w:rsidRDefault="007544CA" w:rsidP="00133508">
                  <w:pPr>
                    <w:pStyle w:val="TableBodyText"/>
                    <w:spacing w:after="20"/>
                  </w:pPr>
                  <w:r>
                    <w:noBreakHyphen/>
                    <w:t>9.4</w:t>
                  </w:r>
                </w:p>
              </w:tc>
              <w:tc>
                <w:tcPr>
                  <w:tcW w:w="480" w:type="pct"/>
                  <w:shd w:val="clear" w:color="auto" w:fill="auto"/>
                  <w:vAlign w:val="bottom"/>
                </w:tcPr>
                <w:p w:rsidR="007544CA" w:rsidRDefault="007544CA" w:rsidP="00133508">
                  <w:pPr>
                    <w:pStyle w:val="TableBodyText"/>
                    <w:spacing w:after="20"/>
                  </w:pPr>
                  <w:r>
                    <w:noBreakHyphen/>
                    <w:t>9.4</w:t>
                  </w:r>
                </w:p>
              </w:tc>
              <w:tc>
                <w:tcPr>
                  <w:tcW w:w="480" w:type="pct"/>
                  <w:shd w:val="clear" w:color="auto" w:fill="auto"/>
                  <w:vAlign w:val="bottom"/>
                </w:tcPr>
                <w:p w:rsidR="007544CA" w:rsidRDefault="007544CA" w:rsidP="00133508">
                  <w:pPr>
                    <w:pStyle w:val="TableBodyText"/>
                    <w:spacing w:after="20"/>
                  </w:pPr>
                  <w:r>
                    <w:noBreakHyphen/>
                    <w:t>9.8</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Unallocated primary production</w:t>
                  </w:r>
                  <w:r w:rsidRPr="00C74A79">
                    <w:rPr>
                      <w:rStyle w:val="NoteLabel"/>
                    </w:rPr>
                    <w:t>b</w:t>
                  </w:r>
                </w:p>
              </w:tc>
              <w:tc>
                <w:tcPr>
                  <w:tcW w:w="480" w:type="pct"/>
                  <w:vAlign w:val="bottom"/>
                </w:tcPr>
                <w:p w:rsidR="007544CA" w:rsidRPr="00FC101B" w:rsidRDefault="007544CA" w:rsidP="00133508">
                  <w:pPr>
                    <w:pStyle w:val="TableBodyText"/>
                    <w:spacing w:after="20"/>
                  </w:pPr>
                  <w:r w:rsidRPr="00FC101B">
                    <w:t xml:space="preserve">– </w:t>
                  </w:r>
                </w:p>
              </w:tc>
              <w:tc>
                <w:tcPr>
                  <w:tcW w:w="480" w:type="pct"/>
                  <w:vAlign w:val="bottom"/>
                </w:tcPr>
                <w:p w:rsidR="007544CA" w:rsidRPr="00FC101B" w:rsidRDefault="007544CA" w:rsidP="00133508">
                  <w:pPr>
                    <w:pStyle w:val="TableBodyText"/>
                    <w:spacing w:after="20"/>
                  </w:pPr>
                  <w:r w:rsidRPr="00FC101B">
                    <w:t xml:space="preserve">– </w:t>
                  </w:r>
                </w:p>
              </w:tc>
              <w:tc>
                <w:tcPr>
                  <w:tcW w:w="480" w:type="pct"/>
                  <w:vAlign w:val="bottom"/>
                </w:tcPr>
                <w:p w:rsidR="007544CA" w:rsidRPr="00FC101B" w:rsidRDefault="007544CA" w:rsidP="00133508">
                  <w:pPr>
                    <w:pStyle w:val="TableBodyText"/>
                    <w:spacing w:after="20"/>
                  </w:pPr>
                  <w:r w:rsidRPr="00FC101B">
                    <w:t xml:space="preserve">– </w:t>
                  </w:r>
                </w:p>
              </w:tc>
              <w:tc>
                <w:tcPr>
                  <w:tcW w:w="480" w:type="pct"/>
                  <w:vAlign w:val="bottom"/>
                </w:tcPr>
                <w:p w:rsidR="007544CA" w:rsidRPr="00FC101B" w:rsidRDefault="007544CA" w:rsidP="00133508">
                  <w:pPr>
                    <w:pStyle w:val="TableBodyText"/>
                    <w:spacing w:after="20"/>
                  </w:pPr>
                  <w:r w:rsidRPr="00FC101B">
                    <w:t xml:space="preserve">– </w:t>
                  </w:r>
                </w:p>
              </w:tc>
              <w:tc>
                <w:tcPr>
                  <w:tcW w:w="480" w:type="pct"/>
                  <w:shd w:val="clear" w:color="auto" w:fill="auto"/>
                  <w:vAlign w:val="bottom"/>
                </w:tcPr>
                <w:p w:rsidR="007544CA" w:rsidRPr="00FC101B" w:rsidRDefault="007544CA" w:rsidP="00133508">
                  <w:pPr>
                    <w:pStyle w:val="TableBodyText"/>
                    <w:spacing w:after="20"/>
                  </w:pPr>
                  <w:r w:rsidRPr="00FC101B">
                    <w:t xml:space="preserve">– </w:t>
                  </w:r>
                </w:p>
              </w:tc>
              <w:tc>
                <w:tcPr>
                  <w:tcW w:w="480" w:type="pct"/>
                  <w:shd w:val="clear" w:color="auto" w:fill="auto"/>
                  <w:vAlign w:val="bottom"/>
                </w:tcPr>
                <w:p w:rsidR="007544CA" w:rsidRPr="00FC101B" w:rsidRDefault="007544CA" w:rsidP="00133508">
                  <w:pPr>
                    <w:pStyle w:val="TableBodyText"/>
                    <w:spacing w:after="20"/>
                  </w:pPr>
                  <w:r w:rsidRPr="00FC101B">
                    <w:t xml:space="preserve">– </w:t>
                  </w:r>
                </w:p>
              </w:tc>
            </w:tr>
            <w:tr w:rsidR="007544CA" w:rsidRPr="00FC101B" w:rsidTr="00133508">
              <w:tc>
                <w:tcPr>
                  <w:tcW w:w="2118" w:type="pct"/>
                  <w:shd w:val="clear" w:color="auto" w:fill="auto"/>
                  <w:vAlign w:val="bottom"/>
                </w:tcPr>
                <w:p w:rsidR="007544CA" w:rsidRPr="00A9616E" w:rsidRDefault="007544CA" w:rsidP="00133508">
                  <w:pPr>
                    <w:pStyle w:val="TableBodyText"/>
                    <w:spacing w:after="20"/>
                    <w:jc w:val="left"/>
                    <w:rPr>
                      <w:b/>
                    </w:rPr>
                  </w:pPr>
                  <w:r w:rsidRPr="00A9616E">
                    <w:rPr>
                      <w:b/>
                    </w:rPr>
                    <w:t>Mining</w:t>
                  </w:r>
                </w:p>
              </w:tc>
              <w:tc>
                <w:tcPr>
                  <w:tcW w:w="480" w:type="pct"/>
                  <w:vAlign w:val="bottom"/>
                </w:tcPr>
                <w:p w:rsidR="007544CA" w:rsidRPr="00A9616E" w:rsidRDefault="007544CA" w:rsidP="00133508">
                  <w:pPr>
                    <w:pStyle w:val="TableBodyText"/>
                    <w:spacing w:after="20"/>
                    <w:rPr>
                      <w:b/>
                    </w:rPr>
                  </w:pPr>
                  <w:r>
                    <w:rPr>
                      <w:b/>
                    </w:rPr>
                    <w:noBreakHyphen/>
                  </w:r>
                  <w:r w:rsidRPr="00A9616E">
                    <w:rPr>
                      <w:b/>
                    </w:rPr>
                    <w:t>187.1</w:t>
                  </w:r>
                </w:p>
              </w:tc>
              <w:tc>
                <w:tcPr>
                  <w:tcW w:w="480" w:type="pct"/>
                  <w:vAlign w:val="bottom"/>
                </w:tcPr>
                <w:p w:rsidR="007544CA" w:rsidRPr="00A9616E" w:rsidRDefault="007544CA" w:rsidP="00133508">
                  <w:pPr>
                    <w:pStyle w:val="TableBodyText"/>
                    <w:spacing w:after="20"/>
                    <w:rPr>
                      <w:b/>
                    </w:rPr>
                  </w:pPr>
                  <w:r>
                    <w:rPr>
                      <w:b/>
                    </w:rPr>
                    <w:noBreakHyphen/>
                  </w:r>
                  <w:r w:rsidRPr="00A9616E">
                    <w:rPr>
                      <w:b/>
                    </w:rPr>
                    <w:t>184.6</w:t>
                  </w:r>
                </w:p>
              </w:tc>
              <w:tc>
                <w:tcPr>
                  <w:tcW w:w="480" w:type="pct"/>
                  <w:vAlign w:val="bottom"/>
                </w:tcPr>
                <w:p w:rsidR="007544CA" w:rsidRPr="00A9616E" w:rsidRDefault="007544CA" w:rsidP="00133508">
                  <w:pPr>
                    <w:pStyle w:val="TableBodyText"/>
                    <w:spacing w:after="20"/>
                    <w:rPr>
                      <w:b/>
                    </w:rPr>
                  </w:pPr>
                  <w:r>
                    <w:rPr>
                      <w:b/>
                    </w:rPr>
                    <w:noBreakHyphen/>
                  </w:r>
                  <w:r w:rsidRPr="00A9616E">
                    <w:rPr>
                      <w:b/>
                    </w:rPr>
                    <w:t>198.5</w:t>
                  </w:r>
                </w:p>
              </w:tc>
              <w:tc>
                <w:tcPr>
                  <w:tcW w:w="480" w:type="pct"/>
                  <w:vAlign w:val="bottom"/>
                </w:tcPr>
                <w:p w:rsidR="007544CA" w:rsidRPr="00A9616E" w:rsidRDefault="007544CA" w:rsidP="00133508">
                  <w:pPr>
                    <w:pStyle w:val="TableBodyText"/>
                    <w:spacing w:after="20"/>
                    <w:rPr>
                      <w:b/>
                    </w:rPr>
                  </w:pPr>
                  <w:r>
                    <w:rPr>
                      <w:b/>
                    </w:rPr>
                    <w:noBreakHyphen/>
                  </w:r>
                  <w:r w:rsidRPr="00A9616E">
                    <w:rPr>
                      <w:b/>
                    </w:rPr>
                    <w:t>215.9</w:t>
                  </w:r>
                </w:p>
              </w:tc>
              <w:tc>
                <w:tcPr>
                  <w:tcW w:w="480" w:type="pct"/>
                  <w:shd w:val="clear" w:color="auto" w:fill="auto"/>
                  <w:vAlign w:val="bottom"/>
                </w:tcPr>
                <w:p w:rsidR="007544CA" w:rsidRPr="00A9616E" w:rsidRDefault="007544CA" w:rsidP="00133508">
                  <w:pPr>
                    <w:pStyle w:val="TableBodyText"/>
                    <w:spacing w:after="20"/>
                    <w:rPr>
                      <w:b/>
                    </w:rPr>
                  </w:pPr>
                  <w:r>
                    <w:rPr>
                      <w:b/>
                    </w:rPr>
                    <w:noBreakHyphen/>
                  </w:r>
                  <w:r w:rsidRPr="00A9616E">
                    <w:rPr>
                      <w:b/>
                    </w:rPr>
                    <w:t>236.5</w:t>
                  </w:r>
                </w:p>
              </w:tc>
              <w:tc>
                <w:tcPr>
                  <w:tcW w:w="480" w:type="pct"/>
                  <w:shd w:val="clear" w:color="auto" w:fill="auto"/>
                  <w:vAlign w:val="bottom"/>
                </w:tcPr>
                <w:p w:rsidR="007544CA" w:rsidRPr="00A9616E" w:rsidRDefault="007544CA" w:rsidP="00133508">
                  <w:pPr>
                    <w:pStyle w:val="TableBodyText"/>
                    <w:spacing w:after="20"/>
                    <w:rPr>
                      <w:b/>
                    </w:rPr>
                  </w:pPr>
                  <w:r>
                    <w:rPr>
                      <w:b/>
                    </w:rPr>
                    <w:noBreakHyphen/>
                  </w:r>
                  <w:r w:rsidRPr="00A9616E">
                    <w:rPr>
                      <w:b/>
                    </w:rPr>
                    <w:t>252.9</w:t>
                  </w:r>
                </w:p>
              </w:tc>
            </w:tr>
            <w:tr w:rsidR="007544CA" w:rsidRPr="00FC101B" w:rsidTr="00133508">
              <w:tc>
                <w:tcPr>
                  <w:tcW w:w="2118" w:type="pct"/>
                  <w:shd w:val="clear" w:color="auto" w:fill="auto"/>
                  <w:vAlign w:val="bottom"/>
                </w:tcPr>
                <w:p w:rsidR="007544CA" w:rsidRPr="00A9616E" w:rsidRDefault="007544CA" w:rsidP="00133508">
                  <w:pPr>
                    <w:pStyle w:val="TableBodyText"/>
                    <w:spacing w:after="20"/>
                    <w:jc w:val="left"/>
                    <w:rPr>
                      <w:b/>
                    </w:rPr>
                  </w:pPr>
                  <w:r w:rsidRPr="00A9616E">
                    <w:rPr>
                      <w:b/>
                    </w:rPr>
                    <w:t>Manufacturing</w:t>
                  </w:r>
                </w:p>
              </w:tc>
              <w:tc>
                <w:tcPr>
                  <w:tcW w:w="480" w:type="pct"/>
                  <w:vAlign w:val="bottom"/>
                </w:tcPr>
                <w:p w:rsidR="007544CA" w:rsidRPr="00A9616E" w:rsidRDefault="007544CA" w:rsidP="00133508">
                  <w:pPr>
                    <w:pStyle w:val="TableBodyText"/>
                    <w:spacing w:after="20"/>
                    <w:rPr>
                      <w:b/>
                    </w:rPr>
                  </w:pPr>
                  <w:r w:rsidRPr="00A9616E">
                    <w:rPr>
                      <w:b/>
                    </w:rPr>
                    <w:t>5956.8</w:t>
                  </w:r>
                </w:p>
              </w:tc>
              <w:tc>
                <w:tcPr>
                  <w:tcW w:w="480" w:type="pct"/>
                  <w:vAlign w:val="bottom"/>
                </w:tcPr>
                <w:p w:rsidR="007544CA" w:rsidRPr="00A9616E" w:rsidRDefault="007544CA" w:rsidP="00133508">
                  <w:pPr>
                    <w:pStyle w:val="TableBodyText"/>
                    <w:spacing w:after="20"/>
                    <w:rPr>
                      <w:b/>
                    </w:rPr>
                  </w:pPr>
                  <w:r w:rsidRPr="00A9616E">
                    <w:rPr>
                      <w:b/>
                    </w:rPr>
                    <w:t>5711.4</w:t>
                  </w:r>
                </w:p>
              </w:tc>
              <w:tc>
                <w:tcPr>
                  <w:tcW w:w="480" w:type="pct"/>
                  <w:vAlign w:val="bottom"/>
                </w:tcPr>
                <w:p w:rsidR="007544CA" w:rsidRPr="00A9616E" w:rsidRDefault="007544CA" w:rsidP="00133508">
                  <w:pPr>
                    <w:pStyle w:val="TableBodyText"/>
                    <w:spacing w:after="20"/>
                    <w:rPr>
                      <w:b/>
                    </w:rPr>
                  </w:pPr>
                  <w:r w:rsidRPr="00A9616E">
                    <w:rPr>
                      <w:b/>
                    </w:rPr>
                    <w:t>5768.5</w:t>
                  </w:r>
                </w:p>
              </w:tc>
              <w:tc>
                <w:tcPr>
                  <w:tcW w:w="480" w:type="pct"/>
                  <w:vAlign w:val="bottom"/>
                </w:tcPr>
                <w:p w:rsidR="007544CA" w:rsidRPr="00A9616E" w:rsidRDefault="007544CA" w:rsidP="00133508">
                  <w:pPr>
                    <w:pStyle w:val="TableBodyText"/>
                    <w:spacing w:after="20"/>
                    <w:rPr>
                      <w:b/>
                    </w:rPr>
                  </w:pPr>
                  <w:r w:rsidRPr="00A9616E">
                    <w:rPr>
                      <w:b/>
                    </w:rPr>
                    <w:t>5518.4</w:t>
                  </w:r>
                </w:p>
              </w:tc>
              <w:tc>
                <w:tcPr>
                  <w:tcW w:w="480" w:type="pct"/>
                  <w:shd w:val="clear" w:color="auto" w:fill="auto"/>
                  <w:vAlign w:val="bottom"/>
                </w:tcPr>
                <w:p w:rsidR="007544CA" w:rsidRPr="00A9616E" w:rsidRDefault="007544CA" w:rsidP="00133508">
                  <w:pPr>
                    <w:pStyle w:val="TableBodyText"/>
                    <w:spacing w:after="20"/>
                    <w:rPr>
                      <w:b/>
                    </w:rPr>
                  </w:pPr>
                  <w:r w:rsidRPr="00A9616E">
                    <w:rPr>
                      <w:b/>
                    </w:rPr>
                    <w:t>5555.3</w:t>
                  </w:r>
                </w:p>
              </w:tc>
              <w:tc>
                <w:tcPr>
                  <w:tcW w:w="480" w:type="pct"/>
                  <w:shd w:val="clear" w:color="auto" w:fill="auto"/>
                  <w:vAlign w:val="bottom"/>
                </w:tcPr>
                <w:p w:rsidR="007544CA" w:rsidRPr="00A9616E" w:rsidRDefault="007544CA" w:rsidP="00133508">
                  <w:pPr>
                    <w:pStyle w:val="TableBodyText"/>
                    <w:spacing w:after="20"/>
                    <w:rPr>
                      <w:b/>
                    </w:rPr>
                  </w:pPr>
                  <w:r w:rsidRPr="00A9616E">
                    <w:rPr>
                      <w:b/>
                    </w:rPr>
                    <w:t>5555.9</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Food, beverages and tobacco</w:t>
                  </w:r>
                </w:p>
              </w:tc>
              <w:tc>
                <w:tcPr>
                  <w:tcW w:w="480" w:type="pct"/>
                  <w:vAlign w:val="bottom"/>
                </w:tcPr>
                <w:p w:rsidR="007544CA" w:rsidRDefault="007544CA" w:rsidP="00133508">
                  <w:pPr>
                    <w:pStyle w:val="TableBodyText"/>
                    <w:spacing w:after="20"/>
                  </w:pPr>
                  <w:r>
                    <w:t>1241.1</w:t>
                  </w:r>
                </w:p>
              </w:tc>
              <w:tc>
                <w:tcPr>
                  <w:tcW w:w="480" w:type="pct"/>
                  <w:vAlign w:val="bottom"/>
                </w:tcPr>
                <w:p w:rsidR="007544CA" w:rsidRDefault="007544CA" w:rsidP="00133508">
                  <w:pPr>
                    <w:pStyle w:val="TableBodyText"/>
                    <w:spacing w:after="20"/>
                  </w:pPr>
                  <w:r>
                    <w:t>1254.9</w:t>
                  </w:r>
                </w:p>
              </w:tc>
              <w:tc>
                <w:tcPr>
                  <w:tcW w:w="480" w:type="pct"/>
                  <w:vAlign w:val="bottom"/>
                </w:tcPr>
                <w:p w:rsidR="007544CA" w:rsidRDefault="007544CA" w:rsidP="00133508">
                  <w:pPr>
                    <w:pStyle w:val="TableBodyText"/>
                    <w:spacing w:after="20"/>
                  </w:pPr>
                  <w:r>
                    <w:t>1290.1</w:t>
                  </w:r>
                </w:p>
              </w:tc>
              <w:tc>
                <w:tcPr>
                  <w:tcW w:w="480" w:type="pct"/>
                  <w:vAlign w:val="bottom"/>
                </w:tcPr>
                <w:p w:rsidR="007544CA" w:rsidRDefault="007544CA" w:rsidP="00133508">
                  <w:pPr>
                    <w:pStyle w:val="TableBodyText"/>
                    <w:spacing w:after="20"/>
                  </w:pPr>
                  <w:r>
                    <w:t>1302.6</w:t>
                  </w:r>
                </w:p>
              </w:tc>
              <w:tc>
                <w:tcPr>
                  <w:tcW w:w="480" w:type="pct"/>
                  <w:shd w:val="clear" w:color="auto" w:fill="auto"/>
                  <w:vAlign w:val="bottom"/>
                </w:tcPr>
                <w:p w:rsidR="007544CA" w:rsidRDefault="007544CA" w:rsidP="00133508">
                  <w:pPr>
                    <w:pStyle w:val="TableBodyText"/>
                    <w:spacing w:after="20"/>
                  </w:pPr>
                  <w:r>
                    <w:t>1322.3</w:t>
                  </w:r>
                </w:p>
              </w:tc>
              <w:tc>
                <w:tcPr>
                  <w:tcW w:w="480" w:type="pct"/>
                  <w:shd w:val="clear" w:color="auto" w:fill="auto"/>
                  <w:vAlign w:val="bottom"/>
                </w:tcPr>
                <w:p w:rsidR="007544CA" w:rsidRDefault="007544CA" w:rsidP="00133508">
                  <w:pPr>
                    <w:pStyle w:val="TableBodyText"/>
                    <w:spacing w:after="20"/>
                  </w:pPr>
                  <w:r>
                    <w:t>1340.0</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Textile</w:t>
                  </w:r>
                  <w:r>
                    <w:t>s</w:t>
                  </w:r>
                  <w:r w:rsidRPr="00AB1D7C">
                    <w:t>, leather, clothing and footwear</w:t>
                  </w:r>
                </w:p>
              </w:tc>
              <w:tc>
                <w:tcPr>
                  <w:tcW w:w="480" w:type="pct"/>
                  <w:vAlign w:val="bottom"/>
                </w:tcPr>
                <w:p w:rsidR="007544CA" w:rsidRDefault="007544CA" w:rsidP="00133508">
                  <w:pPr>
                    <w:pStyle w:val="TableBodyText"/>
                    <w:spacing w:after="20"/>
                  </w:pPr>
                  <w:r>
                    <w:t>369.1</w:t>
                  </w:r>
                </w:p>
              </w:tc>
              <w:tc>
                <w:tcPr>
                  <w:tcW w:w="480" w:type="pct"/>
                  <w:vAlign w:val="bottom"/>
                </w:tcPr>
                <w:p w:rsidR="007544CA" w:rsidRDefault="007544CA" w:rsidP="00133508">
                  <w:pPr>
                    <w:pStyle w:val="TableBodyText"/>
                    <w:spacing w:after="20"/>
                  </w:pPr>
                  <w:r>
                    <w:t>260.1</w:t>
                  </w:r>
                </w:p>
              </w:tc>
              <w:tc>
                <w:tcPr>
                  <w:tcW w:w="480" w:type="pct"/>
                  <w:vAlign w:val="bottom"/>
                </w:tcPr>
                <w:p w:rsidR="007544CA" w:rsidRDefault="007544CA" w:rsidP="00133508">
                  <w:pPr>
                    <w:pStyle w:val="TableBodyText"/>
                    <w:spacing w:after="20"/>
                  </w:pPr>
                  <w:r>
                    <w:t>250.7</w:t>
                  </w:r>
                </w:p>
              </w:tc>
              <w:tc>
                <w:tcPr>
                  <w:tcW w:w="480" w:type="pct"/>
                  <w:vAlign w:val="bottom"/>
                </w:tcPr>
                <w:p w:rsidR="007544CA" w:rsidRDefault="007544CA" w:rsidP="00133508">
                  <w:pPr>
                    <w:pStyle w:val="TableBodyText"/>
                    <w:spacing w:after="20"/>
                  </w:pPr>
                  <w:r>
                    <w:t>245.8</w:t>
                  </w:r>
                </w:p>
              </w:tc>
              <w:tc>
                <w:tcPr>
                  <w:tcW w:w="480" w:type="pct"/>
                  <w:shd w:val="clear" w:color="auto" w:fill="auto"/>
                  <w:vAlign w:val="bottom"/>
                </w:tcPr>
                <w:p w:rsidR="007544CA" w:rsidRDefault="007544CA" w:rsidP="00133508">
                  <w:pPr>
                    <w:pStyle w:val="TableBodyText"/>
                    <w:spacing w:after="20"/>
                  </w:pPr>
                  <w:r>
                    <w:t>257.3</w:t>
                  </w:r>
                </w:p>
              </w:tc>
              <w:tc>
                <w:tcPr>
                  <w:tcW w:w="480" w:type="pct"/>
                  <w:shd w:val="clear" w:color="auto" w:fill="auto"/>
                  <w:vAlign w:val="bottom"/>
                </w:tcPr>
                <w:p w:rsidR="007544CA" w:rsidRDefault="007544CA" w:rsidP="00133508">
                  <w:pPr>
                    <w:pStyle w:val="TableBodyText"/>
                    <w:spacing w:after="20"/>
                  </w:pPr>
                  <w:r>
                    <w:t>219.7</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Wood and paper products</w:t>
                  </w:r>
                </w:p>
              </w:tc>
              <w:tc>
                <w:tcPr>
                  <w:tcW w:w="480" w:type="pct"/>
                  <w:vAlign w:val="bottom"/>
                </w:tcPr>
                <w:p w:rsidR="007544CA" w:rsidRDefault="007544CA" w:rsidP="00133508">
                  <w:pPr>
                    <w:pStyle w:val="TableBodyText"/>
                    <w:spacing w:after="20"/>
                  </w:pPr>
                  <w:r>
                    <w:t>585.7</w:t>
                  </w:r>
                </w:p>
              </w:tc>
              <w:tc>
                <w:tcPr>
                  <w:tcW w:w="480" w:type="pct"/>
                  <w:vAlign w:val="bottom"/>
                </w:tcPr>
                <w:p w:rsidR="007544CA" w:rsidRDefault="007544CA" w:rsidP="00133508">
                  <w:pPr>
                    <w:pStyle w:val="TableBodyText"/>
                    <w:spacing w:after="20"/>
                  </w:pPr>
                  <w:r>
                    <w:t>555.8</w:t>
                  </w:r>
                </w:p>
              </w:tc>
              <w:tc>
                <w:tcPr>
                  <w:tcW w:w="480" w:type="pct"/>
                  <w:vAlign w:val="bottom"/>
                </w:tcPr>
                <w:p w:rsidR="007544CA" w:rsidRDefault="007544CA" w:rsidP="00133508">
                  <w:pPr>
                    <w:pStyle w:val="TableBodyText"/>
                    <w:spacing w:after="20"/>
                  </w:pPr>
                  <w:r>
                    <w:t>511.7</w:t>
                  </w:r>
                </w:p>
              </w:tc>
              <w:tc>
                <w:tcPr>
                  <w:tcW w:w="480" w:type="pct"/>
                  <w:vAlign w:val="bottom"/>
                </w:tcPr>
                <w:p w:rsidR="007544CA" w:rsidRDefault="007544CA" w:rsidP="00133508">
                  <w:pPr>
                    <w:pStyle w:val="TableBodyText"/>
                    <w:spacing w:after="20"/>
                  </w:pPr>
                  <w:r>
                    <w:t>507.5</w:t>
                  </w:r>
                </w:p>
              </w:tc>
              <w:tc>
                <w:tcPr>
                  <w:tcW w:w="480" w:type="pct"/>
                  <w:shd w:val="clear" w:color="auto" w:fill="auto"/>
                  <w:vAlign w:val="bottom"/>
                </w:tcPr>
                <w:p w:rsidR="007544CA" w:rsidRDefault="007544CA" w:rsidP="00133508">
                  <w:pPr>
                    <w:pStyle w:val="TableBodyText"/>
                    <w:spacing w:after="20"/>
                  </w:pPr>
                  <w:r>
                    <w:t>523.8</w:t>
                  </w:r>
                </w:p>
              </w:tc>
              <w:tc>
                <w:tcPr>
                  <w:tcW w:w="480" w:type="pct"/>
                  <w:shd w:val="clear" w:color="auto" w:fill="auto"/>
                  <w:vAlign w:val="bottom"/>
                </w:tcPr>
                <w:p w:rsidR="007544CA" w:rsidRDefault="007544CA" w:rsidP="00133508">
                  <w:pPr>
                    <w:pStyle w:val="TableBodyText"/>
                    <w:spacing w:after="20"/>
                  </w:pPr>
                  <w:r>
                    <w:t>560.7</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Printing and recorded media</w:t>
                  </w:r>
                </w:p>
              </w:tc>
              <w:tc>
                <w:tcPr>
                  <w:tcW w:w="480" w:type="pct"/>
                  <w:vAlign w:val="bottom"/>
                </w:tcPr>
                <w:p w:rsidR="007544CA" w:rsidRDefault="007544CA" w:rsidP="00133508">
                  <w:pPr>
                    <w:pStyle w:val="TableBodyText"/>
                    <w:spacing w:after="20"/>
                  </w:pPr>
                  <w:r>
                    <w:t>191.0</w:t>
                  </w:r>
                </w:p>
              </w:tc>
              <w:tc>
                <w:tcPr>
                  <w:tcW w:w="480" w:type="pct"/>
                  <w:vAlign w:val="bottom"/>
                </w:tcPr>
                <w:p w:rsidR="007544CA" w:rsidRDefault="007544CA" w:rsidP="00133508">
                  <w:pPr>
                    <w:pStyle w:val="TableBodyText"/>
                    <w:spacing w:after="20"/>
                  </w:pPr>
                  <w:r>
                    <w:t>192.8</w:t>
                  </w:r>
                </w:p>
              </w:tc>
              <w:tc>
                <w:tcPr>
                  <w:tcW w:w="480" w:type="pct"/>
                  <w:vAlign w:val="bottom"/>
                </w:tcPr>
                <w:p w:rsidR="007544CA" w:rsidRDefault="007544CA" w:rsidP="00133508">
                  <w:pPr>
                    <w:pStyle w:val="TableBodyText"/>
                    <w:spacing w:after="20"/>
                  </w:pPr>
                  <w:r>
                    <w:t>173.8</w:t>
                  </w:r>
                </w:p>
              </w:tc>
              <w:tc>
                <w:tcPr>
                  <w:tcW w:w="480" w:type="pct"/>
                  <w:vAlign w:val="bottom"/>
                </w:tcPr>
                <w:p w:rsidR="007544CA" w:rsidRDefault="007544CA" w:rsidP="00133508">
                  <w:pPr>
                    <w:pStyle w:val="TableBodyText"/>
                    <w:spacing w:after="20"/>
                  </w:pPr>
                  <w:r>
                    <w:t>170.7</w:t>
                  </w:r>
                </w:p>
              </w:tc>
              <w:tc>
                <w:tcPr>
                  <w:tcW w:w="480" w:type="pct"/>
                  <w:shd w:val="clear" w:color="auto" w:fill="auto"/>
                  <w:vAlign w:val="bottom"/>
                </w:tcPr>
                <w:p w:rsidR="007544CA" w:rsidRDefault="007544CA" w:rsidP="00133508">
                  <w:pPr>
                    <w:pStyle w:val="TableBodyText"/>
                    <w:spacing w:after="20"/>
                  </w:pPr>
                  <w:r>
                    <w:t>163.3</w:t>
                  </w:r>
                </w:p>
              </w:tc>
              <w:tc>
                <w:tcPr>
                  <w:tcW w:w="480" w:type="pct"/>
                  <w:shd w:val="clear" w:color="auto" w:fill="auto"/>
                  <w:vAlign w:val="bottom"/>
                </w:tcPr>
                <w:p w:rsidR="007544CA" w:rsidRDefault="007544CA" w:rsidP="00133508">
                  <w:pPr>
                    <w:pStyle w:val="TableBodyText"/>
                    <w:spacing w:after="20"/>
                  </w:pPr>
                  <w:r>
                    <w:t>157.3</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Petroleum, coal, chemical and rubber</w:t>
                  </w:r>
                </w:p>
              </w:tc>
              <w:tc>
                <w:tcPr>
                  <w:tcW w:w="480" w:type="pct"/>
                  <w:vAlign w:val="bottom"/>
                </w:tcPr>
                <w:p w:rsidR="007544CA" w:rsidRDefault="007544CA" w:rsidP="00133508">
                  <w:pPr>
                    <w:pStyle w:val="TableBodyText"/>
                    <w:spacing w:after="20"/>
                  </w:pPr>
                  <w:r>
                    <w:t>733.5</w:t>
                  </w:r>
                </w:p>
              </w:tc>
              <w:tc>
                <w:tcPr>
                  <w:tcW w:w="480" w:type="pct"/>
                  <w:vAlign w:val="bottom"/>
                </w:tcPr>
                <w:p w:rsidR="007544CA" w:rsidRDefault="007544CA" w:rsidP="00133508">
                  <w:pPr>
                    <w:pStyle w:val="TableBodyText"/>
                    <w:spacing w:after="20"/>
                  </w:pPr>
                  <w:r>
                    <w:t>727.4</w:t>
                  </w:r>
                </w:p>
              </w:tc>
              <w:tc>
                <w:tcPr>
                  <w:tcW w:w="480" w:type="pct"/>
                  <w:vAlign w:val="bottom"/>
                </w:tcPr>
                <w:p w:rsidR="007544CA" w:rsidRDefault="007544CA" w:rsidP="00133508">
                  <w:pPr>
                    <w:pStyle w:val="TableBodyText"/>
                    <w:spacing w:after="20"/>
                  </w:pPr>
                  <w:r>
                    <w:t>743.8</w:t>
                  </w:r>
                </w:p>
              </w:tc>
              <w:tc>
                <w:tcPr>
                  <w:tcW w:w="480" w:type="pct"/>
                  <w:vAlign w:val="bottom"/>
                </w:tcPr>
                <w:p w:rsidR="007544CA" w:rsidRDefault="007544CA" w:rsidP="00133508">
                  <w:pPr>
                    <w:pStyle w:val="TableBodyText"/>
                    <w:spacing w:after="20"/>
                  </w:pPr>
                  <w:r>
                    <w:t>697.2</w:t>
                  </w:r>
                </w:p>
              </w:tc>
              <w:tc>
                <w:tcPr>
                  <w:tcW w:w="480" w:type="pct"/>
                  <w:shd w:val="clear" w:color="auto" w:fill="auto"/>
                  <w:vAlign w:val="bottom"/>
                </w:tcPr>
                <w:p w:rsidR="007544CA" w:rsidRDefault="007544CA" w:rsidP="00133508">
                  <w:pPr>
                    <w:pStyle w:val="TableBodyText"/>
                    <w:spacing w:after="20"/>
                  </w:pPr>
                  <w:r>
                    <w:t>698.7</w:t>
                  </w:r>
                </w:p>
              </w:tc>
              <w:tc>
                <w:tcPr>
                  <w:tcW w:w="480" w:type="pct"/>
                  <w:shd w:val="clear" w:color="auto" w:fill="auto"/>
                  <w:vAlign w:val="bottom"/>
                </w:tcPr>
                <w:p w:rsidR="007544CA" w:rsidRDefault="007544CA" w:rsidP="00133508">
                  <w:pPr>
                    <w:pStyle w:val="TableBodyText"/>
                    <w:spacing w:after="20"/>
                  </w:pPr>
                  <w:r>
                    <w:t>697.2</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Non</w:t>
                  </w:r>
                  <w:r>
                    <w:noBreakHyphen/>
                  </w:r>
                  <w:r w:rsidRPr="00AB1D7C">
                    <w:t>metallic mineral products</w:t>
                  </w:r>
                </w:p>
              </w:tc>
              <w:tc>
                <w:tcPr>
                  <w:tcW w:w="480" w:type="pct"/>
                  <w:vAlign w:val="bottom"/>
                </w:tcPr>
                <w:p w:rsidR="007544CA" w:rsidRDefault="007544CA" w:rsidP="00133508">
                  <w:pPr>
                    <w:pStyle w:val="TableBodyText"/>
                    <w:spacing w:after="20"/>
                  </w:pPr>
                  <w:r>
                    <w:t>231.0</w:t>
                  </w:r>
                </w:p>
              </w:tc>
              <w:tc>
                <w:tcPr>
                  <w:tcW w:w="480" w:type="pct"/>
                  <w:vAlign w:val="bottom"/>
                </w:tcPr>
                <w:p w:rsidR="007544CA" w:rsidRDefault="007544CA" w:rsidP="00133508">
                  <w:pPr>
                    <w:pStyle w:val="TableBodyText"/>
                    <w:spacing w:after="20"/>
                  </w:pPr>
                  <w:r>
                    <w:t>225.2</w:t>
                  </w:r>
                </w:p>
              </w:tc>
              <w:tc>
                <w:tcPr>
                  <w:tcW w:w="480" w:type="pct"/>
                  <w:vAlign w:val="bottom"/>
                </w:tcPr>
                <w:p w:rsidR="007544CA" w:rsidRDefault="007544CA" w:rsidP="00133508">
                  <w:pPr>
                    <w:pStyle w:val="TableBodyText"/>
                    <w:spacing w:after="20"/>
                  </w:pPr>
                  <w:r>
                    <w:t>214.4</w:t>
                  </w:r>
                </w:p>
              </w:tc>
              <w:tc>
                <w:tcPr>
                  <w:tcW w:w="480" w:type="pct"/>
                  <w:vAlign w:val="bottom"/>
                </w:tcPr>
                <w:p w:rsidR="007544CA" w:rsidRDefault="007544CA" w:rsidP="00133508">
                  <w:pPr>
                    <w:pStyle w:val="TableBodyText"/>
                    <w:spacing w:after="20"/>
                  </w:pPr>
                  <w:r>
                    <w:t>203.2</w:t>
                  </w:r>
                </w:p>
              </w:tc>
              <w:tc>
                <w:tcPr>
                  <w:tcW w:w="480" w:type="pct"/>
                  <w:shd w:val="clear" w:color="auto" w:fill="auto"/>
                  <w:vAlign w:val="bottom"/>
                </w:tcPr>
                <w:p w:rsidR="007544CA" w:rsidRDefault="007544CA" w:rsidP="00133508">
                  <w:pPr>
                    <w:pStyle w:val="TableBodyText"/>
                    <w:spacing w:after="20"/>
                  </w:pPr>
                  <w:r>
                    <w:t>208.3</w:t>
                  </w:r>
                </w:p>
              </w:tc>
              <w:tc>
                <w:tcPr>
                  <w:tcW w:w="480" w:type="pct"/>
                  <w:shd w:val="clear" w:color="auto" w:fill="auto"/>
                  <w:vAlign w:val="bottom"/>
                </w:tcPr>
                <w:p w:rsidR="007544CA" w:rsidRDefault="007544CA" w:rsidP="00133508">
                  <w:pPr>
                    <w:pStyle w:val="TableBodyText"/>
                    <w:spacing w:after="20"/>
                  </w:pPr>
                  <w:r>
                    <w:t>229.7</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Metal and fabricated metal products</w:t>
                  </w:r>
                </w:p>
              </w:tc>
              <w:tc>
                <w:tcPr>
                  <w:tcW w:w="480" w:type="pct"/>
                  <w:vAlign w:val="bottom"/>
                </w:tcPr>
                <w:p w:rsidR="007544CA" w:rsidRDefault="007544CA" w:rsidP="00133508">
                  <w:pPr>
                    <w:pStyle w:val="TableBodyText"/>
                    <w:spacing w:after="20"/>
                  </w:pPr>
                  <w:r>
                    <w:t>1327.0</w:t>
                  </w:r>
                </w:p>
              </w:tc>
              <w:tc>
                <w:tcPr>
                  <w:tcW w:w="480" w:type="pct"/>
                  <w:vAlign w:val="bottom"/>
                </w:tcPr>
                <w:p w:rsidR="007544CA" w:rsidRDefault="007544CA" w:rsidP="00133508">
                  <w:pPr>
                    <w:pStyle w:val="TableBodyText"/>
                    <w:spacing w:after="20"/>
                  </w:pPr>
                  <w:r>
                    <w:t>1395.2</w:t>
                  </w:r>
                </w:p>
              </w:tc>
              <w:tc>
                <w:tcPr>
                  <w:tcW w:w="480" w:type="pct"/>
                  <w:vAlign w:val="bottom"/>
                </w:tcPr>
                <w:p w:rsidR="007544CA" w:rsidRDefault="007544CA" w:rsidP="00133508">
                  <w:pPr>
                    <w:pStyle w:val="TableBodyText"/>
                    <w:spacing w:after="20"/>
                  </w:pPr>
                  <w:r>
                    <w:t>1430.8</w:t>
                  </w:r>
                </w:p>
              </w:tc>
              <w:tc>
                <w:tcPr>
                  <w:tcW w:w="480" w:type="pct"/>
                  <w:vAlign w:val="bottom"/>
                </w:tcPr>
                <w:p w:rsidR="007544CA" w:rsidRDefault="007544CA" w:rsidP="00133508">
                  <w:pPr>
                    <w:pStyle w:val="TableBodyText"/>
                    <w:spacing w:after="20"/>
                  </w:pPr>
                  <w:r>
                    <w:t>1297.8</w:t>
                  </w:r>
                </w:p>
              </w:tc>
              <w:tc>
                <w:tcPr>
                  <w:tcW w:w="480" w:type="pct"/>
                  <w:shd w:val="clear" w:color="auto" w:fill="auto"/>
                  <w:vAlign w:val="bottom"/>
                </w:tcPr>
                <w:p w:rsidR="007544CA" w:rsidRDefault="007544CA" w:rsidP="00133508">
                  <w:pPr>
                    <w:pStyle w:val="TableBodyText"/>
                    <w:spacing w:after="20"/>
                  </w:pPr>
                  <w:r>
                    <w:t>1346.2</w:t>
                  </w:r>
                </w:p>
              </w:tc>
              <w:tc>
                <w:tcPr>
                  <w:tcW w:w="480" w:type="pct"/>
                  <w:shd w:val="clear" w:color="auto" w:fill="auto"/>
                  <w:vAlign w:val="bottom"/>
                </w:tcPr>
                <w:p w:rsidR="007544CA" w:rsidRDefault="007544CA" w:rsidP="00133508">
                  <w:pPr>
                    <w:pStyle w:val="TableBodyText"/>
                    <w:spacing w:after="20"/>
                  </w:pPr>
                  <w:r>
                    <w:t>1333.8</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Motor vehicle</w:t>
                  </w:r>
                  <w:r>
                    <w:t>s</w:t>
                  </w:r>
                  <w:r w:rsidRPr="00AB1D7C">
                    <w:t xml:space="preserve"> and parts</w:t>
                  </w:r>
                </w:p>
              </w:tc>
              <w:tc>
                <w:tcPr>
                  <w:tcW w:w="480" w:type="pct"/>
                  <w:vAlign w:val="bottom"/>
                </w:tcPr>
                <w:p w:rsidR="007544CA" w:rsidRDefault="007544CA" w:rsidP="00133508">
                  <w:pPr>
                    <w:pStyle w:val="TableBodyText"/>
                    <w:spacing w:after="20"/>
                  </w:pPr>
                  <w:r>
                    <w:t>672.9</w:t>
                  </w:r>
                </w:p>
              </w:tc>
              <w:tc>
                <w:tcPr>
                  <w:tcW w:w="480" w:type="pct"/>
                  <w:vAlign w:val="bottom"/>
                </w:tcPr>
                <w:p w:rsidR="007544CA" w:rsidRDefault="007544CA" w:rsidP="00133508">
                  <w:pPr>
                    <w:pStyle w:val="TableBodyText"/>
                    <w:spacing w:after="20"/>
                  </w:pPr>
                  <w:r>
                    <w:t>512.5</w:t>
                  </w:r>
                </w:p>
              </w:tc>
              <w:tc>
                <w:tcPr>
                  <w:tcW w:w="480" w:type="pct"/>
                  <w:vAlign w:val="bottom"/>
                </w:tcPr>
                <w:p w:rsidR="007544CA" w:rsidRDefault="007544CA" w:rsidP="00133508">
                  <w:pPr>
                    <w:pStyle w:val="TableBodyText"/>
                    <w:spacing w:after="20"/>
                  </w:pPr>
                  <w:r>
                    <w:t>537.3</w:t>
                  </w:r>
                </w:p>
              </w:tc>
              <w:tc>
                <w:tcPr>
                  <w:tcW w:w="480" w:type="pct"/>
                  <w:vAlign w:val="bottom"/>
                </w:tcPr>
                <w:p w:rsidR="007544CA" w:rsidRDefault="007544CA" w:rsidP="00133508">
                  <w:pPr>
                    <w:pStyle w:val="TableBodyText"/>
                    <w:spacing w:after="20"/>
                  </w:pPr>
                  <w:r>
                    <w:t>509.5</w:t>
                  </w:r>
                </w:p>
              </w:tc>
              <w:tc>
                <w:tcPr>
                  <w:tcW w:w="480" w:type="pct"/>
                  <w:shd w:val="clear" w:color="auto" w:fill="auto"/>
                  <w:vAlign w:val="bottom"/>
                </w:tcPr>
                <w:p w:rsidR="007544CA" w:rsidRDefault="007544CA" w:rsidP="00133508">
                  <w:pPr>
                    <w:pStyle w:val="TableBodyText"/>
                    <w:spacing w:after="20"/>
                  </w:pPr>
                  <w:r>
                    <w:t>482.3</w:t>
                  </w:r>
                </w:p>
              </w:tc>
              <w:tc>
                <w:tcPr>
                  <w:tcW w:w="480" w:type="pct"/>
                  <w:shd w:val="clear" w:color="auto" w:fill="auto"/>
                  <w:vAlign w:val="bottom"/>
                </w:tcPr>
                <w:p w:rsidR="007544CA" w:rsidRDefault="007544CA" w:rsidP="00133508">
                  <w:pPr>
                    <w:pStyle w:val="TableBodyText"/>
                    <w:spacing w:after="20"/>
                  </w:pPr>
                  <w:r>
                    <w:t>473.7</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Other transport equipment</w:t>
                  </w:r>
                </w:p>
              </w:tc>
              <w:tc>
                <w:tcPr>
                  <w:tcW w:w="480" w:type="pct"/>
                  <w:vAlign w:val="bottom"/>
                </w:tcPr>
                <w:p w:rsidR="007544CA" w:rsidRDefault="007544CA" w:rsidP="00133508">
                  <w:pPr>
                    <w:pStyle w:val="TableBodyText"/>
                    <w:spacing w:after="20"/>
                  </w:pPr>
                  <w:r>
                    <w:t>7.1</w:t>
                  </w:r>
                </w:p>
              </w:tc>
              <w:tc>
                <w:tcPr>
                  <w:tcW w:w="480" w:type="pct"/>
                  <w:vAlign w:val="bottom"/>
                </w:tcPr>
                <w:p w:rsidR="007544CA" w:rsidRDefault="007544CA" w:rsidP="00133508">
                  <w:pPr>
                    <w:pStyle w:val="TableBodyText"/>
                    <w:spacing w:after="20"/>
                  </w:pPr>
                  <w:r>
                    <w:t>8.1</w:t>
                  </w:r>
                </w:p>
              </w:tc>
              <w:tc>
                <w:tcPr>
                  <w:tcW w:w="480" w:type="pct"/>
                  <w:vAlign w:val="bottom"/>
                </w:tcPr>
                <w:p w:rsidR="007544CA" w:rsidRDefault="007544CA" w:rsidP="00133508">
                  <w:pPr>
                    <w:pStyle w:val="TableBodyText"/>
                    <w:spacing w:after="20"/>
                  </w:pPr>
                  <w:r>
                    <w:t>8.5</w:t>
                  </w:r>
                </w:p>
              </w:tc>
              <w:tc>
                <w:tcPr>
                  <w:tcW w:w="480" w:type="pct"/>
                  <w:vAlign w:val="bottom"/>
                </w:tcPr>
                <w:p w:rsidR="007544CA" w:rsidRDefault="007544CA" w:rsidP="00133508">
                  <w:pPr>
                    <w:pStyle w:val="TableBodyText"/>
                    <w:spacing w:after="20"/>
                  </w:pPr>
                  <w:r>
                    <w:t>8.1</w:t>
                  </w:r>
                </w:p>
              </w:tc>
              <w:tc>
                <w:tcPr>
                  <w:tcW w:w="480" w:type="pct"/>
                  <w:shd w:val="clear" w:color="auto" w:fill="auto"/>
                  <w:vAlign w:val="bottom"/>
                </w:tcPr>
                <w:p w:rsidR="007544CA" w:rsidRDefault="007544CA" w:rsidP="00133508">
                  <w:pPr>
                    <w:pStyle w:val="TableBodyText"/>
                    <w:spacing w:after="20"/>
                  </w:pPr>
                  <w:r>
                    <w:t>7.6</w:t>
                  </w:r>
                </w:p>
              </w:tc>
              <w:tc>
                <w:tcPr>
                  <w:tcW w:w="480" w:type="pct"/>
                  <w:shd w:val="clear" w:color="auto" w:fill="auto"/>
                  <w:vAlign w:val="bottom"/>
                </w:tcPr>
                <w:p w:rsidR="007544CA" w:rsidRDefault="007544CA" w:rsidP="00133508">
                  <w:pPr>
                    <w:pStyle w:val="TableBodyText"/>
                    <w:spacing w:after="20"/>
                  </w:pPr>
                  <w:r>
                    <w:t>7.7</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Machinery &amp; equipment manufacturing</w:t>
                  </w:r>
                </w:p>
              </w:tc>
              <w:tc>
                <w:tcPr>
                  <w:tcW w:w="480" w:type="pct"/>
                  <w:vAlign w:val="bottom"/>
                </w:tcPr>
                <w:p w:rsidR="007544CA" w:rsidRDefault="007544CA" w:rsidP="00133508">
                  <w:pPr>
                    <w:pStyle w:val="TableBodyText"/>
                    <w:spacing w:after="20"/>
                  </w:pPr>
                  <w:r>
                    <w:t>443.6</w:t>
                  </w:r>
                </w:p>
              </w:tc>
              <w:tc>
                <w:tcPr>
                  <w:tcW w:w="480" w:type="pct"/>
                  <w:vAlign w:val="bottom"/>
                </w:tcPr>
                <w:p w:rsidR="007544CA" w:rsidRDefault="007544CA" w:rsidP="00133508">
                  <w:pPr>
                    <w:pStyle w:val="TableBodyText"/>
                    <w:spacing w:after="20"/>
                  </w:pPr>
                  <w:r>
                    <w:t>425.9</w:t>
                  </w:r>
                </w:p>
              </w:tc>
              <w:tc>
                <w:tcPr>
                  <w:tcW w:w="480" w:type="pct"/>
                  <w:vAlign w:val="bottom"/>
                </w:tcPr>
                <w:p w:rsidR="007544CA" w:rsidRDefault="007544CA" w:rsidP="00133508">
                  <w:pPr>
                    <w:pStyle w:val="TableBodyText"/>
                    <w:spacing w:after="20"/>
                  </w:pPr>
                  <w:r>
                    <w:t>446.5</w:t>
                  </w:r>
                </w:p>
              </w:tc>
              <w:tc>
                <w:tcPr>
                  <w:tcW w:w="480" w:type="pct"/>
                  <w:vAlign w:val="bottom"/>
                </w:tcPr>
                <w:p w:rsidR="007544CA" w:rsidRDefault="007544CA" w:rsidP="00133508">
                  <w:pPr>
                    <w:pStyle w:val="TableBodyText"/>
                    <w:spacing w:after="20"/>
                  </w:pPr>
                  <w:r>
                    <w:t>423.4</w:t>
                  </w:r>
                </w:p>
              </w:tc>
              <w:tc>
                <w:tcPr>
                  <w:tcW w:w="480" w:type="pct"/>
                  <w:shd w:val="clear" w:color="auto" w:fill="auto"/>
                  <w:vAlign w:val="bottom"/>
                </w:tcPr>
                <w:p w:rsidR="007544CA" w:rsidRDefault="007544CA" w:rsidP="00133508">
                  <w:pPr>
                    <w:pStyle w:val="TableBodyText"/>
                    <w:spacing w:after="20"/>
                  </w:pPr>
                  <w:r>
                    <w:t>400.8</w:t>
                  </w:r>
                </w:p>
              </w:tc>
              <w:tc>
                <w:tcPr>
                  <w:tcW w:w="480" w:type="pct"/>
                  <w:shd w:val="clear" w:color="auto" w:fill="auto"/>
                  <w:vAlign w:val="bottom"/>
                </w:tcPr>
                <w:p w:rsidR="007544CA" w:rsidRDefault="007544CA" w:rsidP="00133508">
                  <w:pPr>
                    <w:pStyle w:val="TableBodyText"/>
                    <w:spacing w:after="20"/>
                  </w:pPr>
                  <w:r>
                    <w:t>393.8</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Furniture and other manufacturing</w:t>
                  </w:r>
                </w:p>
              </w:tc>
              <w:tc>
                <w:tcPr>
                  <w:tcW w:w="480" w:type="pct"/>
                  <w:vAlign w:val="bottom"/>
                </w:tcPr>
                <w:p w:rsidR="007544CA" w:rsidRDefault="007544CA" w:rsidP="00133508">
                  <w:pPr>
                    <w:pStyle w:val="TableBodyText"/>
                    <w:spacing w:after="20"/>
                  </w:pPr>
                  <w:r>
                    <w:t>154.9</w:t>
                  </w:r>
                </w:p>
              </w:tc>
              <w:tc>
                <w:tcPr>
                  <w:tcW w:w="480" w:type="pct"/>
                  <w:vAlign w:val="bottom"/>
                </w:tcPr>
                <w:p w:rsidR="007544CA" w:rsidRDefault="007544CA" w:rsidP="00133508">
                  <w:pPr>
                    <w:pStyle w:val="TableBodyText"/>
                    <w:spacing w:after="20"/>
                  </w:pPr>
                  <w:r>
                    <w:t>153.5</w:t>
                  </w:r>
                </w:p>
              </w:tc>
              <w:tc>
                <w:tcPr>
                  <w:tcW w:w="480" w:type="pct"/>
                  <w:vAlign w:val="bottom"/>
                </w:tcPr>
                <w:p w:rsidR="007544CA" w:rsidRDefault="007544CA" w:rsidP="00133508">
                  <w:pPr>
                    <w:pStyle w:val="TableBodyText"/>
                    <w:spacing w:after="20"/>
                  </w:pPr>
                  <w:r>
                    <w:t>161.0</w:t>
                  </w:r>
                </w:p>
              </w:tc>
              <w:tc>
                <w:tcPr>
                  <w:tcW w:w="480" w:type="pct"/>
                  <w:vAlign w:val="bottom"/>
                </w:tcPr>
                <w:p w:rsidR="007544CA" w:rsidRDefault="007544CA" w:rsidP="00133508">
                  <w:pPr>
                    <w:pStyle w:val="TableBodyText"/>
                    <w:spacing w:after="20"/>
                  </w:pPr>
                  <w:r>
                    <w:t>152.6</w:t>
                  </w:r>
                </w:p>
              </w:tc>
              <w:tc>
                <w:tcPr>
                  <w:tcW w:w="480" w:type="pct"/>
                  <w:shd w:val="clear" w:color="auto" w:fill="auto"/>
                  <w:vAlign w:val="bottom"/>
                </w:tcPr>
                <w:p w:rsidR="007544CA" w:rsidRDefault="007544CA" w:rsidP="00133508">
                  <w:pPr>
                    <w:pStyle w:val="TableBodyText"/>
                    <w:spacing w:after="20"/>
                  </w:pPr>
                  <w:r>
                    <w:t>144.5</w:t>
                  </w:r>
                </w:p>
              </w:tc>
              <w:tc>
                <w:tcPr>
                  <w:tcW w:w="480" w:type="pct"/>
                  <w:shd w:val="clear" w:color="auto" w:fill="auto"/>
                  <w:vAlign w:val="bottom"/>
                </w:tcPr>
                <w:p w:rsidR="007544CA" w:rsidRDefault="007544CA" w:rsidP="00133508">
                  <w:pPr>
                    <w:pStyle w:val="TableBodyText"/>
                    <w:spacing w:after="20"/>
                  </w:pPr>
                  <w:r>
                    <w:t>142.3</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Unallocated manufacturing</w:t>
                  </w:r>
                  <w:r w:rsidRPr="00C74A79">
                    <w:rPr>
                      <w:rStyle w:val="NoteLabel"/>
                    </w:rPr>
                    <w:t>b</w:t>
                  </w:r>
                </w:p>
              </w:tc>
              <w:tc>
                <w:tcPr>
                  <w:tcW w:w="480" w:type="pct"/>
                  <w:vAlign w:val="bottom"/>
                </w:tcPr>
                <w:p w:rsidR="007544CA" w:rsidRPr="00FC101B" w:rsidRDefault="007544CA" w:rsidP="00133508">
                  <w:pPr>
                    <w:pStyle w:val="TableBodyText"/>
                    <w:spacing w:after="20"/>
                  </w:pPr>
                  <w:r w:rsidRPr="00FC101B">
                    <w:t xml:space="preserve">– </w:t>
                  </w:r>
                </w:p>
              </w:tc>
              <w:tc>
                <w:tcPr>
                  <w:tcW w:w="480" w:type="pct"/>
                  <w:vAlign w:val="bottom"/>
                </w:tcPr>
                <w:p w:rsidR="007544CA" w:rsidRPr="00FC101B" w:rsidRDefault="007544CA" w:rsidP="00133508">
                  <w:pPr>
                    <w:pStyle w:val="TableBodyText"/>
                    <w:spacing w:after="20"/>
                  </w:pPr>
                  <w:r w:rsidRPr="00FC101B">
                    <w:t xml:space="preserve">– </w:t>
                  </w:r>
                </w:p>
              </w:tc>
              <w:tc>
                <w:tcPr>
                  <w:tcW w:w="480" w:type="pct"/>
                  <w:vAlign w:val="bottom"/>
                </w:tcPr>
                <w:p w:rsidR="007544CA" w:rsidRPr="00FC101B" w:rsidRDefault="007544CA" w:rsidP="00133508">
                  <w:pPr>
                    <w:pStyle w:val="TableBodyText"/>
                    <w:spacing w:after="20"/>
                  </w:pPr>
                  <w:r w:rsidRPr="00FC101B">
                    <w:t xml:space="preserve">– </w:t>
                  </w:r>
                </w:p>
              </w:tc>
              <w:tc>
                <w:tcPr>
                  <w:tcW w:w="480" w:type="pct"/>
                  <w:vAlign w:val="bottom"/>
                </w:tcPr>
                <w:p w:rsidR="007544CA" w:rsidRPr="00FC101B" w:rsidRDefault="007544CA" w:rsidP="00133508">
                  <w:pPr>
                    <w:pStyle w:val="TableBodyText"/>
                    <w:spacing w:after="20"/>
                  </w:pPr>
                  <w:r w:rsidRPr="00FC101B">
                    <w:t xml:space="preserve">– </w:t>
                  </w:r>
                </w:p>
              </w:tc>
              <w:tc>
                <w:tcPr>
                  <w:tcW w:w="480" w:type="pct"/>
                  <w:shd w:val="clear" w:color="auto" w:fill="auto"/>
                  <w:vAlign w:val="bottom"/>
                </w:tcPr>
                <w:p w:rsidR="007544CA" w:rsidRPr="00FC101B" w:rsidRDefault="007544CA" w:rsidP="00133508">
                  <w:pPr>
                    <w:pStyle w:val="TableBodyText"/>
                    <w:spacing w:after="20"/>
                  </w:pPr>
                  <w:r w:rsidRPr="00FC101B">
                    <w:t xml:space="preserve">– </w:t>
                  </w:r>
                </w:p>
              </w:tc>
              <w:tc>
                <w:tcPr>
                  <w:tcW w:w="480" w:type="pct"/>
                  <w:shd w:val="clear" w:color="auto" w:fill="auto"/>
                  <w:vAlign w:val="bottom"/>
                </w:tcPr>
                <w:p w:rsidR="007544CA" w:rsidRPr="00FC101B" w:rsidRDefault="007544CA" w:rsidP="00133508">
                  <w:pPr>
                    <w:pStyle w:val="TableBodyText"/>
                    <w:spacing w:after="20"/>
                  </w:pPr>
                  <w:r w:rsidRPr="00FC101B">
                    <w:t xml:space="preserve">– </w:t>
                  </w:r>
                </w:p>
              </w:tc>
            </w:tr>
            <w:tr w:rsidR="007544CA" w:rsidRPr="00FC101B" w:rsidTr="00133508">
              <w:tc>
                <w:tcPr>
                  <w:tcW w:w="2118" w:type="pct"/>
                  <w:shd w:val="clear" w:color="auto" w:fill="auto"/>
                  <w:vAlign w:val="bottom"/>
                </w:tcPr>
                <w:p w:rsidR="007544CA" w:rsidRPr="00A9616E" w:rsidRDefault="007544CA" w:rsidP="00133508">
                  <w:pPr>
                    <w:pStyle w:val="TableBodyText"/>
                    <w:spacing w:after="20"/>
                    <w:jc w:val="left"/>
                    <w:rPr>
                      <w:b/>
                    </w:rPr>
                  </w:pPr>
                  <w:r w:rsidRPr="00A9616E">
                    <w:rPr>
                      <w:b/>
                    </w:rPr>
                    <w:t>Services</w:t>
                  </w:r>
                </w:p>
              </w:tc>
              <w:tc>
                <w:tcPr>
                  <w:tcW w:w="480" w:type="pct"/>
                  <w:vAlign w:val="bottom"/>
                </w:tcPr>
                <w:p w:rsidR="007544CA" w:rsidRPr="00A9616E" w:rsidRDefault="007544CA" w:rsidP="00133508">
                  <w:pPr>
                    <w:pStyle w:val="TableBodyText"/>
                    <w:spacing w:after="20"/>
                    <w:rPr>
                      <w:b/>
                    </w:rPr>
                  </w:pPr>
                  <w:r>
                    <w:rPr>
                      <w:b/>
                    </w:rPr>
                    <w:noBreakHyphen/>
                  </w:r>
                  <w:r w:rsidRPr="00A9616E">
                    <w:rPr>
                      <w:b/>
                    </w:rPr>
                    <w:t>4195.2</w:t>
                  </w:r>
                </w:p>
              </w:tc>
              <w:tc>
                <w:tcPr>
                  <w:tcW w:w="480" w:type="pct"/>
                  <w:vAlign w:val="bottom"/>
                </w:tcPr>
                <w:p w:rsidR="007544CA" w:rsidRPr="00A9616E" w:rsidRDefault="007544CA" w:rsidP="00133508">
                  <w:pPr>
                    <w:pStyle w:val="TableBodyText"/>
                    <w:spacing w:after="20"/>
                    <w:rPr>
                      <w:b/>
                    </w:rPr>
                  </w:pPr>
                  <w:r>
                    <w:rPr>
                      <w:b/>
                    </w:rPr>
                    <w:noBreakHyphen/>
                  </w:r>
                  <w:r w:rsidRPr="00A9616E">
                    <w:rPr>
                      <w:b/>
                    </w:rPr>
                    <w:t>4277.7</w:t>
                  </w:r>
                </w:p>
              </w:tc>
              <w:tc>
                <w:tcPr>
                  <w:tcW w:w="480" w:type="pct"/>
                  <w:vAlign w:val="bottom"/>
                </w:tcPr>
                <w:p w:rsidR="007544CA" w:rsidRPr="00A9616E" w:rsidRDefault="007544CA" w:rsidP="00133508">
                  <w:pPr>
                    <w:pStyle w:val="TableBodyText"/>
                    <w:spacing w:after="20"/>
                    <w:rPr>
                      <w:b/>
                    </w:rPr>
                  </w:pPr>
                  <w:r>
                    <w:rPr>
                      <w:b/>
                    </w:rPr>
                    <w:noBreakHyphen/>
                  </w:r>
                  <w:r w:rsidRPr="00A9616E">
                    <w:rPr>
                      <w:b/>
                    </w:rPr>
                    <w:t>4632.5</w:t>
                  </w:r>
                </w:p>
              </w:tc>
              <w:tc>
                <w:tcPr>
                  <w:tcW w:w="480" w:type="pct"/>
                  <w:vAlign w:val="bottom"/>
                </w:tcPr>
                <w:p w:rsidR="007544CA" w:rsidRPr="00A9616E" w:rsidRDefault="007544CA" w:rsidP="00133508">
                  <w:pPr>
                    <w:pStyle w:val="TableBodyText"/>
                    <w:spacing w:after="20"/>
                    <w:rPr>
                      <w:b/>
                    </w:rPr>
                  </w:pPr>
                  <w:r>
                    <w:rPr>
                      <w:b/>
                    </w:rPr>
                    <w:noBreakHyphen/>
                  </w:r>
                  <w:r w:rsidRPr="00A9616E">
                    <w:rPr>
                      <w:b/>
                    </w:rPr>
                    <w:t>4798.5</w:t>
                  </w:r>
                </w:p>
              </w:tc>
              <w:tc>
                <w:tcPr>
                  <w:tcW w:w="480" w:type="pct"/>
                  <w:shd w:val="clear" w:color="auto" w:fill="auto"/>
                  <w:vAlign w:val="bottom"/>
                </w:tcPr>
                <w:p w:rsidR="007544CA" w:rsidRPr="00A9616E" w:rsidRDefault="007544CA" w:rsidP="00133508">
                  <w:pPr>
                    <w:pStyle w:val="TableBodyText"/>
                    <w:spacing w:after="20"/>
                    <w:rPr>
                      <w:b/>
                    </w:rPr>
                  </w:pPr>
                  <w:r>
                    <w:rPr>
                      <w:b/>
                    </w:rPr>
                    <w:noBreakHyphen/>
                  </w:r>
                  <w:r w:rsidRPr="00A9616E">
                    <w:rPr>
                      <w:b/>
                    </w:rPr>
                    <w:t>4941.4</w:t>
                  </w:r>
                </w:p>
              </w:tc>
              <w:tc>
                <w:tcPr>
                  <w:tcW w:w="480" w:type="pct"/>
                  <w:shd w:val="clear" w:color="auto" w:fill="auto"/>
                  <w:vAlign w:val="bottom"/>
                </w:tcPr>
                <w:p w:rsidR="007544CA" w:rsidRPr="00A9616E" w:rsidRDefault="007544CA" w:rsidP="00133508">
                  <w:pPr>
                    <w:pStyle w:val="TableBodyText"/>
                    <w:spacing w:after="20"/>
                    <w:rPr>
                      <w:b/>
                    </w:rPr>
                  </w:pPr>
                  <w:r>
                    <w:rPr>
                      <w:b/>
                    </w:rPr>
                    <w:noBreakHyphen/>
                  </w:r>
                  <w:r w:rsidRPr="00A9616E">
                    <w:rPr>
                      <w:b/>
                    </w:rPr>
                    <w:t>5125.0</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Electricity, gas, water &amp; waste services</w:t>
                  </w:r>
                </w:p>
              </w:tc>
              <w:tc>
                <w:tcPr>
                  <w:tcW w:w="480" w:type="pct"/>
                  <w:vAlign w:val="bottom"/>
                </w:tcPr>
                <w:p w:rsidR="007544CA" w:rsidRDefault="007544CA" w:rsidP="00133508">
                  <w:pPr>
                    <w:pStyle w:val="TableBodyText"/>
                    <w:spacing w:after="20"/>
                  </w:pPr>
                  <w:r>
                    <w:noBreakHyphen/>
                    <w:t>71.2</w:t>
                  </w:r>
                </w:p>
              </w:tc>
              <w:tc>
                <w:tcPr>
                  <w:tcW w:w="480" w:type="pct"/>
                  <w:vAlign w:val="bottom"/>
                </w:tcPr>
                <w:p w:rsidR="007544CA" w:rsidRDefault="007544CA" w:rsidP="00133508">
                  <w:pPr>
                    <w:pStyle w:val="TableBodyText"/>
                    <w:spacing w:after="20"/>
                  </w:pPr>
                  <w:r>
                    <w:noBreakHyphen/>
                    <w:t>73.9</w:t>
                  </w:r>
                </w:p>
              </w:tc>
              <w:tc>
                <w:tcPr>
                  <w:tcW w:w="480" w:type="pct"/>
                  <w:vAlign w:val="bottom"/>
                </w:tcPr>
                <w:p w:rsidR="007544CA" w:rsidRDefault="007544CA" w:rsidP="00133508">
                  <w:pPr>
                    <w:pStyle w:val="TableBodyText"/>
                    <w:spacing w:after="20"/>
                  </w:pPr>
                  <w:r>
                    <w:noBreakHyphen/>
                    <w:t>83.7</w:t>
                  </w:r>
                </w:p>
              </w:tc>
              <w:tc>
                <w:tcPr>
                  <w:tcW w:w="480" w:type="pct"/>
                  <w:vAlign w:val="bottom"/>
                </w:tcPr>
                <w:p w:rsidR="007544CA" w:rsidRDefault="007544CA" w:rsidP="00133508">
                  <w:pPr>
                    <w:pStyle w:val="TableBodyText"/>
                    <w:spacing w:after="20"/>
                  </w:pPr>
                  <w:r>
                    <w:noBreakHyphen/>
                    <w:t>95.1</w:t>
                  </w:r>
                </w:p>
              </w:tc>
              <w:tc>
                <w:tcPr>
                  <w:tcW w:w="480" w:type="pct"/>
                  <w:shd w:val="clear" w:color="auto" w:fill="auto"/>
                  <w:vAlign w:val="bottom"/>
                </w:tcPr>
                <w:p w:rsidR="007544CA" w:rsidRDefault="007544CA" w:rsidP="00133508">
                  <w:pPr>
                    <w:pStyle w:val="TableBodyText"/>
                    <w:spacing w:after="20"/>
                  </w:pPr>
                  <w:r>
                    <w:noBreakHyphen/>
                    <w:t>94.1</w:t>
                  </w:r>
                </w:p>
              </w:tc>
              <w:tc>
                <w:tcPr>
                  <w:tcW w:w="480" w:type="pct"/>
                  <w:shd w:val="clear" w:color="auto" w:fill="auto"/>
                  <w:vAlign w:val="bottom"/>
                </w:tcPr>
                <w:p w:rsidR="007544CA" w:rsidRDefault="007544CA" w:rsidP="00133508">
                  <w:pPr>
                    <w:pStyle w:val="TableBodyText"/>
                    <w:spacing w:after="20"/>
                  </w:pPr>
                  <w:r>
                    <w:noBreakHyphen/>
                    <w:t>85.1</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Construction</w:t>
                  </w:r>
                </w:p>
              </w:tc>
              <w:tc>
                <w:tcPr>
                  <w:tcW w:w="480" w:type="pct"/>
                  <w:vAlign w:val="bottom"/>
                </w:tcPr>
                <w:p w:rsidR="007544CA" w:rsidRDefault="007544CA" w:rsidP="00133508">
                  <w:pPr>
                    <w:pStyle w:val="TableBodyText"/>
                    <w:spacing w:after="20"/>
                  </w:pPr>
                  <w:r>
                    <w:noBreakHyphen/>
                    <w:t>1429.6</w:t>
                  </w:r>
                </w:p>
              </w:tc>
              <w:tc>
                <w:tcPr>
                  <w:tcW w:w="480" w:type="pct"/>
                  <w:vAlign w:val="bottom"/>
                </w:tcPr>
                <w:p w:rsidR="007544CA" w:rsidRDefault="007544CA" w:rsidP="00133508">
                  <w:pPr>
                    <w:pStyle w:val="TableBodyText"/>
                    <w:spacing w:after="20"/>
                  </w:pPr>
                  <w:r>
                    <w:noBreakHyphen/>
                    <w:t>1509.8</w:t>
                  </w:r>
                </w:p>
              </w:tc>
              <w:tc>
                <w:tcPr>
                  <w:tcW w:w="480" w:type="pct"/>
                  <w:vAlign w:val="bottom"/>
                </w:tcPr>
                <w:p w:rsidR="007544CA" w:rsidRDefault="007544CA" w:rsidP="00133508">
                  <w:pPr>
                    <w:pStyle w:val="TableBodyText"/>
                    <w:spacing w:after="20"/>
                  </w:pPr>
                  <w:r>
                    <w:noBreakHyphen/>
                    <w:t>1662.8</w:t>
                  </w:r>
                </w:p>
              </w:tc>
              <w:tc>
                <w:tcPr>
                  <w:tcW w:w="480" w:type="pct"/>
                  <w:vAlign w:val="bottom"/>
                </w:tcPr>
                <w:p w:rsidR="007544CA" w:rsidRDefault="007544CA" w:rsidP="00133508">
                  <w:pPr>
                    <w:pStyle w:val="TableBodyText"/>
                    <w:spacing w:after="20"/>
                  </w:pPr>
                  <w:r>
                    <w:noBreakHyphen/>
                    <w:t>1730.0</w:t>
                  </w:r>
                </w:p>
              </w:tc>
              <w:tc>
                <w:tcPr>
                  <w:tcW w:w="480" w:type="pct"/>
                  <w:shd w:val="clear" w:color="auto" w:fill="auto"/>
                  <w:vAlign w:val="bottom"/>
                </w:tcPr>
                <w:p w:rsidR="007544CA" w:rsidRDefault="007544CA" w:rsidP="00133508">
                  <w:pPr>
                    <w:pStyle w:val="TableBodyText"/>
                    <w:spacing w:after="20"/>
                  </w:pPr>
                  <w:r>
                    <w:noBreakHyphen/>
                    <w:t>1810.5</w:t>
                  </w:r>
                </w:p>
              </w:tc>
              <w:tc>
                <w:tcPr>
                  <w:tcW w:w="480" w:type="pct"/>
                  <w:shd w:val="clear" w:color="auto" w:fill="auto"/>
                  <w:vAlign w:val="bottom"/>
                </w:tcPr>
                <w:p w:rsidR="007544CA" w:rsidRDefault="007544CA" w:rsidP="00133508">
                  <w:pPr>
                    <w:pStyle w:val="TableBodyText"/>
                    <w:spacing w:after="20"/>
                  </w:pPr>
                  <w:r>
                    <w:noBreakHyphen/>
                    <w:t>1912.9</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Wholesale trade</w:t>
                  </w:r>
                </w:p>
              </w:tc>
              <w:tc>
                <w:tcPr>
                  <w:tcW w:w="480" w:type="pct"/>
                  <w:vAlign w:val="bottom"/>
                </w:tcPr>
                <w:p w:rsidR="007544CA" w:rsidRDefault="007544CA" w:rsidP="00133508">
                  <w:pPr>
                    <w:pStyle w:val="TableBodyText"/>
                    <w:spacing w:after="20"/>
                  </w:pPr>
                  <w:r>
                    <w:noBreakHyphen/>
                    <w:t>248.3</w:t>
                  </w:r>
                </w:p>
              </w:tc>
              <w:tc>
                <w:tcPr>
                  <w:tcW w:w="480" w:type="pct"/>
                  <w:vAlign w:val="bottom"/>
                </w:tcPr>
                <w:p w:rsidR="007544CA" w:rsidRDefault="007544CA" w:rsidP="00133508">
                  <w:pPr>
                    <w:pStyle w:val="TableBodyText"/>
                    <w:spacing w:after="20"/>
                  </w:pPr>
                  <w:r>
                    <w:noBreakHyphen/>
                    <w:t>250.7</w:t>
                  </w:r>
                </w:p>
              </w:tc>
              <w:tc>
                <w:tcPr>
                  <w:tcW w:w="480" w:type="pct"/>
                  <w:vAlign w:val="bottom"/>
                </w:tcPr>
                <w:p w:rsidR="007544CA" w:rsidRDefault="007544CA" w:rsidP="00133508">
                  <w:pPr>
                    <w:pStyle w:val="TableBodyText"/>
                    <w:spacing w:after="20"/>
                  </w:pPr>
                  <w:r>
                    <w:noBreakHyphen/>
                    <w:t>264.1</w:t>
                  </w:r>
                </w:p>
              </w:tc>
              <w:tc>
                <w:tcPr>
                  <w:tcW w:w="480" w:type="pct"/>
                  <w:vAlign w:val="bottom"/>
                </w:tcPr>
                <w:p w:rsidR="007544CA" w:rsidRDefault="007544CA" w:rsidP="00133508">
                  <w:pPr>
                    <w:pStyle w:val="TableBodyText"/>
                    <w:spacing w:after="20"/>
                  </w:pPr>
                  <w:r>
                    <w:noBreakHyphen/>
                    <w:t>269.3</w:t>
                  </w:r>
                </w:p>
              </w:tc>
              <w:tc>
                <w:tcPr>
                  <w:tcW w:w="480" w:type="pct"/>
                  <w:shd w:val="clear" w:color="auto" w:fill="auto"/>
                  <w:vAlign w:val="bottom"/>
                </w:tcPr>
                <w:p w:rsidR="007544CA" w:rsidRDefault="007544CA" w:rsidP="00133508">
                  <w:pPr>
                    <w:pStyle w:val="TableBodyText"/>
                    <w:spacing w:after="20"/>
                  </w:pPr>
                  <w:r>
                    <w:noBreakHyphen/>
                    <w:t>269.3</w:t>
                  </w:r>
                </w:p>
              </w:tc>
              <w:tc>
                <w:tcPr>
                  <w:tcW w:w="480" w:type="pct"/>
                  <w:shd w:val="clear" w:color="auto" w:fill="auto"/>
                  <w:vAlign w:val="bottom"/>
                </w:tcPr>
                <w:p w:rsidR="007544CA" w:rsidRDefault="007544CA" w:rsidP="00133508">
                  <w:pPr>
                    <w:pStyle w:val="TableBodyText"/>
                    <w:spacing w:after="20"/>
                  </w:pPr>
                  <w:r>
                    <w:noBreakHyphen/>
                    <w:t>270.7</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Retail trade</w:t>
                  </w:r>
                </w:p>
              </w:tc>
              <w:tc>
                <w:tcPr>
                  <w:tcW w:w="480" w:type="pct"/>
                  <w:vAlign w:val="bottom"/>
                </w:tcPr>
                <w:p w:rsidR="007544CA" w:rsidRDefault="007544CA" w:rsidP="00133508">
                  <w:pPr>
                    <w:pStyle w:val="TableBodyText"/>
                    <w:spacing w:after="20"/>
                  </w:pPr>
                  <w:r>
                    <w:noBreakHyphen/>
                    <w:t>165.6</w:t>
                  </w:r>
                </w:p>
              </w:tc>
              <w:tc>
                <w:tcPr>
                  <w:tcW w:w="480" w:type="pct"/>
                  <w:vAlign w:val="bottom"/>
                </w:tcPr>
                <w:p w:rsidR="007544CA" w:rsidRDefault="007544CA" w:rsidP="00133508">
                  <w:pPr>
                    <w:pStyle w:val="TableBodyText"/>
                    <w:spacing w:after="20"/>
                  </w:pPr>
                  <w:r>
                    <w:noBreakHyphen/>
                    <w:t>169.8</w:t>
                  </w:r>
                </w:p>
              </w:tc>
              <w:tc>
                <w:tcPr>
                  <w:tcW w:w="480" w:type="pct"/>
                  <w:vAlign w:val="bottom"/>
                </w:tcPr>
                <w:p w:rsidR="007544CA" w:rsidRDefault="007544CA" w:rsidP="00133508">
                  <w:pPr>
                    <w:pStyle w:val="TableBodyText"/>
                    <w:spacing w:after="20"/>
                  </w:pPr>
                  <w:r>
                    <w:noBreakHyphen/>
                    <w:t>182.1</w:t>
                  </w:r>
                </w:p>
              </w:tc>
              <w:tc>
                <w:tcPr>
                  <w:tcW w:w="480" w:type="pct"/>
                  <w:vAlign w:val="bottom"/>
                </w:tcPr>
                <w:p w:rsidR="007544CA" w:rsidRDefault="007544CA" w:rsidP="00133508">
                  <w:pPr>
                    <w:pStyle w:val="TableBodyText"/>
                    <w:spacing w:after="20"/>
                  </w:pPr>
                  <w:r>
                    <w:noBreakHyphen/>
                    <w:t>185.8</w:t>
                  </w:r>
                </w:p>
              </w:tc>
              <w:tc>
                <w:tcPr>
                  <w:tcW w:w="480" w:type="pct"/>
                  <w:shd w:val="clear" w:color="auto" w:fill="auto"/>
                  <w:vAlign w:val="bottom"/>
                </w:tcPr>
                <w:p w:rsidR="007544CA" w:rsidRDefault="007544CA" w:rsidP="00133508">
                  <w:pPr>
                    <w:pStyle w:val="TableBodyText"/>
                    <w:spacing w:after="20"/>
                  </w:pPr>
                  <w:r>
                    <w:noBreakHyphen/>
                    <w:t>190.2</w:t>
                  </w:r>
                </w:p>
              </w:tc>
              <w:tc>
                <w:tcPr>
                  <w:tcW w:w="480" w:type="pct"/>
                  <w:shd w:val="clear" w:color="auto" w:fill="auto"/>
                  <w:vAlign w:val="bottom"/>
                </w:tcPr>
                <w:p w:rsidR="007544CA" w:rsidRDefault="007544CA" w:rsidP="00133508">
                  <w:pPr>
                    <w:pStyle w:val="TableBodyText"/>
                    <w:spacing w:after="20"/>
                  </w:pPr>
                  <w:r>
                    <w:noBreakHyphen/>
                    <w:t>193.7</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Accommodation &amp; food services</w:t>
                  </w:r>
                </w:p>
              </w:tc>
              <w:tc>
                <w:tcPr>
                  <w:tcW w:w="480" w:type="pct"/>
                  <w:vAlign w:val="bottom"/>
                </w:tcPr>
                <w:p w:rsidR="007544CA" w:rsidRDefault="007544CA" w:rsidP="00133508">
                  <w:pPr>
                    <w:pStyle w:val="TableBodyText"/>
                    <w:spacing w:after="20"/>
                  </w:pPr>
                  <w:r>
                    <w:noBreakHyphen/>
                    <w:t>469.5</w:t>
                  </w:r>
                </w:p>
              </w:tc>
              <w:tc>
                <w:tcPr>
                  <w:tcW w:w="480" w:type="pct"/>
                  <w:vAlign w:val="bottom"/>
                </w:tcPr>
                <w:p w:rsidR="007544CA" w:rsidRDefault="007544CA" w:rsidP="00133508">
                  <w:pPr>
                    <w:pStyle w:val="TableBodyText"/>
                    <w:spacing w:after="20"/>
                  </w:pPr>
                  <w:r>
                    <w:noBreakHyphen/>
                    <w:t>493.6</w:t>
                  </w:r>
                </w:p>
              </w:tc>
              <w:tc>
                <w:tcPr>
                  <w:tcW w:w="480" w:type="pct"/>
                  <w:vAlign w:val="bottom"/>
                </w:tcPr>
                <w:p w:rsidR="007544CA" w:rsidRDefault="007544CA" w:rsidP="00133508">
                  <w:pPr>
                    <w:pStyle w:val="TableBodyText"/>
                    <w:spacing w:after="20"/>
                  </w:pPr>
                  <w:r>
                    <w:noBreakHyphen/>
                    <w:t>527.3</w:t>
                  </w:r>
                </w:p>
              </w:tc>
              <w:tc>
                <w:tcPr>
                  <w:tcW w:w="480" w:type="pct"/>
                  <w:vAlign w:val="bottom"/>
                </w:tcPr>
                <w:p w:rsidR="007544CA" w:rsidRDefault="007544CA" w:rsidP="00133508">
                  <w:pPr>
                    <w:pStyle w:val="TableBodyText"/>
                    <w:spacing w:after="20"/>
                  </w:pPr>
                  <w:r>
                    <w:noBreakHyphen/>
                    <w:t>543.3</w:t>
                  </w:r>
                </w:p>
              </w:tc>
              <w:tc>
                <w:tcPr>
                  <w:tcW w:w="480" w:type="pct"/>
                  <w:shd w:val="clear" w:color="auto" w:fill="auto"/>
                  <w:vAlign w:val="bottom"/>
                </w:tcPr>
                <w:p w:rsidR="007544CA" w:rsidRDefault="007544CA" w:rsidP="00133508">
                  <w:pPr>
                    <w:pStyle w:val="TableBodyText"/>
                    <w:spacing w:after="20"/>
                  </w:pPr>
                  <w:r>
                    <w:noBreakHyphen/>
                    <w:t>544.8</w:t>
                  </w:r>
                </w:p>
              </w:tc>
              <w:tc>
                <w:tcPr>
                  <w:tcW w:w="480" w:type="pct"/>
                  <w:shd w:val="clear" w:color="auto" w:fill="auto"/>
                  <w:vAlign w:val="bottom"/>
                </w:tcPr>
                <w:p w:rsidR="007544CA" w:rsidRDefault="007544CA" w:rsidP="00133508">
                  <w:pPr>
                    <w:pStyle w:val="TableBodyText"/>
                    <w:spacing w:after="20"/>
                  </w:pPr>
                  <w:r>
                    <w:noBreakHyphen/>
                    <w:t>598.1</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Transport, postal &amp; warehousing</w:t>
                  </w:r>
                </w:p>
              </w:tc>
              <w:tc>
                <w:tcPr>
                  <w:tcW w:w="480" w:type="pct"/>
                  <w:vAlign w:val="bottom"/>
                </w:tcPr>
                <w:p w:rsidR="007544CA" w:rsidRDefault="007544CA" w:rsidP="00133508">
                  <w:pPr>
                    <w:pStyle w:val="TableBodyText"/>
                    <w:spacing w:after="20"/>
                  </w:pPr>
                  <w:r>
                    <w:noBreakHyphen/>
                    <w:t>203.2</w:t>
                  </w:r>
                </w:p>
              </w:tc>
              <w:tc>
                <w:tcPr>
                  <w:tcW w:w="480" w:type="pct"/>
                  <w:vAlign w:val="bottom"/>
                </w:tcPr>
                <w:p w:rsidR="007544CA" w:rsidRDefault="007544CA" w:rsidP="00133508">
                  <w:pPr>
                    <w:pStyle w:val="TableBodyText"/>
                    <w:spacing w:after="20"/>
                  </w:pPr>
                  <w:r>
                    <w:noBreakHyphen/>
                    <w:t>187.6</w:t>
                  </w:r>
                </w:p>
              </w:tc>
              <w:tc>
                <w:tcPr>
                  <w:tcW w:w="480" w:type="pct"/>
                  <w:vAlign w:val="bottom"/>
                </w:tcPr>
                <w:p w:rsidR="007544CA" w:rsidRDefault="007544CA" w:rsidP="00133508">
                  <w:pPr>
                    <w:pStyle w:val="TableBodyText"/>
                    <w:spacing w:after="20"/>
                  </w:pPr>
                  <w:r>
                    <w:noBreakHyphen/>
                    <w:t>205.6</w:t>
                  </w:r>
                </w:p>
              </w:tc>
              <w:tc>
                <w:tcPr>
                  <w:tcW w:w="480" w:type="pct"/>
                  <w:vAlign w:val="bottom"/>
                </w:tcPr>
                <w:p w:rsidR="007544CA" w:rsidRDefault="007544CA" w:rsidP="00133508">
                  <w:pPr>
                    <w:pStyle w:val="TableBodyText"/>
                    <w:spacing w:after="20"/>
                  </w:pPr>
                  <w:r>
                    <w:noBreakHyphen/>
                    <w:t>215.7</w:t>
                  </w:r>
                </w:p>
              </w:tc>
              <w:tc>
                <w:tcPr>
                  <w:tcW w:w="480" w:type="pct"/>
                  <w:shd w:val="clear" w:color="auto" w:fill="auto"/>
                  <w:vAlign w:val="bottom"/>
                </w:tcPr>
                <w:p w:rsidR="007544CA" w:rsidRDefault="007544CA" w:rsidP="00133508">
                  <w:pPr>
                    <w:pStyle w:val="TableBodyText"/>
                    <w:spacing w:after="20"/>
                  </w:pPr>
                  <w:r>
                    <w:noBreakHyphen/>
                    <w:t>216.2</w:t>
                  </w:r>
                </w:p>
              </w:tc>
              <w:tc>
                <w:tcPr>
                  <w:tcW w:w="480" w:type="pct"/>
                  <w:shd w:val="clear" w:color="auto" w:fill="auto"/>
                  <w:vAlign w:val="bottom"/>
                </w:tcPr>
                <w:p w:rsidR="007544CA" w:rsidRDefault="007544CA" w:rsidP="00133508">
                  <w:pPr>
                    <w:pStyle w:val="TableBodyText"/>
                    <w:spacing w:after="20"/>
                  </w:pPr>
                  <w:r>
                    <w:noBreakHyphen/>
                    <w:t>217.2</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Information &amp; telecommunications</w:t>
                  </w:r>
                </w:p>
              </w:tc>
              <w:tc>
                <w:tcPr>
                  <w:tcW w:w="480" w:type="pct"/>
                  <w:vAlign w:val="bottom"/>
                </w:tcPr>
                <w:p w:rsidR="007544CA" w:rsidRDefault="007544CA" w:rsidP="00133508">
                  <w:pPr>
                    <w:pStyle w:val="TableBodyText"/>
                    <w:spacing w:after="20"/>
                  </w:pPr>
                  <w:r>
                    <w:noBreakHyphen/>
                    <w:t>150.6</w:t>
                  </w:r>
                </w:p>
              </w:tc>
              <w:tc>
                <w:tcPr>
                  <w:tcW w:w="480" w:type="pct"/>
                  <w:vAlign w:val="bottom"/>
                </w:tcPr>
                <w:p w:rsidR="007544CA" w:rsidRDefault="007544CA" w:rsidP="00133508">
                  <w:pPr>
                    <w:pStyle w:val="TableBodyText"/>
                    <w:spacing w:after="20"/>
                  </w:pPr>
                  <w:r>
                    <w:noBreakHyphen/>
                    <w:t>143.6</w:t>
                  </w:r>
                </w:p>
              </w:tc>
              <w:tc>
                <w:tcPr>
                  <w:tcW w:w="480" w:type="pct"/>
                  <w:vAlign w:val="bottom"/>
                </w:tcPr>
                <w:p w:rsidR="007544CA" w:rsidRDefault="007544CA" w:rsidP="00133508">
                  <w:pPr>
                    <w:pStyle w:val="TableBodyText"/>
                    <w:spacing w:after="20"/>
                  </w:pPr>
                  <w:r>
                    <w:noBreakHyphen/>
                    <w:t>146.2</w:t>
                  </w:r>
                </w:p>
              </w:tc>
              <w:tc>
                <w:tcPr>
                  <w:tcW w:w="480" w:type="pct"/>
                  <w:vAlign w:val="bottom"/>
                </w:tcPr>
                <w:p w:rsidR="007544CA" w:rsidRDefault="007544CA" w:rsidP="00133508">
                  <w:pPr>
                    <w:pStyle w:val="TableBodyText"/>
                    <w:spacing w:after="20"/>
                  </w:pPr>
                  <w:r>
                    <w:noBreakHyphen/>
                    <w:t>146.8</w:t>
                  </w:r>
                </w:p>
              </w:tc>
              <w:tc>
                <w:tcPr>
                  <w:tcW w:w="480" w:type="pct"/>
                  <w:shd w:val="clear" w:color="auto" w:fill="auto"/>
                  <w:vAlign w:val="bottom"/>
                </w:tcPr>
                <w:p w:rsidR="007544CA" w:rsidRDefault="007544CA" w:rsidP="00133508">
                  <w:pPr>
                    <w:pStyle w:val="TableBodyText"/>
                    <w:spacing w:after="20"/>
                  </w:pPr>
                  <w:r>
                    <w:noBreakHyphen/>
                    <w:t>148.0</w:t>
                  </w:r>
                </w:p>
              </w:tc>
              <w:tc>
                <w:tcPr>
                  <w:tcW w:w="480" w:type="pct"/>
                  <w:shd w:val="clear" w:color="auto" w:fill="auto"/>
                  <w:vAlign w:val="bottom"/>
                </w:tcPr>
                <w:p w:rsidR="007544CA" w:rsidRDefault="007544CA" w:rsidP="00133508">
                  <w:pPr>
                    <w:pStyle w:val="TableBodyText"/>
                    <w:spacing w:after="20"/>
                  </w:pPr>
                  <w:r>
                    <w:noBreakHyphen/>
                    <w:t>145.6</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Financial and insurance services</w:t>
                  </w:r>
                </w:p>
              </w:tc>
              <w:tc>
                <w:tcPr>
                  <w:tcW w:w="480" w:type="pct"/>
                  <w:vAlign w:val="bottom"/>
                </w:tcPr>
                <w:p w:rsidR="007544CA" w:rsidRDefault="007544CA" w:rsidP="00133508">
                  <w:pPr>
                    <w:pStyle w:val="TableBodyText"/>
                    <w:spacing w:after="20"/>
                  </w:pPr>
                  <w:r>
                    <w:noBreakHyphen/>
                    <w:t>8.5</w:t>
                  </w:r>
                </w:p>
              </w:tc>
              <w:tc>
                <w:tcPr>
                  <w:tcW w:w="480" w:type="pct"/>
                  <w:vAlign w:val="bottom"/>
                </w:tcPr>
                <w:p w:rsidR="007544CA" w:rsidRDefault="007544CA" w:rsidP="00133508">
                  <w:pPr>
                    <w:pStyle w:val="TableBodyText"/>
                    <w:spacing w:after="20"/>
                  </w:pPr>
                  <w:r>
                    <w:noBreakHyphen/>
                    <w:t>9.0</w:t>
                  </w:r>
                </w:p>
              </w:tc>
              <w:tc>
                <w:tcPr>
                  <w:tcW w:w="480" w:type="pct"/>
                  <w:vAlign w:val="bottom"/>
                </w:tcPr>
                <w:p w:rsidR="007544CA" w:rsidRDefault="007544CA" w:rsidP="00133508">
                  <w:pPr>
                    <w:pStyle w:val="TableBodyText"/>
                    <w:spacing w:after="20"/>
                  </w:pPr>
                  <w:r>
                    <w:noBreakHyphen/>
                    <w:t>9.3</w:t>
                  </w:r>
                </w:p>
              </w:tc>
              <w:tc>
                <w:tcPr>
                  <w:tcW w:w="480" w:type="pct"/>
                  <w:vAlign w:val="bottom"/>
                </w:tcPr>
                <w:p w:rsidR="007544CA" w:rsidRDefault="007544CA" w:rsidP="00133508">
                  <w:pPr>
                    <w:pStyle w:val="TableBodyText"/>
                    <w:spacing w:after="20"/>
                  </w:pPr>
                  <w:r>
                    <w:noBreakHyphen/>
                    <w:t>9.8</w:t>
                  </w:r>
                </w:p>
              </w:tc>
              <w:tc>
                <w:tcPr>
                  <w:tcW w:w="480" w:type="pct"/>
                  <w:shd w:val="clear" w:color="auto" w:fill="auto"/>
                  <w:vAlign w:val="bottom"/>
                </w:tcPr>
                <w:p w:rsidR="007544CA" w:rsidRDefault="007544CA" w:rsidP="00133508">
                  <w:pPr>
                    <w:pStyle w:val="TableBodyText"/>
                    <w:spacing w:after="20"/>
                  </w:pPr>
                  <w:r>
                    <w:noBreakHyphen/>
                    <w:t>10.5</w:t>
                  </w:r>
                </w:p>
              </w:tc>
              <w:tc>
                <w:tcPr>
                  <w:tcW w:w="480" w:type="pct"/>
                  <w:shd w:val="clear" w:color="auto" w:fill="auto"/>
                  <w:vAlign w:val="bottom"/>
                </w:tcPr>
                <w:p w:rsidR="007544CA" w:rsidRDefault="007544CA" w:rsidP="00133508">
                  <w:pPr>
                    <w:pStyle w:val="TableBodyText"/>
                    <w:spacing w:after="20"/>
                  </w:pPr>
                  <w:r>
                    <w:noBreakHyphen/>
                    <w:t>10.9</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Property, professional &amp; admin.</w:t>
                  </w:r>
                </w:p>
              </w:tc>
              <w:tc>
                <w:tcPr>
                  <w:tcW w:w="480" w:type="pct"/>
                  <w:vAlign w:val="bottom"/>
                </w:tcPr>
                <w:p w:rsidR="007544CA" w:rsidRDefault="007544CA" w:rsidP="00133508">
                  <w:pPr>
                    <w:pStyle w:val="TableBodyText"/>
                    <w:spacing w:after="20"/>
                  </w:pPr>
                  <w:r>
                    <w:noBreakHyphen/>
                    <w:t>528.2</w:t>
                  </w:r>
                </w:p>
              </w:tc>
              <w:tc>
                <w:tcPr>
                  <w:tcW w:w="480" w:type="pct"/>
                  <w:vAlign w:val="bottom"/>
                </w:tcPr>
                <w:p w:rsidR="007544CA" w:rsidRDefault="007544CA" w:rsidP="00133508">
                  <w:pPr>
                    <w:pStyle w:val="TableBodyText"/>
                    <w:spacing w:after="20"/>
                  </w:pPr>
                  <w:r>
                    <w:noBreakHyphen/>
                    <w:t>544.0</w:t>
                  </w:r>
                </w:p>
              </w:tc>
              <w:tc>
                <w:tcPr>
                  <w:tcW w:w="480" w:type="pct"/>
                  <w:vAlign w:val="bottom"/>
                </w:tcPr>
                <w:p w:rsidR="007544CA" w:rsidRDefault="007544CA" w:rsidP="00133508">
                  <w:pPr>
                    <w:pStyle w:val="TableBodyText"/>
                    <w:spacing w:after="20"/>
                  </w:pPr>
                  <w:r>
                    <w:noBreakHyphen/>
                    <w:t>588.9</w:t>
                  </w:r>
                </w:p>
              </w:tc>
              <w:tc>
                <w:tcPr>
                  <w:tcW w:w="480" w:type="pct"/>
                  <w:vAlign w:val="bottom"/>
                </w:tcPr>
                <w:p w:rsidR="007544CA" w:rsidRDefault="007544CA" w:rsidP="00133508">
                  <w:pPr>
                    <w:pStyle w:val="TableBodyText"/>
                    <w:spacing w:after="20"/>
                  </w:pPr>
                  <w:r>
                    <w:noBreakHyphen/>
                    <w:t>618.9</w:t>
                  </w:r>
                </w:p>
              </w:tc>
              <w:tc>
                <w:tcPr>
                  <w:tcW w:w="480" w:type="pct"/>
                  <w:shd w:val="clear" w:color="auto" w:fill="auto"/>
                  <w:vAlign w:val="bottom"/>
                </w:tcPr>
                <w:p w:rsidR="007544CA" w:rsidRDefault="007544CA" w:rsidP="00133508">
                  <w:pPr>
                    <w:pStyle w:val="TableBodyText"/>
                    <w:spacing w:after="20"/>
                  </w:pPr>
                  <w:r>
                    <w:noBreakHyphen/>
                    <w:t>631.8</w:t>
                  </w:r>
                </w:p>
              </w:tc>
              <w:tc>
                <w:tcPr>
                  <w:tcW w:w="480" w:type="pct"/>
                  <w:shd w:val="clear" w:color="auto" w:fill="auto"/>
                  <w:vAlign w:val="bottom"/>
                </w:tcPr>
                <w:p w:rsidR="007544CA" w:rsidRDefault="007544CA" w:rsidP="00133508">
                  <w:pPr>
                    <w:pStyle w:val="TableBodyText"/>
                    <w:spacing w:after="20"/>
                  </w:pPr>
                  <w:r>
                    <w:noBreakHyphen/>
                    <w:t>639.5</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Public administration and safety</w:t>
                  </w:r>
                </w:p>
              </w:tc>
              <w:tc>
                <w:tcPr>
                  <w:tcW w:w="480" w:type="pct"/>
                  <w:vAlign w:val="bottom"/>
                </w:tcPr>
                <w:p w:rsidR="007544CA" w:rsidRDefault="007544CA" w:rsidP="00133508">
                  <w:pPr>
                    <w:pStyle w:val="TableBodyText"/>
                    <w:spacing w:after="20"/>
                  </w:pPr>
                  <w:r>
                    <w:noBreakHyphen/>
                    <w:t>202.1</w:t>
                  </w:r>
                </w:p>
              </w:tc>
              <w:tc>
                <w:tcPr>
                  <w:tcW w:w="480" w:type="pct"/>
                  <w:vAlign w:val="bottom"/>
                </w:tcPr>
                <w:p w:rsidR="007544CA" w:rsidRDefault="007544CA" w:rsidP="00133508">
                  <w:pPr>
                    <w:pStyle w:val="TableBodyText"/>
                    <w:spacing w:after="20"/>
                  </w:pPr>
                  <w:r>
                    <w:noBreakHyphen/>
                    <w:t>200.8</w:t>
                  </w:r>
                </w:p>
              </w:tc>
              <w:tc>
                <w:tcPr>
                  <w:tcW w:w="480" w:type="pct"/>
                  <w:vAlign w:val="bottom"/>
                </w:tcPr>
                <w:p w:rsidR="007544CA" w:rsidRDefault="007544CA" w:rsidP="00133508">
                  <w:pPr>
                    <w:pStyle w:val="TableBodyText"/>
                    <w:spacing w:after="20"/>
                  </w:pPr>
                  <w:r>
                    <w:noBreakHyphen/>
                    <w:t>214.1</w:t>
                  </w:r>
                </w:p>
              </w:tc>
              <w:tc>
                <w:tcPr>
                  <w:tcW w:w="480" w:type="pct"/>
                  <w:vAlign w:val="bottom"/>
                </w:tcPr>
                <w:p w:rsidR="007544CA" w:rsidRDefault="007544CA" w:rsidP="00133508">
                  <w:pPr>
                    <w:pStyle w:val="TableBodyText"/>
                    <w:spacing w:after="20"/>
                  </w:pPr>
                  <w:r>
                    <w:noBreakHyphen/>
                    <w:t>220.6</w:t>
                  </w:r>
                </w:p>
              </w:tc>
              <w:tc>
                <w:tcPr>
                  <w:tcW w:w="480" w:type="pct"/>
                  <w:shd w:val="clear" w:color="auto" w:fill="auto"/>
                  <w:vAlign w:val="bottom"/>
                </w:tcPr>
                <w:p w:rsidR="007544CA" w:rsidRDefault="007544CA" w:rsidP="00133508">
                  <w:pPr>
                    <w:pStyle w:val="TableBodyText"/>
                    <w:spacing w:after="20"/>
                  </w:pPr>
                  <w:r>
                    <w:noBreakHyphen/>
                    <w:t>228.1</w:t>
                  </w:r>
                </w:p>
              </w:tc>
              <w:tc>
                <w:tcPr>
                  <w:tcW w:w="480" w:type="pct"/>
                  <w:shd w:val="clear" w:color="auto" w:fill="auto"/>
                  <w:vAlign w:val="bottom"/>
                </w:tcPr>
                <w:p w:rsidR="007544CA" w:rsidRDefault="007544CA" w:rsidP="00133508">
                  <w:pPr>
                    <w:pStyle w:val="TableBodyText"/>
                    <w:spacing w:after="20"/>
                  </w:pPr>
                  <w:r>
                    <w:noBreakHyphen/>
                    <w:t>228.2</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Education and training</w:t>
                  </w:r>
                </w:p>
              </w:tc>
              <w:tc>
                <w:tcPr>
                  <w:tcW w:w="480" w:type="pct"/>
                  <w:vAlign w:val="bottom"/>
                </w:tcPr>
                <w:p w:rsidR="007544CA" w:rsidRDefault="007544CA" w:rsidP="00133508">
                  <w:pPr>
                    <w:pStyle w:val="TableBodyText"/>
                    <w:spacing w:after="20"/>
                  </w:pPr>
                  <w:r>
                    <w:noBreakHyphen/>
                    <w:t>105.0</w:t>
                  </w:r>
                </w:p>
              </w:tc>
              <w:tc>
                <w:tcPr>
                  <w:tcW w:w="480" w:type="pct"/>
                  <w:vAlign w:val="bottom"/>
                </w:tcPr>
                <w:p w:rsidR="007544CA" w:rsidRDefault="007544CA" w:rsidP="00133508">
                  <w:pPr>
                    <w:pStyle w:val="TableBodyText"/>
                    <w:spacing w:after="20"/>
                  </w:pPr>
                  <w:r>
                    <w:noBreakHyphen/>
                    <w:t>105.9</w:t>
                  </w:r>
                </w:p>
              </w:tc>
              <w:tc>
                <w:tcPr>
                  <w:tcW w:w="480" w:type="pct"/>
                  <w:vAlign w:val="bottom"/>
                </w:tcPr>
                <w:p w:rsidR="007544CA" w:rsidRDefault="007544CA" w:rsidP="00133508">
                  <w:pPr>
                    <w:pStyle w:val="TableBodyText"/>
                    <w:spacing w:after="20"/>
                  </w:pPr>
                  <w:r>
                    <w:noBreakHyphen/>
                    <w:t>115.2</w:t>
                  </w:r>
                </w:p>
              </w:tc>
              <w:tc>
                <w:tcPr>
                  <w:tcW w:w="480" w:type="pct"/>
                  <w:vAlign w:val="bottom"/>
                </w:tcPr>
                <w:p w:rsidR="007544CA" w:rsidRDefault="007544CA" w:rsidP="00133508">
                  <w:pPr>
                    <w:pStyle w:val="TableBodyText"/>
                    <w:spacing w:after="20"/>
                  </w:pPr>
                  <w:r>
                    <w:noBreakHyphen/>
                    <w:t>120.8</w:t>
                  </w:r>
                </w:p>
              </w:tc>
              <w:tc>
                <w:tcPr>
                  <w:tcW w:w="480" w:type="pct"/>
                  <w:shd w:val="clear" w:color="auto" w:fill="auto"/>
                  <w:vAlign w:val="bottom"/>
                </w:tcPr>
                <w:p w:rsidR="007544CA" w:rsidRDefault="007544CA" w:rsidP="00133508">
                  <w:pPr>
                    <w:pStyle w:val="TableBodyText"/>
                    <w:spacing w:after="20"/>
                  </w:pPr>
                  <w:r>
                    <w:noBreakHyphen/>
                    <w:t>127.1</w:t>
                  </w:r>
                </w:p>
              </w:tc>
              <w:tc>
                <w:tcPr>
                  <w:tcW w:w="480" w:type="pct"/>
                  <w:shd w:val="clear" w:color="auto" w:fill="auto"/>
                  <w:vAlign w:val="bottom"/>
                </w:tcPr>
                <w:p w:rsidR="007544CA" w:rsidRDefault="007544CA" w:rsidP="00133508">
                  <w:pPr>
                    <w:pStyle w:val="TableBodyText"/>
                    <w:spacing w:after="20"/>
                  </w:pPr>
                  <w:r>
                    <w:noBreakHyphen/>
                    <w:t>131.1</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Health care and social assistance</w:t>
                  </w:r>
                </w:p>
              </w:tc>
              <w:tc>
                <w:tcPr>
                  <w:tcW w:w="480" w:type="pct"/>
                  <w:vAlign w:val="bottom"/>
                </w:tcPr>
                <w:p w:rsidR="007544CA" w:rsidRDefault="007544CA" w:rsidP="00133508">
                  <w:pPr>
                    <w:pStyle w:val="TableBodyText"/>
                    <w:spacing w:after="20"/>
                  </w:pPr>
                  <w:r>
                    <w:noBreakHyphen/>
                    <w:t>243.0</w:t>
                  </w:r>
                </w:p>
              </w:tc>
              <w:tc>
                <w:tcPr>
                  <w:tcW w:w="480" w:type="pct"/>
                  <w:vAlign w:val="bottom"/>
                </w:tcPr>
                <w:p w:rsidR="007544CA" w:rsidRDefault="007544CA" w:rsidP="00133508">
                  <w:pPr>
                    <w:pStyle w:val="TableBodyText"/>
                    <w:spacing w:after="20"/>
                  </w:pPr>
                  <w:r>
                    <w:noBreakHyphen/>
                    <w:t>244.5</w:t>
                  </w:r>
                </w:p>
              </w:tc>
              <w:tc>
                <w:tcPr>
                  <w:tcW w:w="480" w:type="pct"/>
                  <w:vAlign w:val="bottom"/>
                </w:tcPr>
                <w:p w:rsidR="007544CA" w:rsidRDefault="007544CA" w:rsidP="00133508">
                  <w:pPr>
                    <w:pStyle w:val="TableBodyText"/>
                    <w:spacing w:after="20"/>
                  </w:pPr>
                  <w:r>
                    <w:noBreakHyphen/>
                    <w:t>256.3</w:t>
                  </w:r>
                </w:p>
              </w:tc>
              <w:tc>
                <w:tcPr>
                  <w:tcW w:w="480" w:type="pct"/>
                  <w:vAlign w:val="bottom"/>
                </w:tcPr>
                <w:p w:rsidR="007544CA" w:rsidRDefault="007544CA" w:rsidP="00133508">
                  <w:pPr>
                    <w:pStyle w:val="TableBodyText"/>
                    <w:spacing w:after="20"/>
                  </w:pPr>
                  <w:r>
                    <w:noBreakHyphen/>
                    <w:t>269.6</w:t>
                  </w:r>
                </w:p>
              </w:tc>
              <w:tc>
                <w:tcPr>
                  <w:tcW w:w="480" w:type="pct"/>
                  <w:shd w:val="clear" w:color="auto" w:fill="auto"/>
                  <w:vAlign w:val="bottom"/>
                </w:tcPr>
                <w:p w:rsidR="007544CA" w:rsidRDefault="007544CA" w:rsidP="00133508">
                  <w:pPr>
                    <w:pStyle w:val="TableBodyText"/>
                    <w:spacing w:after="20"/>
                  </w:pPr>
                  <w:r>
                    <w:noBreakHyphen/>
                    <w:t>282.3</w:t>
                  </w:r>
                </w:p>
              </w:tc>
              <w:tc>
                <w:tcPr>
                  <w:tcW w:w="480" w:type="pct"/>
                  <w:shd w:val="clear" w:color="auto" w:fill="auto"/>
                  <w:vAlign w:val="bottom"/>
                </w:tcPr>
                <w:p w:rsidR="007544CA" w:rsidRDefault="007544CA" w:rsidP="00133508">
                  <w:pPr>
                    <w:pStyle w:val="TableBodyText"/>
                    <w:spacing w:after="20"/>
                  </w:pPr>
                  <w:r>
                    <w:noBreakHyphen/>
                    <w:t>282.2</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Arts and recreation services</w:t>
                  </w:r>
                </w:p>
              </w:tc>
              <w:tc>
                <w:tcPr>
                  <w:tcW w:w="480" w:type="pct"/>
                  <w:vAlign w:val="bottom"/>
                </w:tcPr>
                <w:p w:rsidR="007544CA" w:rsidRDefault="007544CA" w:rsidP="00133508">
                  <w:pPr>
                    <w:pStyle w:val="TableBodyText"/>
                    <w:spacing w:after="20"/>
                  </w:pPr>
                  <w:r>
                    <w:noBreakHyphen/>
                    <w:t>74.8</w:t>
                  </w:r>
                </w:p>
              </w:tc>
              <w:tc>
                <w:tcPr>
                  <w:tcW w:w="480" w:type="pct"/>
                  <w:vAlign w:val="bottom"/>
                </w:tcPr>
                <w:p w:rsidR="007544CA" w:rsidRDefault="007544CA" w:rsidP="00133508">
                  <w:pPr>
                    <w:pStyle w:val="TableBodyText"/>
                    <w:spacing w:after="20"/>
                  </w:pPr>
                  <w:r>
                    <w:noBreakHyphen/>
                    <w:t>73.4</w:t>
                  </w:r>
                </w:p>
              </w:tc>
              <w:tc>
                <w:tcPr>
                  <w:tcW w:w="480" w:type="pct"/>
                  <w:vAlign w:val="bottom"/>
                </w:tcPr>
                <w:p w:rsidR="007544CA" w:rsidRDefault="007544CA" w:rsidP="00133508">
                  <w:pPr>
                    <w:pStyle w:val="TableBodyText"/>
                    <w:spacing w:after="20"/>
                  </w:pPr>
                  <w:r>
                    <w:noBreakHyphen/>
                    <w:t>77.1</w:t>
                  </w:r>
                </w:p>
              </w:tc>
              <w:tc>
                <w:tcPr>
                  <w:tcW w:w="480" w:type="pct"/>
                  <w:vAlign w:val="bottom"/>
                </w:tcPr>
                <w:p w:rsidR="007544CA" w:rsidRDefault="007544CA" w:rsidP="00133508">
                  <w:pPr>
                    <w:pStyle w:val="TableBodyText"/>
                    <w:spacing w:after="20"/>
                  </w:pPr>
                  <w:r>
                    <w:noBreakHyphen/>
                    <w:t>77.3</w:t>
                  </w:r>
                </w:p>
              </w:tc>
              <w:tc>
                <w:tcPr>
                  <w:tcW w:w="480" w:type="pct"/>
                  <w:shd w:val="clear" w:color="auto" w:fill="auto"/>
                  <w:vAlign w:val="bottom"/>
                </w:tcPr>
                <w:p w:rsidR="007544CA" w:rsidRDefault="007544CA" w:rsidP="00133508">
                  <w:pPr>
                    <w:pStyle w:val="TableBodyText"/>
                    <w:spacing w:after="20"/>
                  </w:pPr>
                  <w:r>
                    <w:noBreakHyphen/>
                    <w:t>80.5</w:t>
                  </w:r>
                </w:p>
              </w:tc>
              <w:tc>
                <w:tcPr>
                  <w:tcW w:w="480" w:type="pct"/>
                  <w:shd w:val="clear" w:color="auto" w:fill="auto"/>
                  <w:vAlign w:val="bottom"/>
                </w:tcPr>
                <w:p w:rsidR="007544CA" w:rsidRDefault="007544CA" w:rsidP="00133508">
                  <w:pPr>
                    <w:pStyle w:val="TableBodyText"/>
                    <w:spacing w:after="20"/>
                  </w:pPr>
                  <w:r>
                    <w:noBreakHyphen/>
                    <w:t>84.4</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Other services</w:t>
                  </w:r>
                </w:p>
              </w:tc>
              <w:tc>
                <w:tcPr>
                  <w:tcW w:w="480" w:type="pct"/>
                  <w:vAlign w:val="bottom"/>
                </w:tcPr>
                <w:p w:rsidR="007544CA" w:rsidRDefault="007544CA" w:rsidP="00133508">
                  <w:pPr>
                    <w:pStyle w:val="TableBodyText"/>
                    <w:spacing w:after="20"/>
                  </w:pPr>
                  <w:r>
                    <w:noBreakHyphen/>
                    <w:t>295.6</w:t>
                  </w:r>
                </w:p>
              </w:tc>
              <w:tc>
                <w:tcPr>
                  <w:tcW w:w="480" w:type="pct"/>
                  <w:vAlign w:val="bottom"/>
                </w:tcPr>
                <w:p w:rsidR="007544CA" w:rsidRDefault="007544CA" w:rsidP="00133508">
                  <w:pPr>
                    <w:pStyle w:val="TableBodyText"/>
                    <w:spacing w:after="20"/>
                  </w:pPr>
                  <w:r>
                    <w:noBreakHyphen/>
                    <w:t>271.2</w:t>
                  </w:r>
                </w:p>
              </w:tc>
              <w:tc>
                <w:tcPr>
                  <w:tcW w:w="480" w:type="pct"/>
                  <w:vAlign w:val="bottom"/>
                </w:tcPr>
                <w:p w:rsidR="007544CA" w:rsidRDefault="007544CA" w:rsidP="00133508">
                  <w:pPr>
                    <w:pStyle w:val="TableBodyText"/>
                    <w:spacing w:after="20"/>
                  </w:pPr>
                  <w:r>
                    <w:noBreakHyphen/>
                    <w:t>299.8</w:t>
                  </w:r>
                </w:p>
              </w:tc>
              <w:tc>
                <w:tcPr>
                  <w:tcW w:w="480" w:type="pct"/>
                  <w:vAlign w:val="bottom"/>
                </w:tcPr>
                <w:p w:rsidR="007544CA" w:rsidRDefault="007544CA" w:rsidP="00133508">
                  <w:pPr>
                    <w:pStyle w:val="TableBodyText"/>
                    <w:spacing w:after="20"/>
                  </w:pPr>
                  <w:r>
                    <w:noBreakHyphen/>
                    <w:t>295.4</w:t>
                  </w:r>
                </w:p>
              </w:tc>
              <w:tc>
                <w:tcPr>
                  <w:tcW w:w="480" w:type="pct"/>
                  <w:shd w:val="clear" w:color="auto" w:fill="auto"/>
                  <w:vAlign w:val="bottom"/>
                </w:tcPr>
                <w:p w:rsidR="007544CA" w:rsidRDefault="007544CA" w:rsidP="00133508">
                  <w:pPr>
                    <w:pStyle w:val="TableBodyText"/>
                    <w:spacing w:after="20"/>
                  </w:pPr>
                  <w:r>
                    <w:noBreakHyphen/>
                    <w:t>308.0</w:t>
                  </w:r>
                </w:p>
              </w:tc>
              <w:tc>
                <w:tcPr>
                  <w:tcW w:w="480" w:type="pct"/>
                  <w:shd w:val="clear" w:color="auto" w:fill="auto"/>
                  <w:vAlign w:val="bottom"/>
                </w:tcPr>
                <w:p w:rsidR="007544CA" w:rsidRDefault="007544CA" w:rsidP="00133508">
                  <w:pPr>
                    <w:pStyle w:val="TableBodyText"/>
                    <w:spacing w:after="20"/>
                  </w:pPr>
                  <w:r>
                    <w:noBreakHyphen/>
                    <w:t>325.3</w:t>
                  </w:r>
                </w:p>
              </w:tc>
            </w:tr>
            <w:tr w:rsidR="007544CA" w:rsidTr="00133508">
              <w:tc>
                <w:tcPr>
                  <w:tcW w:w="2118" w:type="pct"/>
                  <w:shd w:val="clear" w:color="auto" w:fill="auto"/>
                  <w:vAlign w:val="center"/>
                </w:tcPr>
                <w:p w:rsidR="007544CA" w:rsidRPr="00AB1D7C" w:rsidRDefault="007544CA" w:rsidP="00133508">
                  <w:pPr>
                    <w:pStyle w:val="TableBodyText"/>
                    <w:spacing w:after="20"/>
                    <w:jc w:val="left"/>
                  </w:pPr>
                  <w:r w:rsidRPr="00AB1D7C">
                    <w:t>Unallocated services</w:t>
                  </w:r>
                  <w:r w:rsidRPr="00C74A79">
                    <w:rPr>
                      <w:rStyle w:val="NoteLabel"/>
                    </w:rPr>
                    <w:t>b</w:t>
                  </w:r>
                </w:p>
              </w:tc>
              <w:tc>
                <w:tcPr>
                  <w:tcW w:w="480" w:type="pct"/>
                  <w:vAlign w:val="bottom"/>
                </w:tcPr>
                <w:p w:rsidR="007544CA" w:rsidRPr="00FC101B" w:rsidRDefault="007544CA" w:rsidP="00133508">
                  <w:pPr>
                    <w:pStyle w:val="TableBodyText"/>
                    <w:spacing w:after="20"/>
                  </w:pPr>
                  <w:r w:rsidRPr="00FC101B">
                    <w:t xml:space="preserve">– </w:t>
                  </w:r>
                </w:p>
              </w:tc>
              <w:tc>
                <w:tcPr>
                  <w:tcW w:w="480" w:type="pct"/>
                  <w:vAlign w:val="bottom"/>
                </w:tcPr>
                <w:p w:rsidR="007544CA" w:rsidRPr="00FC101B" w:rsidRDefault="007544CA" w:rsidP="00133508">
                  <w:pPr>
                    <w:pStyle w:val="TableBodyText"/>
                    <w:spacing w:after="20"/>
                  </w:pPr>
                  <w:r w:rsidRPr="00FC101B">
                    <w:t xml:space="preserve">– </w:t>
                  </w:r>
                </w:p>
              </w:tc>
              <w:tc>
                <w:tcPr>
                  <w:tcW w:w="480" w:type="pct"/>
                  <w:vAlign w:val="bottom"/>
                </w:tcPr>
                <w:p w:rsidR="007544CA" w:rsidRPr="00FC101B" w:rsidRDefault="007544CA" w:rsidP="00133508">
                  <w:pPr>
                    <w:pStyle w:val="TableBodyText"/>
                    <w:spacing w:after="20"/>
                  </w:pPr>
                  <w:r w:rsidRPr="00FC101B">
                    <w:t xml:space="preserve">– </w:t>
                  </w:r>
                </w:p>
              </w:tc>
              <w:tc>
                <w:tcPr>
                  <w:tcW w:w="480" w:type="pct"/>
                  <w:vAlign w:val="bottom"/>
                </w:tcPr>
                <w:p w:rsidR="007544CA" w:rsidRPr="00FC101B" w:rsidRDefault="007544CA" w:rsidP="00133508">
                  <w:pPr>
                    <w:pStyle w:val="TableBodyText"/>
                    <w:spacing w:after="20"/>
                  </w:pPr>
                  <w:r w:rsidRPr="00FC101B">
                    <w:t xml:space="preserve">– </w:t>
                  </w:r>
                </w:p>
              </w:tc>
              <w:tc>
                <w:tcPr>
                  <w:tcW w:w="480" w:type="pct"/>
                  <w:shd w:val="clear" w:color="auto" w:fill="auto"/>
                  <w:vAlign w:val="bottom"/>
                </w:tcPr>
                <w:p w:rsidR="007544CA" w:rsidRPr="00FC101B" w:rsidRDefault="007544CA" w:rsidP="00133508">
                  <w:pPr>
                    <w:pStyle w:val="TableBodyText"/>
                    <w:spacing w:after="20"/>
                  </w:pPr>
                  <w:r w:rsidRPr="00FC101B">
                    <w:t xml:space="preserve">– </w:t>
                  </w:r>
                </w:p>
              </w:tc>
              <w:tc>
                <w:tcPr>
                  <w:tcW w:w="480" w:type="pct"/>
                  <w:shd w:val="clear" w:color="auto" w:fill="auto"/>
                  <w:vAlign w:val="bottom"/>
                </w:tcPr>
                <w:p w:rsidR="007544CA" w:rsidRPr="00FC101B" w:rsidRDefault="007544CA" w:rsidP="00133508">
                  <w:pPr>
                    <w:pStyle w:val="TableBodyText"/>
                    <w:spacing w:after="20"/>
                  </w:pPr>
                  <w:r w:rsidRPr="00FC101B">
                    <w:t xml:space="preserve">– </w:t>
                  </w:r>
                </w:p>
              </w:tc>
            </w:tr>
            <w:tr w:rsidR="007544CA" w:rsidRPr="00FC101B" w:rsidTr="00133508">
              <w:tc>
                <w:tcPr>
                  <w:tcW w:w="2118" w:type="pct"/>
                  <w:shd w:val="clear" w:color="auto" w:fill="auto"/>
                  <w:vAlign w:val="center"/>
                </w:tcPr>
                <w:p w:rsidR="007544CA" w:rsidRPr="00A9616E" w:rsidRDefault="007544CA" w:rsidP="00133508">
                  <w:pPr>
                    <w:pStyle w:val="TableBodyText"/>
                    <w:spacing w:after="20"/>
                    <w:jc w:val="left"/>
                    <w:rPr>
                      <w:b/>
                    </w:rPr>
                  </w:pPr>
                  <w:r w:rsidRPr="00A9616E">
                    <w:rPr>
                      <w:b/>
                    </w:rPr>
                    <w:t>Unallocated other</w:t>
                  </w:r>
                  <w:r w:rsidRPr="00A9616E">
                    <w:rPr>
                      <w:rStyle w:val="NoteLabel"/>
                      <w:b w:val="0"/>
                    </w:rPr>
                    <w:t>b</w:t>
                  </w:r>
                </w:p>
              </w:tc>
              <w:tc>
                <w:tcPr>
                  <w:tcW w:w="480" w:type="pct"/>
                  <w:vAlign w:val="bottom"/>
                </w:tcPr>
                <w:p w:rsidR="007544CA" w:rsidRPr="00A9616E" w:rsidRDefault="007544CA" w:rsidP="00133508">
                  <w:pPr>
                    <w:pStyle w:val="TableBodyText"/>
                    <w:spacing w:after="20"/>
                    <w:rPr>
                      <w:b/>
                    </w:rPr>
                  </w:pPr>
                  <w:r w:rsidRPr="00A9616E">
                    <w:rPr>
                      <w:b/>
                    </w:rPr>
                    <w:t xml:space="preserve">– </w:t>
                  </w:r>
                </w:p>
              </w:tc>
              <w:tc>
                <w:tcPr>
                  <w:tcW w:w="480" w:type="pct"/>
                  <w:vAlign w:val="bottom"/>
                </w:tcPr>
                <w:p w:rsidR="007544CA" w:rsidRPr="00A9616E" w:rsidRDefault="007544CA" w:rsidP="00133508">
                  <w:pPr>
                    <w:pStyle w:val="TableBodyText"/>
                    <w:spacing w:after="20"/>
                    <w:rPr>
                      <w:b/>
                    </w:rPr>
                  </w:pPr>
                  <w:r w:rsidRPr="00A9616E">
                    <w:rPr>
                      <w:b/>
                    </w:rPr>
                    <w:t xml:space="preserve">– </w:t>
                  </w:r>
                </w:p>
              </w:tc>
              <w:tc>
                <w:tcPr>
                  <w:tcW w:w="480" w:type="pct"/>
                  <w:vAlign w:val="bottom"/>
                </w:tcPr>
                <w:p w:rsidR="007544CA" w:rsidRPr="00A9616E" w:rsidRDefault="007544CA" w:rsidP="00133508">
                  <w:pPr>
                    <w:pStyle w:val="TableBodyText"/>
                    <w:spacing w:after="20"/>
                    <w:rPr>
                      <w:b/>
                    </w:rPr>
                  </w:pPr>
                  <w:r w:rsidRPr="00A9616E">
                    <w:rPr>
                      <w:b/>
                    </w:rPr>
                    <w:t xml:space="preserve">– </w:t>
                  </w:r>
                </w:p>
              </w:tc>
              <w:tc>
                <w:tcPr>
                  <w:tcW w:w="480" w:type="pct"/>
                  <w:vAlign w:val="bottom"/>
                </w:tcPr>
                <w:p w:rsidR="007544CA" w:rsidRPr="00A9616E" w:rsidRDefault="007544CA" w:rsidP="00133508">
                  <w:pPr>
                    <w:pStyle w:val="TableBodyText"/>
                    <w:spacing w:after="20"/>
                    <w:rPr>
                      <w:b/>
                    </w:rPr>
                  </w:pPr>
                  <w:r w:rsidRPr="00A9616E">
                    <w:rPr>
                      <w:b/>
                    </w:rPr>
                    <w:t xml:space="preserve">– </w:t>
                  </w:r>
                </w:p>
              </w:tc>
              <w:tc>
                <w:tcPr>
                  <w:tcW w:w="480" w:type="pct"/>
                  <w:shd w:val="clear" w:color="auto" w:fill="auto"/>
                  <w:vAlign w:val="bottom"/>
                </w:tcPr>
                <w:p w:rsidR="007544CA" w:rsidRPr="00A9616E" w:rsidRDefault="007544CA" w:rsidP="00133508">
                  <w:pPr>
                    <w:pStyle w:val="TableBodyText"/>
                    <w:spacing w:after="20"/>
                    <w:rPr>
                      <w:b/>
                    </w:rPr>
                  </w:pPr>
                  <w:r w:rsidRPr="00A9616E">
                    <w:rPr>
                      <w:b/>
                    </w:rPr>
                    <w:t xml:space="preserve">– </w:t>
                  </w:r>
                </w:p>
              </w:tc>
              <w:tc>
                <w:tcPr>
                  <w:tcW w:w="480" w:type="pct"/>
                  <w:shd w:val="clear" w:color="auto" w:fill="auto"/>
                  <w:vAlign w:val="bottom"/>
                </w:tcPr>
                <w:p w:rsidR="007544CA" w:rsidRPr="00A9616E" w:rsidRDefault="007544CA" w:rsidP="00133508">
                  <w:pPr>
                    <w:pStyle w:val="TableBodyText"/>
                    <w:spacing w:after="20"/>
                    <w:rPr>
                      <w:b/>
                    </w:rPr>
                  </w:pPr>
                  <w:r w:rsidRPr="00A9616E">
                    <w:rPr>
                      <w:b/>
                    </w:rPr>
                    <w:t xml:space="preserve">– </w:t>
                  </w:r>
                </w:p>
              </w:tc>
            </w:tr>
            <w:tr w:rsidR="007544CA" w:rsidRPr="00FC101B" w:rsidTr="00133508">
              <w:tc>
                <w:tcPr>
                  <w:tcW w:w="2118" w:type="pct"/>
                  <w:tcBorders>
                    <w:bottom w:val="single" w:sz="6" w:space="0" w:color="BFBFBF"/>
                  </w:tcBorders>
                  <w:shd w:val="clear" w:color="auto" w:fill="auto"/>
                  <w:vAlign w:val="center"/>
                </w:tcPr>
                <w:p w:rsidR="007544CA" w:rsidRPr="00A9616E" w:rsidRDefault="007544CA" w:rsidP="00133508">
                  <w:pPr>
                    <w:pStyle w:val="TableBodyText"/>
                    <w:spacing w:after="20"/>
                    <w:jc w:val="left"/>
                    <w:rPr>
                      <w:b/>
                    </w:rPr>
                  </w:pPr>
                  <w:r w:rsidRPr="00A9616E">
                    <w:rPr>
                      <w:b/>
                    </w:rPr>
                    <w:t>Total</w:t>
                  </w:r>
                </w:p>
              </w:tc>
              <w:tc>
                <w:tcPr>
                  <w:tcW w:w="480" w:type="pct"/>
                  <w:tcBorders>
                    <w:bottom w:val="single" w:sz="6" w:space="0" w:color="BFBFBF"/>
                  </w:tcBorders>
                  <w:vAlign w:val="bottom"/>
                </w:tcPr>
                <w:p w:rsidR="007544CA" w:rsidRPr="00A9616E" w:rsidRDefault="007544CA" w:rsidP="00133508">
                  <w:pPr>
                    <w:pStyle w:val="TableBodyText"/>
                    <w:spacing w:after="20"/>
                    <w:rPr>
                      <w:b/>
                    </w:rPr>
                  </w:pPr>
                  <w:r w:rsidRPr="00A9616E">
                    <w:rPr>
                      <w:b/>
                    </w:rPr>
                    <w:t>1717.0</w:t>
                  </w:r>
                </w:p>
              </w:tc>
              <w:tc>
                <w:tcPr>
                  <w:tcW w:w="480" w:type="pct"/>
                  <w:tcBorders>
                    <w:bottom w:val="single" w:sz="6" w:space="0" w:color="BFBFBF"/>
                  </w:tcBorders>
                  <w:vAlign w:val="bottom"/>
                </w:tcPr>
                <w:p w:rsidR="007544CA" w:rsidRPr="00A9616E" w:rsidRDefault="007544CA" w:rsidP="00133508">
                  <w:pPr>
                    <w:pStyle w:val="TableBodyText"/>
                    <w:spacing w:after="20"/>
                    <w:rPr>
                      <w:b/>
                    </w:rPr>
                  </w:pPr>
                  <w:r w:rsidRPr="00A9616E">
                    <w:rPr>
                      <w:b/>
                    </w:rPr>
                    <w:t>1407.4</w:t>
                  </w:r>
                </w:p>
              </w:tc>
              <w:tc>
                <w:tcPr>
                  <w:tcW w:w="480" w:type="pct"/>
                  <w:tcBorders>
                    <w:bottom w:val="single" w:sz="6" w:space="0" w:color="BFBFBF"/>
                  </w:tcBorders>
                  <w:vAlign w:val="bottom"/>
                </w:tcPr>
                <w:p w:rsidR="007544CA" w:rsidRPr="00A9616E" w:rsidRDefault="007544CA" w:rsidP="00133508">
                  <w:pPr>
                    <w:pStyle w:val="TableBodyText"/>
                    <w:spacing w:after="20"/>
                    <w:rPr>
                      <w:b/>
                    </w:rPr>
                  </w:pPr>
                  <w:r w:rsidRPr="00A9616E">
                    <w:rPr>
                      <w:b/>
                    </w:rPr>
                    <w:t>1102.7</w:t>
                  </w:r>
                </w:p>
              </w:tc>
              <w:tc>
                <w:tcPr>
                  <w:tcW w:w="480" w:type="pct"/>
                  <w:tcBorders>
                    <w:bottom w:val="single" w:sz="6" w:space="0" w:color="BFBFBF"/>
                  </w:tcBorders>
                  <w:vAlign w:val="bottom"/>
                </w:tcPr>
                <w:p w:rsidR="007544CA" w:rsidRPr="00A9616E" w:rsidRDefault="007544CA" w:rsidP="00133508">
                  <w:pPr>
                    <w:pStyle w:val="TableBodyText"/>
                    <w:spacing w:after="20"/>
                    <w:rPr>
                      <w:b/>
                    </w:rPr>
                  </w:pPr>
                  <w:r w:rsidRPr="00A9616E">
                    <w:rPr>
                      <w:b/>
                    </w:rPr>
                    <w:t>681.5</w:t>
                  </w:r>
                </w:p>
              </w:tc>
              <w:tc>
                <w:tcPr>
                  <w:tcW w:w="480" w:type="pct"/>
                  <w:tcBorders>
                    <w:bottom w:val="single" w:sz="6" w:space="0" w:color="BFBFBF"/>
                  </w:tcBorders>
                  <w:shd w:val="clear" w:color="auto" w:fill="auto"/>
                  <w:vAlign w:val="bottom"/>
                </w:tcPr>
                <w:p w:rsidR="007544CA" w:rsidRPr="00A9616E" w:rsidRDefault="007544CA" w:rsidP="00133508">
                  <w:pPr>
                    <w:pStyle w:val="TableBodyText"/>
                    <w:spacing w:after="20"/>
                    <w:rPr>
                      <w:b/>
                    </w:rPr>
                  </w:pPr>
                  <w:r w:rsidRPr="00A9616E">
                    <w:rPr>
                      <w:b/>
                    </w:rPr>
                    <w:t>523.3</w:t>
                  </w:r>
                </w:p>
              </w:tc>
              <w:tc>
                <w:tcPr>
                  <w:tcW w:w="480" w:type="pct"/>
                  <w:tcBorders>
                    <w:bottom w:val="single" w:sz="6" w:space="0" w:color="BFBFBF"/>
                  </w:tcBorders>
                  <w:shd w:val="clear" w:color="auto" w:fill="auto"/>
                  <w:vAlign w:val="bottom"/>
                </w:tcPr>
                <w:p w:rsidR="007544CA" w:rsidRPr="00A9616E" w:rsidRDefault="007544CA" w:rsidP="00133508">
                  <w:pPr>
                    <w:pStyle w:val="TableBodyText"/>
                    <w:spacing w:after="20"/>
                    <w:rPr>
                      <w:b/>
                    </w:rPr>
                  </w:pPr>
                  <w:r w:rsidRPr="00A9616E">
                    <w:rPr>
                      <w:b/>
                    </w:rPr>
                    <w:t>302.7</w:t>
                  </w:r>
                </w:p>
              </w:tc>
            </w:tr>
          </w:tbl>
          <w:p w:rsidR="007544CA" w:rsidRDefault="007544CA" w:rsidP="00133508">
            <w:pPr>
              <w:pStyle w:val="Box"/>
            </w:pPr>
          </w:p>
        </w:tc>
      </w:tr>
      <w:tr w:rsidR="007544CA" w:rsidTr="00F74259">
        <w:trPr>
          <w:gridAfter w:val="1"/>
          <w:wAfter w:w="20" w:type="dxa"/>
          <w:cantSplit/>
        </w:trPr>
        <w:tc>
          <w:tcPr>
            <w:tcW w:w="8771" w:type="dxa"/>
            <w:tcBorders>
              <w:top w:val="nil"/>
              <w:left w:val="nil"/>
              <w:bottom w:val="nil"/>
              <w:right w:val="nil"/>
            </w:tcBorders>
            <w:shd w:val="clear" w:color="auto" w:fill="auto"/>
          </w:tcPr>
          <w:p w:rsidR="007544CA" w:rsidRDefault="007544CA" w:rsidP="00133508">
            <w:pPr>
              <w:pStyle w:val="Note"/>
              <w:rPr>
                <w:i/>
              </w:rPr>
            </w:pPr>
            <w:r>
              <w:rPr>
                <w:rFonts w:cs="Arial"/>
                <w:szCs w:val="18"/>
              </w:rPr>
              <w:t xml:space="preserve">– Nil. </w:t>
            </w:r>
            <w:r w:rsidRPr="00C74A79">
              <w:rPr>
                <w:rFonts w:cs="Arial"/>
                <w:szCs w:val="18"/>
              </w:rPr>
              <w:t>Figures may not add to totals due to rounding.</w:t>
            </w:r>
            <w:r>
              <w:rPr>
                <w:rFonts w:cs="Arial"/>
                <w:szCs w:val="18"/>
              </w:rPr>
              <w:t xml:space="preserve"> </w:t>
            </w:r>
            <w:r w:rsidRPr="008E77FE">
              <w:rPr>
                <w:rStyle w:val="NoteLabel"/>
              </w:rPr>
              <w:t>a</w:t>
            </w:r>
            <w:r>
              <w:rPr>
                <w:rStyle w:val="NoteLabel"/>
              </w:rPr>
              <w:t> </w:t>
            </w:r>
            <w:r w:rsidRPr="00C74A79">
              <w:t>Tariff assistance estimates are derived using ABS Industry Gross Value Added and other supporting data.</w:t>
            </w:r>
            <w:r>
              <w:t xml:space="preserve"> </w:t>
            </w:r>
            <w:r>
              <w:rPr>
                <w:rStyle w:val="NoteLabel"/>
              </w:rPr>
              <w:t>b </w:t>
            </w:r>
            <w:r w:rsidRPr="00C74A79">
              <w:t>Unallocated includes budgetary measures where details of beneficiaries are unknown. These categories are not applicable for tariff assistance.</w:t>
            </w:r>
            <w:r>
              <w:t xml:space="preserve"> </w:t>
            </w:r>
          </w:p>
        </w:tc>
      </w:tr>
      <w:tr w:rsidR="007544CA" w:rsidTr="00F74259">
        <w:trPr>
          <w:gridAfter w:val="1"/>
          <w:wAfter w:w="20" w:type="dxa"/>
          <w:cantSplit/>
        </w:trPr>
        <w:tc>
          <w:tcPr>
            <w:tcW w:w="8771" w:type="dxa"/>
            <w:tcBorders>
              <w:top w:val="nil"/>
              <w:left w:val="nil"/>
              <w:bottom w:val="single" w:sz="6" w:space="0" w:color="78A22F" w:themeColor="accent1"/>
              <w:right w:val="nil"/>
            </w:tcBorders>
            <w:shd w:val="clear" w:color="auto" w:fill="auto"/>
          </w:tcPr>
          <w:p w:rsidR="007544CA" w:rsidRDefault="007544CA" w:rsidP="00F74259">
            <w:pPr>
              <w:pStyle w:val="Source"/>
              <w:spacing w:before="60" w:after="80"/>
            </w:pPr>
            <w:r>
              <w:rPr>
                <w:i/>
              </w:rPr>
              <w:t>Source</w:t>
            </w:r>
            <w:r w:rsidRPr="00167F06">
              <w:t xml:space="preserve">: </w:t>
            </w:r>
            <w:r>
              <w:t xml:space="preserve">Commission estimates. </w:t>
            </w:r>
          </w:p>
        </w:tc>
      </w:tr>
      <w:tr w:rsidR="007544CA" w:rsidTr="00133508">
        <w:tc>
          <w:tcPr>
            <w:tcW w:w="8791" w:type="dxa"/>
            <w:gridSpan w:val="2"/>
            <w:tcBorders>
              <w:top w:val="single" w:sz="6" w:space="0" w:color="78A22F"/>
              <w:left w:val="nil"/>
              <w:bottom w:val="nil"/>
              <w:right w:val="nil"/>
            </w:tcBorders>
            <w:shd w:val="clear" w:color="auto" w:fill="auto"/>
          </w:tcPr>
          <w:p w:rsidR="007544CA" w:rsidRDefault="007544CA" w:rsidP="00133508">
            <w:pPr>
              <w:pStyle w:val="TableTitle"/>
              <w:ind w:left="1304" w:hanging="1304"/>
            </w:pPr>
            <w:r>
              <w:rPr>
                <w:b w:val="0"/>
              </w:rPr>
              <w:lastRenderedPageBreak/>
              <w:t xml:space="preserve">Table </w:t>
            </w:r>
            <w:r>
              <w:rPr>
                <w:b w:val="0"/>
              </w:rPr>
              <w:fldChar w:fldCharType="begin" w:fldLock="1"/>
            </w:r>
            <w:r>
              <w:rPr>
                <w:b w:val="0"/>
              </w:rPr>
              <w:instrText xml:space="preserve"> COMMENTS  \* MERGEFORMAT </w:instrText>
            </w:r>
            <w:r>
              <w:rPr>
                <w:b w:val="0"/>
              </w:rPr>
              <w:fldChar w:fldCharType="separate"/>
            </w:r>
            <w:proofErr w:type="spellStart"/>
            <w:r>
              <w:rPr>
                <w:b w:val="0"/>
              </w:rPr>
              <w:t>A.</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2</w:t>
            </w:r>
            <w:proofErr w:type="spellEnd"/>
            <w:r>
              <w:rPr>
                <w:b w:val="0"/>
              </w:rPr>
              <w:fldChar w:fldCharType="end"/>
            </w:r>
            <w:r>
              <w:tab/>
              <w:t>Budgetary assistance by industry grouping, 2009</w:t>
            </w:r>
            <w:r>
              <w:noBreakHyphen/>
              <w:t>10 to 2014</w:t>
            </w:r>
            <w:r>
              <w:noBreakHyphen/>
              <w:t>15</w:t>
            </w:r>
          </w:p>
          <w:p w:rsidR="007544CA" w:rsidRPr="00784A05" w:rsidRDefault="007544CA" w:rsidP="00133508">
            <w:pPr>
              <w:pStyle w:val="Subtitle"/>
              <w:ind w:left="1304"/>
            </w:pPr>
            <w:r>
              <w:t>$ million (nominal)</w:t>
            </w:r>
          </w:p>
        </w:tc>
      </w:tr>
      <w:tr w:rsidR="007544CA" w:rsidTr="00133508">
        <w:trPr>
          <w:cantSplit/>
        </w:trPr>
        <w:tc>
          <w:tcPr>
            <w:tcW w:w="8791" w:type="dxa"/>
            <w:gridSpan w:val="2"/>
            <w:tcBorders>
              <w:top w:val="nil"/>
              <w:left w:val="nil"/>
              <w:bottom w:val="nil"/>
              <w:right w:val="nil"/>
            </w:tcBorders>
            <w:shd w:val="clear" w:color="auto" w:fill="auto"/>
          </w:tcPr>
          <w:tbl>
            <w:tblPr>
              <w:tblW w:w="8507" w:type="dxa"/>
              <w:tblCellMar>
                <w:top w:w="28" w:type="dxa"/>
                <w:left w:w="0" w:type="dxa"/>
                <w:right w:w="0" w:type="dxa"/>
              </w:tblCellMar>
              <w:tblLook w:val="0000" w:firstRow="0" w:lastRow="0" w:firstColumn="0" w:lastColumn="0" w:noHBand="0" w:noVBand="0"/>
            </w:tblPr>
            <w:tblGrid>
              <w:gridCol w:w="3237"/>
              <w:gridCol w:w="878"/>
              <w:gridCol w:w="878"/>
              <w:gridCol w:w="880"/>
              <w:gridCol w:w="878"/>
              <w:gridCol w:w="878"/>
              <w:gridCol w:w="878"/>
            </w:tblGrid>
            <w:tr w:rsidR="007544CA" w:rsidRPr="002B6A72" w:rsidTr="00133508">
              <w:tc>
                <w:tcPr>
                  <w:tcW w:w="1903" w:type="pct"/>
                  <w:tcBorders>
                    <w:top w:val="single" w:sz="6" w:space="0" w:color="BFBFBF"/>
                    <w:bottom w:val="single" w:sz="6" w:space="0" w:color="BFBFBF"/>
                  </w:tcBorders>
                  <w:shd w:val="clear" w:color="auto" w:fill="auto"/>
                  <w:tcMar>
                    <w:top w:w="28" w:type="dxa"/>
                  </w:tcMar>
                </w:tcPr>
                <w:p w:rsidR="007544CA" w:rsidRPr="002B6A72" w:rsidRDefault="007544CA" w:rsidP="00133508">
                  <w:pPr>
                    <w:pStyle w:val="TableColumnHeading"/>
                    <w:jc w:val="left"/>
                    <w:rPr>
                      <w:szCs w:val="18"/>
                    </w:rPr>
                  </w:pPr>
                  <w:r w:rsidRPr="002B6A72">
                    <w:rPr>
                      <w:szCs w:val="18"/>
                    </w:rPr>
                    <w:t>Industry grouping</w:t>
                  </w:r>
                </w:p>
              </w:tc>
              <w:tc>
                <w:tcPr>
                  <w:tcW w:w="516"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2009</w:t>
                  </w:r>
                  <w:r>
                    <w:rPr>
                      <w:szCs w:val="18"/>
                    </w:rPr>
                    <w:noBreakHyphen/>
                  </w:r>
                  <w:r w:rsidRPr="00AB1D7C">
                    <w:rPr>
                      <w:szCs w:val="18"/>
                    </w:rPr>
                    <w:t>10</w:t>
                  </w:r>
                </w:p>
              </w:tc>
              <w:tc>
                <w:tcPr>
                  <w:tcW w:w="516"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2010</w:t>
                  </w:r>
                  <w:r>
                    <w:rPr>
                      <w:szCs w:val="18"/>
                    </w:rPr>
                    <w:noBreakHyphen/>
                  </w:r>
                  <w:r w:rsidRPr="00AB1D7C">
                    <w:rPr>
                      <w:szCs w:val="18"/>
                    </w:rPr>
                    <w:t>11</w:t>
                  </w:r>
                </w:p>
              </w:tc>
              <w:tc>
                <w:tcPr>
                  <w:tcW w:w="517"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2011</w:t>
                  </w:r>
                  <w:r>
                    <w:rPr>
                      <w:szCs w:val="18"/>
                    </w:rPr>
                    <w:noBreakHyphen/>
                  </w:r>
                  <w:r w:rsidRPr="00AB1D7C">
                    <w:rPr>
                      <w:szCs w:val="18"/>
                    </w:rPr>
                    <w:t>12</w:t>
                  </w:r>
                </w:p>
              </w:tc>
              <w:tc>
                <w:tcPr>
                  <w:tcW w:w="516"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2012</w:t>
                  </w:r>
                  <w:r>
                    <w:rPr>
                      <w:szCs w:val="18"/>
                    </w:rPr>
                    <w:noBreakHyphen/>
                  </w:r>
                  <w:r w:rsidRPr="00AB1D7C">
                    <w:rPr>
                      <w:szCs w:val="18"/>
                    </w:rPr>
                    <w:t>13</w:t>
                  </w:r>
                </w:p>
              </w:tc>
              <w:tc>
                <w:tcPr>
                  <w:tcW w:w="516" w:type="pct"/>
                  <w:tcBorders>
                    <w:top w:val="single" w:sz="6" w:space="0" w:color="BFBFBF"/>
                    <w:bottom w:val="single" w:sz="6" w:space="0" w:color="BFBFBF"/>
                  </w:tcBorders>
                  <w:shd w:val="clear" w:color="auto" w:fill="auto"/>
                  <w:tcMar>
                    <w:top w:w="28" w:type="dxa"/>
                  </w:tcMar>
                </w:tcPr>
                <w:p w:rsidR="007544CA" w:rsidRPr="00AB1D7C" w:rsidRDefault="007544CA" w:rsidP="00133508">
                  <w:pPr>
                    <w:pStyle w:val="TableColumnHeading"/>
                    <w:ind w:left="0" w:right="57"/>
                    <w:rPr>
                      <w:szCs w:val="18"/>
                    </w:rPr>
                  </w:pPr>
                  <w:r w:rsidRPr="00AB1D7C">
                    <w:rPr>
                      <w:szCs w:val="18"/>
                    </w:rPr>
                    <w:t>2013</w:t>
                  </w:r>
                  <w:r>
                    <w:rPr>
                      <w:szCs w:val="18"/>
                    </w:rPr>
                    <w:noBreakHyphen/>
                  </w:r>
                  <w:r w:rsidRPr="00AB1D7C">
                    <w:rPr>
                      <w:szCs w:val="18"/>
                    </w:rPr>
                    <w:t>14</w:t>
                  </w:r>
                </w:p>
              </w:tc>
              <w:tc>
                <w:tcPr>
                  <w:tcW w:w="516" w:type="pct"/>
                  <w:tcBorders>
                    <w:top w:val="single" w:sz="6" w:space="0" w:color="BFBFBF"/>
                    <w:bottom w:val="single" w:sz="6" w:space="0" w:color="BFBFBF"/>
                  </w:tcBorders>
                  <w:shd w:val="clear" w:color="auto" w:fill="auto"/>
                  <w:tcMar>
                    <w:top w:w="28" w:type="dxa"/>
                  </w:tcMar>
                </w:tcPr>
                <w:p w:rsidR="007544CA" w:rsidRPr="00AB1D7C" w:rsidRDefault="007544CA" w:rsidP="00133508">
                  <w:pPr>
                    <w:pStyle w:val="TableColumnHeading"/>
                    <w:ind w:left="0" w:right="57"/>
                    <w:rPr>
                      <w:szCs w:val="18"/>
                    </w:rPr>
                  </w:pPr>
                  <w:r w:rsidRPr="00AB1D7C">
                    <w:rPr>
                      <w:szCs w:val="18"/>
                    </w:rPr>
                    <w:t>201</w:t>
                  </w:r>
                  <w:r>
                    <w:rPr>
                      <w:szCs w:val="18"/>
                    </w:rPr>
                    <w:t>4</w:t>
                  </w:r>
                  <w:r>
                    <w:rPr>
                      <w:szCs w:val="18"/>
                    </w:rPr>
                    <w:noBreakHyphen/>
                  </w:r>
                  <w:r w:rsidRPr="00AB1D7C">
                    <w:rPr>
                      <w:szCs w:val="18"/>
                    </w:rPr>
                    <w:t>1</w:t>
                  </w:r>
                  <w:r>
                    <w:rPr>
                      <w:szCs w:val="18"/>
                    </w:rPr>
                    <w:t>5</w:t>
                  </w:r>
                </w:p>
              </w:tc>
            </w:tr>
            <w:tr w:rsidR="007544CA" w:rsidRPr="00A9616E" w:rsidTr="00133508">
              <w:tc>
                <w:tcPr>
                  <w:tcW w:w="1903" w:type="pct"/>
                  <w:tcBorders>
                    <w:top w:val="single" w:sz="6" w:space="0" w:color="BFBFBF"/>
                  </w:tcBorders>
                  <w:vAlign w:val="bottom"/>
                </w:tcPr>
                <w:p w:rsidR="007544CA" w:rsidRPr="00A9616E" w:rsidRDefault="007544CA" w:rsidP="00133508">
                  <w:pPr>
                    <w:pStyle w:val="TableBodyText"/>
                    <w:jc w:val="left"/>
                    <w:rPr>
                      <w:b/>
                    </w:rPr>
                  </w:pPr>
                  <w:r w:rsidRPr="00A9616E">
                    <w:rPr>
                      <w:b/>
                    </w:rPr>
                    <w:t>Primary production</w:t>
                  </w:r>
                </w:p>
              </w:tc>
              <w:tc>
                <w:tcPr>
                  <w:tcW w:w="516" w:type="pct"/>
                  <w:tcBorders>
                    <w:top w:val="single" w:sz="6" w:space="0" w:color="BFBFBF"/>
                  </w:tcBorders>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1837.6</w:t>
                  </w:r>
                </w:p>
              </w:tc>
              <w:tc>
                <w:tcPr>
                  <w:tcW w:w="516" w:type="pct"/>
                  <w:tcBorders>
                    <w:top w:val="single" w:sz="6" w:space="0" w:color="BFBFBF"/>
                  </w:tcBorders>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1527.9</w:t>
                  </w:r>
                </w:p>
              </w:tc>
              <w:tc>
                <w:tcPr>
                  <w:tcW w:w="517" w:type="pct"/>
                  <w:tcBorders>
                    <w:top w:val="single" w:sz="6" w:space="0" w:color="BFBFBF"/>
                  </w:tcBorders>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1553.1</w:t>
                  </w:r>
                </w:p>
              </w:tc>
              <w:tc>
                <w:tcPr>
                  <w:tcW w:w="516" w:type="pct"/>
                  <w:tcBorders>
                    <w:top w:val="single" w:sz="6" w:space="0" w:color="BFBFBF"/>
                  </w:tcBorders>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1206.0</w:t>
                  </w:r>
                </w:p>
              </w:tc>
              <w:tc>
                <w:tcPr>
                  <w:tcW w:w="516" w:type="pct"/>
                  <w:tcBorders>
                    <w:top w:val="single" w:sz="6" w:space="0" w:color="BFBFBF"/>
                  </w:tcBorders>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1183.1</w:t>
                  </w:r>
                </w:p>
              </w:tc>
              <w:tc>
                <w:tcPr>
                  <w:tcW w:w="516" w:type="pct"/>
                  <w:tcBorders>
                    <w:top w:val="single" w:sz="6" w:space="0" w:color="BFBFBF"/>
                  </w:tcBorders>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1197.7</w:t>
                  </w:r>
                </w:p>
              </w:tc>
            </w:tr>
            <w:tr w:rsidR="007544CA" w:rsidRPr="002B6A72" w:rsidTr="00133508">
              <w:tc>
                <w:tcPr>
                  <w:tcW w:w="1903" w:type="pct"/>
                  <w:vAlign w:val="center"/>
                </w:tcPr>
                <w:p w:rsidR="007544CA" w:rsidRPr="002B6A72" w:rsidRDefault="007544CA" w:rsidP="00133508">
                  <w:pPr>
                    <w:pStyle w:val="TableBodyText"/>
                    <w:spacing w:after="20"/>
                    <w:jc w:val="left"/>
                  </w:pPr>
                  <w:r w:rsidRPr="002B6A72">
                    <w:t>Horticulture and fruit growing</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187.0</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160.9</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136.3</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121.3</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119.1</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109.8</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Sheep, beef cattle and grain farming</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938.2</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760.6</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662.8</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523.1</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554.4</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572.4</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Other crop growing</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95.2</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46.8</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94.1</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86.3</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76.8</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73.8</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Dairy cattle farming</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133.9</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96.6</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78.0</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51.0</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57.9</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68.6</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Other livestock farming</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47.6</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43.9</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66.2</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42.9</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36.7</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43.9</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Aquaculture and fishing</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83.6</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77.8</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67.2</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60.2</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63.2</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66.7</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Forestry and logging</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38.7</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46.1</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72.3</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46.5</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25.1</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25.0</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Primary production support services</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32.5</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33.0</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21.9</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24.1</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21.8</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19.7</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Unallocated primary production</w:t>
                  </w:r>
                  <w:r>
                    <w:rPr>
                      <w:rStyle w:val="NoteLabel"/>
                    </w:rPr>
                    <w:t>a</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281.1</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262.2</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354.3</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250.6</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228.1</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217.8</w:t>
                  </w:r>
                </w:p>
              </w:tc>
            </w:tr>
            <w:tr w:rsidR="007544CA" w:rsidRPr="00A9616E" w:rsidTr="00133508">
              <w:tc>
                <w:tcPr>
                  <w:tcW w:w="1903" w:type="pct"/>
                  <w:shd w:val="clear" w:color="auto" w:fill="auto"/>
                  <w:vAlign w:val="bottom"/>
                </w:tcPr>
                <w:p w:rsidR="007544CA" w:rsidRPr="00A9616E" w:rsidRDefault="007544CA" w:rsidP="00133508">
                  <w:pPr>
                    <w:pStyle w:val="TableBodyText"/>
                    <w:jc w:val="left"/>
                    <w:rPr>
                      <w:b/>
                    </w:rPr>
                  </w:pPr>
                  <w:r w:rsidRPr="00A9616E">
                    <w:rPr>
                      <w:b/>
                    </w:rPr>
                    <w:t>Mining</w:t>
                  </w:r>
                </w:p>
              </w:tc>
              <w:tc>
                <w:tcPr>
                  <w:tcW w:w="516" w:type="pct"/>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647.2</w:t>
                  </w:r>
                </w:p>
              </w:tc>
              <w:tc>
                <w:tcPr>
                  <w:tcW w:w="516" w:type="pct"/>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1156.5</w:t>
                  </w:r>
                </w:p>
              </w:tc>
              <w:tc>
                <w:tcPr>
                  <w:tcW w:w="517" w:type="pct"/>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745.6</w:t>
                  </w:r>
                </w:p>
              </w:tc>
              <w:tc>
                <w:tcPr>
                  <w:tcW w:w="516" w:type="pct"/>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491.3</w:t>
                  </w:r>
                </w:p>
              </w:tc>
              <w:tc>
                <w:tcPr>
                  <w:tcW w:w="516" w:type="pct"/>
                  <w:shd w:val="clear" w:color="auto" w:fill="auto"/>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463.5</w:t>
                  </w:r>
                </w:p>
              </w:tc>
              <w:tc>
                <w:tcPr>
                  <w:tcW w:w="516" w:type="pct"/>
                  <w:shd w:val="clear" w:color="auto" w:fill="auto"/>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552.0</w:t>
                  </w:r>
                </w:p>
              </w:tc>
            </w:tr>
            <w:tr w:rsidR="007544CA" w:rsidRPr="00A9616E" w:rsidTr="00133508">
              <w:tc>
                <w:tcPr>
                  <w:tcW w:w="1903" w:type="pct"/>
                  <w:shd w:val="clear" w:color="auto" w:fill="auto"/>
                  <w:vAlign w:val="bottom"/>
                </w:tcPr>
                <w:p w:rsidR="007544CA" w:rsidRPr="00A9616E" w:rsidRDefault="007544CA" w:rsidP="00133508">
                  <w:pPr>
                    <w:pStyle w:val="TableBodyText"/>
                    <w:jc w:val="left"/>
                    <w:rPr>
                      <w:b/>
                    </w:rPr>
                  </w:pPr>
                  <w:r w:rsidRPr="00A9616E">
                    <w:rPr>
                      <w:b/>
                    </w:rPr>
                    <w:t>Manufacturing</w:t>
                  </w:r>
                </w:p>
              </w:tc>
              <w:tc>
                <w:tcPr>
                  <w:tcW w:w="516" w:type="pct"/>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2080.4</w:t>
                  </w:r>
                </w:p>
              </w:tc>
              <w:tc>
                <w:tcPr>
                  <w:tcW w:w="516" w:type="pct"/>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1933.6</w:t>
                  </w:r>
                </w:p>
              </w:tc>
              <w:tc>
                <w:tcPr>
                  <w:tcW w:w="517" w:type="pct"/>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1851.5</w:t>
                  </w:r>
                </w:p>
              </w:tc>
              <w:tc>
                <w:tcPr>
                  <w:tcW w:w="516" w:type="pct"/>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1618.3</w:t>
                  </w:r>
                </w:p>
              </w:tc>
              <w:tc>
                <w:tcPr>
                  <w:tcW w:w="516" w:type="pct"/>
                  <w:shd w:val="clear" w:color="auto" w:fill="auto"/>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1620.3</w:t>
                  </w:r>
                </w:p>
              </w:tc>
              <w:tc>
                <w:tcPr>
                  <w:tcW w:w="516" w:type="pct"/>
                  <w:shd w:val="clear" w:color="auto" w:fill="auto"/>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1484.3</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Food, beverages and tobacco</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157.7</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192.6</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108.5</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152.4</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191.7</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120.0</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Textile</w:t>
                  </w:r>
                  <w:r>
                    <w:t>s</w:t>
                  </w:r>
                  <w:r w:rsidRPr="002B6A72">
                    <w:t>, leather, clothing and footwear</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139.2</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134.8</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61.0</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56.3</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59.2</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52.8</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Wood and paper products</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33.6</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36.3</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17.3</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30.0</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20.2</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16.5</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Printing and recorded media</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18.3</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17.9</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16.3</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13.0</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14.5</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9.9</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Petroleum, coal, chemical and rubber</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276.9</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353.0</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279.2</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293.5</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300.2</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291.9</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Non</w:t>
                  </w:r>
                  <w:r>
                    <w:noBreakHyphen/>
                  </w:r>
                  <w:r w:rsidRPr="002B6A72">
                    <w:t>metallic mineral products</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26.4</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27.5</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16.7</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23.5</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35.5</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19.5</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Metal and fabricated metal products</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132.9</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140.5</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288.7</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194.2</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200.6</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257.6</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Motor vehicle</w:t>
                  </w:r>
                  <w:r>
                    <w:t>s</w:t>
                  </w:r>
                  <w:r w:rsidRPr="002B6A72">
                    <w:t xml:space="preserve"> and parts</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747.6</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573.2</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625.4</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446.6</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388.3</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319.7</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Other transport equipment</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36.1</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29.3</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22.0</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21.1</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28.4</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18.1</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Machinery &amp; equipment manufacturing</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209.8</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166.2</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154.0</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153.2</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160.8</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126.9</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Furniture and other manufacturing</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30.6</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25.5</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32.3</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31.3</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23.1</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15.7</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 xml:space="preserve">Unallocated </w:t>
                  </w:r>
                  <w:r>
                    <w:t>manufacturing</w:t>
                  </w:r>
                  <w:r>
                    <w:rPr>
                      <w:rStyle w:val="NoteLabel"/>
                    </w:rPr>
                    <w:t>a</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271.4</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236.8</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230.0</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203.2</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197.7</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235.8</w:t>
                  </w:r>
                </w:p>
              </w:tc>
            </w:tr>
            <w:tr w:rsidR="007544CA" w:rsidRPr="00A9616E" w:rsidTr="00133508">
              <w:tc>
                <w:tcPr>
                  <w:tcW w:w="1903" w:type="pct"/>
                  <w:shd w:val="clear" w:color="auto" w:fill="auto"/>
                  <w:vAlign w:val="bottom"/>
                </w:tcPr>
                <w:p w:rsidR="007544CA" w:rsidRPr="00A9616E" w:rsidRDefault="007544CA" w:rsidP="00133508">
                  <w:pPr>
                    <w:pStyle w:val="TableBodyText"/>
                    <w:jc w:val="left"/>
                    <w:rPr>
                      <w:b/>
                    </w:rPr>
                  </w:pPr>
                  <w:r w:rsidRPr="00A9616E">
                    <w:rPr>
                      <w:b/>
                    </w:rPr>
                    <w:t>Services</w:t>
                  </w:r>
                </w:p>
              </w:tc>
              <w:tc>
                <w:tcPr>
                  <w:tcW w:w="516" w:type="pct"/>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4521.3</w:t>
                  </w:r>
                </w:p>
              </w:tc>
              <w:tc>
                <w:tcPr>
                  <w:tcW w:w="516" w:type="pct"/>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4510.4</w:t>
                  </w:r>
                </w:p>
              </w:tc>
              <w:tc>
                <w:tcPr>
                  <w:tcW w:w="517" w:type="pct"/>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5070.2</w:t>
                  </w:r>
                </w:p>
              </w:tc>
              <w:tc>
                <w:tcPr>
                  <w:tcW w:w="516" w:type="pct"/>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3683.4</w:t>
                  </w:r>
                </w:p>
              </w:tc>
              <w:tc>
                <w:tcPr>
                  <w:tcW w:w="516" w:type="pct"/>
                  <w:shd w:val="clear" w:color="auto" w:fill="auto"/>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3506.1</w:t>
                  </w:r>
                </w:p>
              </w:tc>
              <w:tc>
                <w:tcPr>
                  <w:tcW w:w="516" w:type="pct"/>
                  <w:shd w:val="clear" w:color="auto" w:fill="auto"/>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3431.4</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Electricity, gas, water &amp; waste services</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174.3</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460.2</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1106.1</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118.1</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141.4</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210.0</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Construction</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301.2</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208.9</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210.6</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153.9</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145.4</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74.7</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Wholesale trade</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328.0</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439.1</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285.6</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213.6</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180.5</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140.4</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Retail trade</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263.5</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197.7</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136.2</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107.0</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105.7</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93.8</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Accommodation &amp; food services</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85.8</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71.1</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67.7</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65.3</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75.8</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73.1</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Transport, postal &amp; warehousing</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275.8</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266.4</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245.7</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171.3</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109.8</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92.4</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Information &amp; telecommunications</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209.4</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263.2</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293.6</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354.2</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169.9</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118.1</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Financial and insurance services</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1003.5</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901.3</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1036.4</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938.2</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1013.4</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1215.7</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Property, professional &amp; admin.</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908.2</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936.9</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859.1</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713.6</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699.7</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719.5</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Public administration and safety</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27.4</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21.3</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15.9</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13.9</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10.6</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13.6</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Education and training</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41.7</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30.2</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32.7</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27.3</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23.6</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23.9</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Health care and social assistance</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217.7</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179.2</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184.4</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172.1</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184.2</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174.0</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Arts and recreation services</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406.4</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301.3</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349.2</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405.9</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444.4</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312.2</w:t>
                  </w:r>
                </w:p>
              </w:tc>
            </w:tr>
            <w:tr w:rsidR="007544CA" w:rsidRPr="002B6A72" w:rsidTr="00133508">
              <w:tc>
                <w:tcPr>
                  <w:tcW w:w="1903" w:type="pct"/>
                  <w:shd w:val="clear" w:color="auto" w:fill="auto"/>
                  <w:vAlign w:val="center"/>
                </w:tcPr>
                <w:p w:rsidR="007544CA" w:rsidRPr="002B6A72" w:rsidRDefault="007544CA" w:rsidP="00133508">
                  <w:pPr>
                    <w:pStyle w:val="TableBodyText"/>
                    <w:spacing w:after="20"/>
                    <w:jc w:val="left"/>
                  </w:pPr>
                  <w:r w:rsidRPr="002B6A72">
                    <w:t>Other services</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83.7</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64.1</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68.0</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58.2</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44.9</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31.2</w:t>
                  </w:r>
                </w:p>
              </w:tc>
            </w:tr>
            <w:tr w:rsidR="007544CA" w:rsidRPr="002B6A72" w:rsidTr="00133508">
              <w:tc>
                <w:tcPr>
                  <w:tcW w:w="1903" w:type="pct"/>
                  <w:shd w:val="clear" w:color="auto" w:fill="auto"/>
                  <w:vAlign w:val="center"/>
                </w:tcPr>
                <w:p w:rsidR="007544CA" w:rsidRPr="0001641F" w:rsidRDefault="007544CA" w:rsidP="00133508">
                  <w:pPr>
                    <w:pStyle w:val="TableBodyText"/>
                    <w:spacing w:after="20"/>
                    <w:jc w:val="left"/>
                  </w:pPr>
                  <w:r w:rsidRPr="0001641F">
                    <w:t>Unallocated services</w:t>
                  </w:r>
                  <w:r>
                    <w:rPr>
                      <w:rStyle w:val="NoteLabel"/>
                    </w:rPr>
                    <w:t>a</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194.7</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169.3</w:t>
                  </w:r>
                </w:p>
              </w:tc>
              <w:tc>
                <w:tcPr>
                  <w:tcW w:w="517"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179.0</w:t>
                  </w:r>
                </w:p>
              </w:tc>
              <w:tc>
                <w:tcPr>
                  <w:tcW w:w="516" w:type="pct"/>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170.8</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156.8</w:t>
                  </w:r>
                </w:p>
              </w:tc>
              <w:tc>
                <w:tcPr>
                  <w:tcW w:w="516" w:type="pct"/>
                  <w:shd w:val="clear" w:color="auto" w:fill="auto"/>
                  <w:vAlign w:val="bottom"/>
                </w:tcPr>
                <w:p w:rsidR="007544CA" w:rsidRPr="001D2C31" w:rsidRDefault="007544CA" w:rsidP="00133508">
                  <w:pPr>
                    <w:pStyle w:val="TableBodyText"/>
                    <w:spacing w:after="20"/>
                    <w:rPr>
                      <w:rFonts w:asciiTheme="minorHAnsi" w:hAnsiTheme="minorHAnsi" w:cstheme="minorHAnsi"/>
                    </w:rPr>
                  </w:pPr>
                  <w:r w:rsidRPr="001D2C31">
                    <w:rPr>
                      <w:rFonts w:asciiTheme="minorHAnsi" w:hAnsiTheme="minorHAnsi" w:cstheme="minorHAnsi"/>
                    </w:rPr>
                    <w:t>138.9</w:t>
                  </w:r>
                </w:p>
              </w:tc>
            </w:tr>
            <w:tr w:rsidR="007544CA" w:rsidRPr="00A9616E" w:rsidTr="00133508">
              <w:tc>
                <w:tcPr>
                  <w:tcW w:w="1903" w:type="pct"/>
                  <w:shd w:val="clear" w:color="auto" w:fill="auto"/>
                  <w:vAlign w:val="center"/>
                </w:tcPr>
                <w:p w:rsidR="007544CA" w:rsidRPr="00A9616E" w:rsidRDefault="007544CA" w:rsidP="00133508">
                  <w:pPr>
                    <w:pStyle w:val="TableBodyText"/>
                    <w:jc w:val="left"/>
                    <w:rPr>
                      <w:b/>
                    </w:rPr>
                  </w:pPr>
                  <w:r w:rsidRPr="00A9616E">
                    <w:rPr>
                      <w:b/>
                    </w:rPr>
                    <w:t>Unallocated other</w:t>
                  </w:r>
                  <w:r w:rsidRPr="00A9616E">
                    <w:rPr>
                      <w:rStyle w:val="NoteLabel"/>
                      <w:b w:val="0"/>
                    </w:rPr>
                    <w:t>a</w:t>
                  </w:r>
                </w:p>
              </w:tc>
              <w:tc>
                <w:tcPr>
                  <w:tcW w:w="516" w:type="pct"/>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721.8</w:t>
                  </w:r>
                </w:p>
              </w:tc>
              <w:tc>
                <w:tcPr>
                  <w:tcW w:w="516" w:type="pct"/>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929.1</w:t>
                  </w:r>
                </w:p>
              </w:tc>
              <w:tc>
                <w:tcPr>
                  <w:tcW w:w="517" w:type="pct"/>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972.5</w:t>
                  </w:r>
                </w:p>
              </w:tc>
              <w:tc>
                <w:tcPr>
                  <w:tcW w:w="516" w:type="pct"/>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784.2</w:t>
                  </w:r>
                </w:p>
              </w:tc>
              <w:tc>
                <w:tcPr>
                  <w:tcW w:w="516" w:type="pct"/>
                  <w:shd w:val="clear" w:color="auto" w:fill="auto"/>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1129.5</w:t>
                  </w:r>
                </w:p>
              </w:tc>
              <w:tc>
                <w:tcPr>
                  <w:tcW w:w="516" w:type="pct"/>
                  <w:shd w:val="clear" w:color="auto" w:fill="auto"/>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670.2</w:t>
                  </w:r>
                </w:p>
              </w:tc>
            </w:tr>
            <w:tr w:rsidR="007544CA" w:rsidRPr="00A9616E" w:rsidTr="00133508">
              <w:tc>
                <w:tcPr>
                  <w:tcW w:w="1903" w:type="pct"/>
                  <w:tcBorders>
                    <w:bottom w:val="single" w:sz="6" w:space="0" w:color="BFBFBF"/>
                  </w:tcBorders>
                  <w:shd w:val="clear" w:color="auto" w:fill="auto"/>
                  <w:vAlign w:val="center"/>
                </w:tcPr>
                <w:p w:rsidR="007544CA" w:rsidRPr="00A9616E" w:rsidRDefault="007544CA" w:rsidP="00133508">
                  <w:pPr>
                    <w:pStyle w:val="TableBodyText"/>
                    <w:jc w:val="left"/>
                    <w:rPr>
                      <w:b/>
                    </w:rPr>
                  </w:pPr>
                  <w:r w:rsidRPr="00A9616E">
                    <w:rPr>
                      <w:b/>
                    </w:rPr>
                    <w:t>Total</w:t>
                  </w:r>
                </w:p>
              </w:tc>
              <w:tc>
                <w:tcPr>
                  <w:tcW w:w="516" w:type="pct"/>
                  <w:tcBorders>
                    <w:bottom w:val="single" w:sz="6" w:space="0" w:color="BFBFBF"/>
                  </w:tcBorders>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9808.3</w:t>
                  </w:r>
                </w:p>
              </w:tc>
              <w:tc>
                <w:tcPr>
                  <w:tcW w:w="516" w:type="pct"/>
                  <w:tcBorders>
                    <w:bottom w:val="single" w:sz="6" w:space="0" w:color="BFBFBF"/>
                  </w:tcBorders>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10057.5</w:t>
                  </w:r>
                </w:p>
              </w:tc>
              <w:tc>
                <w:tcPr>
                  <w:tcW w:w="517" w:type="pct"/>
                  <w:tcBorders>
                    <w:bottom w:val="single" w:sz="6" w:space="0" w:color="BFBFBF"/>
                  </w:tcBorders>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10192.9</w:t>
                  </w:r>
                </w:p>
              </w:tc>
              <w:tc>
                <w:tcPr>
                  <w:tcW w:w="516" w:type="pct"/>
                  <w:tcBorders>
                    <w:bottom w:val="single" w:sz="6" w:space="0" w:color="BFBFBF"/>
                  </w:tcBorders>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7783.2</w:t>
                  </w:r>
                </w:p>
              </w:tc>
              <w:tc>
                <w:tcPr>
                  <w:tcW w:w="516" w:type="pct"/>
                  <w:tcBorders>
                    <w:bottom w:val="single" w:sz="6" w:space="0" w:color="BFBFBF"/>
                  </w:tcBorders>
                  <w:shd w:val="clear" w:color="auto" w:fill="auto"/>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7902.4</w:t>
                  </w:r>
                </w:p>
              </w:tc>
              <w:tc>
                <w:tcPr>
                  <w:tcW w:w="516" w:type="pct"/>
                  <w:tcBorders>
                    <w:bottom w:val="single" w:sz="6" w:space="0" w:color="BFBFBF"/>
                  </w:tcBorders>
                  <w:shd w:val="clear" w:color="auto" w:fill="auto"/>
                  <w:vAlign w:val="bottom"/>
                </w:tcPr>
                <w:p w:rsidR="007544CA" w:rsidRPr="00A9616E" w:rsidRDefault="007544CA" w:rsidP="00133508">
                  <w:pPr>
                    <w:pStyle w:val="TableBodyText"/>
                    <w:rPr>
                      <w:rFonts w:asciiTheme="minorHAnsi" w:hAnsiTheme="minorHAnsi" w:cstheme="minorHAnsi"/>
                      <w:b/>
                    </w:rPr>
                  </w:pPr>
                  <w:r w:rsidRPr="00A9616E">
                    <w:rPr>
                      <w:rFonts w:asciiTheme="minorHAnsi" w:hAnsiTheme="minorHAnsi" w:cstheme="minorHAnsi"/>
                      <w:b/>
                    </w:rPr>
                    <w:t>7335.6</w:t>
                  </w:r>
                </w:p>
              </w:tc>
            </w:tr>
          </w:tbl>
          <w:p w:rsidR="007544CA" w:rsidRDefault="007544CA" w:rsidP="00133508">
            <w:pPr>
              <w:pStyle w:val="Box"/>
            </w:pPr>
          </w:p>
        </w:tc>
      </w:tr>
      <w:tr w:rsidR="007544CA" w:rsidTr="00133508">
        <w:trPr>
          <w:cantSplit/>
        </w:trPr>
        <w:tc>
          <w:tcPr>
            <w:tcW w:w="8791" w:type="dxa"/>
            <w:gridSpan w:val="2"/>
            <w:tcBorders>
              <w:top w:val="nil"/>
              <w:left w:val="nil"/>
              <w:bottom w:val="nil"/>
              <w:right w:val="nil"/>
            </w:tcBorders>
            <w:shd w:val="clear" w:color="auto" w:fill="auto"/>
          </w:tcPr>
          <w:p w:rsidR="007544CA" w:rsidRDefault="007544CA" w:rsidP="00133508">
            <w:pPr>
              <w:pStyle w:val="Note"/>
              <w:rPr>
                <w:i/>
              </w:rPr>
            </w:pPr>
            <w:r>
              <w:rPr>
                <w:rFonts w:cs="Arial"/>
                <w:szCs w:val="18"/>
              </w:rPr>
              <w:t xml:space="preserve">– Nil. </w:t>
            </w:r>
            <w:r w:rsidRPr="00C74A79">
              <w:rPr>
                <w:rFonts w:cs="Arial"/>
                <w:szCs w:val="18"/>
              </w:rPr>
              <w:t>Figures may not add to totals due to rounding.</w:t>
            </w:r>
            <w:r>
              <w:rPr>
                <w:rFonts w:cs="Arial"/>
                <w:szCs w:val="18"/>
              </w:rPr>
              <w:t xml:space="preserve"> </w:t>
            </w:r>
            <w:r w:rsidRPr="008E77FE">
              <w:rPr>
                <w:rStyle w:val="NoteLabel"/>
              </w:rPr>
              <w:t>a</w:t>
            </w:r>
            <w:r>
              <w:rPr>
                <w:rStyle w:val="NoteLabel"/>
              </w:rPr>
              <w:t> </w:t>
            </w:r>
            <w:r w:rsidRPr="0001641F">
              <w:t>Unallocated includes budgetary measures where details of beneficiaries are unknown.</w:t>
            </w:r>
            <w:r>
              <w:t xml:space="preserve"> </w:t>
            </w:r>
          </w:p>
        </w:tc>
      </w:tr>
      <w:tr w:rsidR="007544CA" w:rsidTr="00133508">
        <w:trPr>
          <w:cantSplit/>
        </w:trPr>
        <w:tc>
          <w:tcPr>
            <w:tcW w:w="8791" w:type="dxa"/>
            <w:gridSpan w:val="2"/>
            <w:tcBorders>
              <w:top w:val="nil"/>
              <w:left w:val="nil"/>
              <w:bottom w:val="nil"/>
              <w:right w:val="nil"/>
            </w:tcBorders>
            <w:shd w:val="clear" w:color="auto" w:fill="auto"/>
          </w:tcPr>
          <w:p w:rsidR="007544CA" w:rsidRDefault="007544CA" w:rsidP="00133508">
            <w:pPr>
              <w:pStyle w:val="Source"/>
            </w:pPr>
            <w:r>
              <w:rPr>
                <w:i/>
              </w:rPr>
              <w:t>Source</w:t>
            </w:r>
            <w:r w:rsidRPr="00167F06">
              <w:t xml:space="preserve">: </w:t>
            </w:r>
            <w:r>
              <w:t>Commission estimates.</w:t>
            </w:r>
          </w:p>
        </w:tc>
      </w:tr>
      <w:tr w:rsidR="007544CA" w:rsidTr="00133508">
        <w:trPr>
          <w:cantSplit/>
        </w:trPr>
        <w:tc>
          <w:tcPr>
            <w:tcW w:w="8791" w:type="dxa"/>
            <w:gridSpan w:val="2"/>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8791" w:type="dxa"/>
            <w:gridSpan w:val="2"/>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Default="007544CA" w:rsidP="00133508">
            <w:pPr>
              <w:pStyle w:val="TableTitle"/>
            </w:pPr>
            <w:r>
              <w:rPr>
                <w:b w:val="0"/>
              </w:rPr>
              <w:t xml:space="preserve">Table </w:t>
            </w:r>
            <w:r>
              <w:rPr>
                <w:b w:val="0"/>
              </w:rPr>
              <w:fldChar w:fldCharType="begin" w:fldLock="1"/>
            </w:r>
            <w:r>
              <w:rPr>
                <w:b w:val="0"/>
              </w:rPr>
              <w:instrText xml:space="preserve"> COMMENTS  \* MERGEFORMAT </w:instrText>
            </w:r>
            <w:r>
              <w:rPr>
                <w:b w:val="0"/>
              </w:rPr>
              <w:fldChar w:fldCharType="separate"/>
            </w:r>
            <w:proofErr w:type="spellStart"/>
            <w:r>
              <w:rPr>
                <w:b w:val="0"/>
              </w:rPr>
              <w:t>A.</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3</w:t>
            </w:r>
            <w:proofErr w:type="spellEnd"/>
            <w:r>
              <w:rPr>
                <w:b w:val="0"/>
              </w:rPr>
              <w:fldChar w:fldCharType="end"/>
            </w:r>
            <w:r>
              <w:tab/>
            </w:r>
            <w:r w:rsidRPr="00BE7B87">
              <w:t xml:space="preserve">Net combined assistance by industry grouping, </w:t>
            </w:r>
            <w:r>
              <w:br/>
            </w:r>
            <w:r w:rsidRPr="00BE7B87">
              <w:t>200</w:t>
            </w:r>
            <w:r>
              <w:t>9</w:t>
            </w:r>
            <w:r>
              <w:noBreakHyphen/>
              <w:t>10</w:t>
            </w:r>
            <w:r w:rsidRPr="00BE7B87">
              <w:t xml:space="preserve"> to 201</w:t>
            </w:r>
            <w:r>
              <w:t>4</w:t>
            </w:r>
            <w:r>
              <w:noBreakHyphen/>
            </w:r>
            <w:r w:rsidRPr="00BE7B87">
              <w:t>1</w:t>
            </w:r>
            <w:r>
              <w:t>5</w:t>
            </w:r>
            <w:r w:rsidRPr="00F74259">
              <w:rPr>
                <w:rStyle w:val="NoteLabel"/>
                <w:rFonts w:ascii="Arial Bold" w:hAnsi="Arial Bold"/>
                <w:b/>
                <w:position w:val="10"/>
              </w:rPr>
              <w:t>a</w:t>
            </w:r>
          </w:p>
          <w:p w:rsidR="007544CA" w:rsidRPr="00784A05" w:rsidRDefault="007544CA" w:rsidP="00133508">
            <w:pPr>
              <w:pStyle w:val="Subtitle"/>
            </w:pPr>
            <w:r w:rsidRPr="00BE7B87">
              <w:t>$ million (nominal)</w:t>
            </w:r>
          </w:p>
        </w:tc>
      </w:tr>
      <w:tr w:rsidR="007544CA" w:rsidTr="0013350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382"/>
              <w:gridCol w:w="851"/>
              <w:gridCol w:w="851"/>
              <w:gridCol w:w="851"/>
              <w:gridCol w:w="850"/>
              <w:gridCol w:w="850"/>
              <w:gridCol w:w="852"/>
            </w:tblGrid>
            <w:tr w:rsidR="007544CA" w:rsidTr="00133508">
              <w:tc>
                <w:tcPr>
                  <w:tcW w:w="1992" w:type="pct"/>
                  <w:tcBorders>
                    <w:top w:val="single" w:sz="6" w:space="0" w:color="BFBFBF"/>
                    <w:bottom w:val="single" w:sz="6" w:space="0" w:color="BFBFBF"/>
                  </w:tcBorders>
                  <w:shd w:val="clear" w:color="auto" w:fill="auto"/>
                  <w:tcMar>
                    <w:top w:w="28" w:type="dxa"/>
                  </w:tcMar>
                </w:tcPr>
                <w:p w:rsidR="007544CA" w:rsidRPr="00BE7B87" w:rsidRDefault="007544CA" w:rsidP="00133508">
                  <w:pPr>
                    <w:pStyle w:val="TableColumnHeading"/>
                    <w:jc w:val="left"/>
                    <w:rPr>
                      <w:szCs w:val="18"/>
                    </w:rPr>
                  </w:pPr>
                  <w:r w:rsidRPr="00BE7B87">
                    <w:rPr>
                      <w:szCs w:val="18"/>
                    </w:rPr>
                    <w:t>Industry grouping</w:t>
                  </w:r>
                </w:p>
              </w:tc>
              <w:tc>
                <w:tcPr>
                  <w:tcW w:w="501"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2009</w:t>
                  </w:r>
                  <w:r>
                    <w:rPr>
                      <w:szCs w:val="18"/>
                    </w:rPr>
                    <w:noBreakHyphen/>
                  </w:r>
                  <w:r w:rsidRPr="00AB1D7C">
                    <w:rPr>
                      <w:szCs w:val="18"/>
                    </w:rPr>
                    <w:t>10</w:t>
                  </w:r>
                </w:p>
              </w:tc>
              <w:tc>
                <w:tcPr>
                  <w:tcW w:w="501"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2010</w:t>
                  </w:r>
                  <w:r>
                    <w:rPr>
                      <w:szCs w:val="18"/>
                    </w:rPr>
                    <w:noBreakHyphen/>
                  </w:r>
                  <w:r w:rsidRPr="00AB1D7C">
                    <w:rPr>
                      <w:szCs w:val="18"/>
                    </w:rPr>
                    <w:t>11</w:t>
                  </w:r>
                </w:p>
              </w:tc>
              <w:tc>
                <w:tcPr>
                  <w:tcW w:w="501"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2011</w:t>
                  </w:r>
                  <w:r>
                    <w:rPr>
                      <w:szCs w:val="18"/>
                    </w:rPr>
                    <w:noBreakHyphen/>
                  </w:r>
                  <w:r w:rsidRPr="00AB1D7C">
                    <w:rPr>
                      <w:szCs w:val="18"/>
                    </w:rPr>
                    <w:t>12</w:t>
                  </w:r>
                </w:p>
              </w:tc>
              <w:tc>
                <w:tcPr>
                  <w:tcW w:w="501"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2012</w:t>
                  </w:r>
                  <w:r>
                    <w:rPr>
                      <w:szCs w:val="18"/>
                    </w:rPr>
                    <w:noBreakHyphen/>
                  </w:r>
                  <w:r w:rsidRPr="00AB1D7C">
                    <w:rPr>
                      <w:szCs w:val="18"/>
                    </w:rPr>
                    <w:t>13</w:t>
                  </w:r>
                </w:p>
              </w:tc>
              <w:tc>
                <w:tcPr>
                  <w:tcW w:w="501" w:type="pct"/>
                  <w:tcBorders>
                    <w:top w:val="single" w:sz="6" w:space="0" w:color="BFBFBF"/>
                    <w:bottom w:val="single" w:sz="6" w:space="0" w:color="BFBFBF"/>
                  </w:tcBorders>
                  <w:shd w:val="clear" w:color="auto" w:fill="auto"/>
                  <w:tcMar>
                    <w:top w:w="28" w:type="dxa"/>
                  </w:tcMar>
                </w:tcPr>
                <w:p w:rsidR="007544CA" w:rsidRPr="00AB1D7C" w:rsidRDefault="007544CA" w:rsidP="00133508">
                  <w:pPr>
                    <w:pStyle w:val="TableColumnHeading"/>
                    <w:ind w:left="0" w:right="57"/>
                    <w:rPr>
                      <w:szCs w:val="18"/>
                    </w:rPr>
                  </w:pPr>
                  <w:r w:rsidRPr="00AB1D7C">
                    <w:rPr>
                      <w:szCs w:val="18"/>
                    </w:rPr>
                    <w:t>2013</w:t>
                  </w:r>
                  <w:r>
                    <w:rPr>
                      <w:szCs w:val="18"/>
                    </w:rPr>
                    <w:noBreakHyphen/>
                  </w:r>
                  <w:r w:rsidRPr="00AB1D7C">
                    <w:rPr>
                      <w:szCs w:val="18"/>
                    </w:rPr>
                    <w:t>14</w:t>
                  </w:r>
                </w:p>
              </w:tc>
              <w:tc>
                <w:tcPr>
                  <w:tcW w:w="502" w:type="pct"/>
                  <w:tcBorders>
                    <w:top w:val="single" w:sz="6" w:space="0" w:color="BFBFBF"/>
                    <w:bottom w:val="single" w:sz="6" w:space="0" w:color="BFBFBF"/>
                  </w:tcBorders>
                  <w:shd w:val="clear" w:color="auto" w:fill="auto"/>
                  <w:tcMar>
                    <w:top w:w="28" w:type="dxa"/>
                  </w:tcMar>
                </w:tcPr>
                <w:p w:rsidR="007544CA" w:rsidRPr="00AB1D7C" w:rsidRDefault="007544CA" w:rsidP="00133508">
                  <w:pPr>
                    <w:pStyle w:val="TableColumnHeading"/>
                    <w:ind w:left="0" w:right="57"/>
                    <w:rPr>
                      <w:szCs w:val="18"/>
                    </w:rPr>
                  </w:pPr>
                  <w:r w:rsidRPr="00AB1D7C">
                    <w:rPr>
                      <w:szCs w:val="18"/>
                    </w:rPr>
                    <w:t>201</w:t>
                  </w:r>
                  <w:r>
                    <w:rPr>
                      <w:szCs w:val="18"/>
                    </w:rPr>
                    <w:t>4</w:t>
                  </w:r>
                  <w:r>
                    <w:rPr>
                      <w:szCs w:val="18"/>
                    </w:rPr>
                    <w:noBreakHyphen/>
                  </w:r>
                  <w:r w:rsidRPr="00AB1D7C">
                    <w:rPr>
                      <w:szCs w:val="18"/>
                    </w:rPr>
                    <w:t>1</w:t>
                  </w:r>
                  <w:r>
                    <w:rPr>
                      <w:szCs w:val="18"/>
                    </w:rPr>
                    <w:t>5</w:t>
                  </w:r>
                </w:p>
              </w:tc>
            </w:tr>
            <w:tr w:rsidR="007544CA" w:rsidRPr="00013DC6" w:rsidTr="00133508">
              <w:tc>
                <w:tcPr>
                  <w:tcW w:w="1992" w:type="pct"/>
                  <w:tcBorders>
                    <w:top w:val="single" w:sz="6" w:space="0" w:color="BFBFBF"/>
                  </w:tcBorders>
                  <w:vAlign w:val="bottom"/>
                </w:tcPr>
                <w:p w:rsidR="007544CA" w:rsidRPr="00013DC6" w:rsidRDefault="007544CA" w:rsidP="00133508">
                  <w:pPr>
                    <w:rPr>
                      <w:rFonts w:ascii="Arial" w:hAnsi="Arial" w:cs="Arial"/>
                      <w:b/>
                      <w:bCs/>
                      <w:sz w:val="18"/>
                      <w:szCs w:val="18"/>
                    </w:rPr>
                  </w:pPr>
                  <w:r w:rsidRPr="00013DC6">
                    <w:rPr>
                      <w:rFonts w:ascii="Arial" w:hAnsi="Arial" w:cs="Arial"/>
                      <w:b/>
                      <w:bCs/>
                      <w:sz w:val="18"/>
                      <w:szCs w:val="18"/>
                    </w:rPr>
                    <w:t>Primary production</w:t>
                  </w:r>
                </w:p>
              </w:tc>
              <w:tc>
                <w:tcPr>
                  <w:tcW w:w="501" w:type="pct"/>
                  <w:tcBorders>
                    <w:top w:val="single" w:sz="6" w:space="0" w:color="BFBFBF"/>
                  </w:tcBorders>
                </w:tcPr>
                <w:p w:rsidR="007544CA" w:rsidRPr="001D2C31" w:rsidRDefault="007544CA" w:rsidP="00133508">
                  <w:pPr>
                    <w:pStyle w:val="TableBodyText"/>
                    <w:spacing w:after="0"/>
                    <w:ind w:left="0" w:right="57"/>
                    <w:rPr>
                      <w:b/>
                    </w:rPr>
                  </w:pPr>
                  <w:r w:rsidRPr="001D2C31">
                    <w:rPr>
                      <w:b/>
                    </w:rPr>
                    <w:t>1980.1</w:t>
                  </w:r>
                </w:p>
              </w:tc>
              <w:tc>
                <w:tcPr>
                  <w:tcW w:w="501" w:type="pct"/>
                  <w:tcBorders>
                    <w:top w:val="single" w:sz="6" w:space="0" w:color="BFBFBF"/>
                  </w:tcBorders>
                </w:tcPr>
                <w:p w:rsidR="007544CA" w:rsidRPr="001D2C31" w:rsidRDefault="007544CA" w:rsidP="00133508">
                  <w:pPr>
                    <w:pStyle w:val="TableBodyText"/>
                    <w:spacing w:after="0"/>
                    <w:ind w:left="0" w:right="57"/>
                    <w:rPr>
                      <w:b/>
                    </w:rPr>
                  </w:pPr>
                  <w:r w:rsidRPr="001D2C31">
                    <w:rPr>
                      <w:b/>
                    </w:rPr>
                    <w:t>1686.2</w:t>
                  </w:r>
                </w:p>
              </w:tc>
              <w:tc>
                <w:tcPr>
                  <w:tcW w:w="501" w:type="pct"/>
                  <w:tcBorders>
                    <w:top w:val="single" w:sz="6" w:space="0" w:color="BFBFBF"/>
                  </w:tcBorders>
                </w:tcPr>
                <w:p w:rsidR="007544CA" w:rsidRPr="001D2C31" w:rsidRDefault="007544CA" w:rsidP="00133508">
                  <w:pPr>
                    <w:pStyle w:val="TableBodyText"/>
                    <w:spacing w:after="0"/>
                    <w:ind w:left="0" w:right="57"/>
                    <w:rPr>
                      <w:b/>
                    </w:rPr>
                  </w:pPr>
                  <w:r w:rsidRPr="001D2C31">
                    <w:rPr>
                      <w:b/>
                    </w:rPr>
                    <w:t>1718.2</w:t>
                  </w:r>
                </w:p>
              </w:tc>
              <w:tc>
                <w:tcPr>
                  <w:tcW w:w="501" w:type="pct"/>
                  <w:tcBorders>
                    <w:top w:val="single" w:sz="6" w:space="0" w:color="BFBFBF"/>
                  </w:tcBorders>
                </w:tcPr>
                <w:p w:rsidR="007544CA" w:rsidRPr="001D2C31" w:rsidRDefault="007544CA" w:rsidP="00133508">
                  <w:pPr>
                    <w:pStyle w:val="TableBodyText"/>
                    <w:spacing w:after="0"/>
                    <w:ind w:left="0" w:right="57"/>
                    <w:rPr>
                      <w:b/>
                    </w:rPr>
                  </w:pPr>
                  <w:r w:rsidRPr="001D2C31">
                    <w:rPr>
                      <w:b/>
                    </w:rPr>
                    <w:t>1383.5</w:t>
                  </w:r>
                </w:p>
              </w:tc>
              <w:tc>
                <w:tcPr>
                  <w:tcW w:w="501" w:type="pct"/>
                  <w:tcBorders>
                    <w:top w:val="single" w:sz="6" w:space="0" w:color="BFBFBF"/>
                  </w:tcBorders>
                </w:tcPr>
                <w:p w:rsidR="007544CA" w:rsidRPr="001D2C31" w:rsidRDefault="007544CA" w:rsidP="00133508">
                  <w:pPr>
                    <w:pStyle w:val="TableBodyText"/>
                    <w:spacing w:after="0"/>
                    <w:ind w:left="0" w:right="57"/>
                    <w:rPr>
                      <w:b/>
                    </w:rPr>
                  </w:pPr>
                  <w:r w:rsidRPr="001D2C31">
                    <w:rPr>
                      <w:b/>
                    </w:rPr>
                    <w:t>1329.0</w:t>
                  </w:r>
                </w:p>
              </w:tc>
              <w:tc>
                <w:tcPr>
                  <w:tcW w:w="502" w:type="pct"/>
                  <w:tcBorders>
                    <w:top w:val="single" w:sz="6" w:space="0" w:color="BFBFBF"/>
                  </w:tcBorders>
                </w:tcPr>
                <w:p w:rsidR="007544CA" w:rsidRPr="001D2C31" w:rsidRDefault="007544CA" w:rsidP="00133508">
                  <w:pPr>
                    <w:pStyle w:val="TableBodyText"/>
                    <w:spacing w:after="0"/>
                    <w:ind w:left="0" w:right="57"/>
                    <w:rPr>
                      <w:b/>
                    </w:rPr>
                  </w:pPr>
                  <w:r w:rsidRPr="001D2C31">
                    <w:rPr>
                      <w:b/>
                    </w:rPr>
                    <w:t>1322.4</w:t>
                  </w:r>
                </w:p>
              </w:tc>
            </w:tr>
            <w:tr w:rsidR="007544CA" w:rsidTr="00133508">
              <w:tc>
                <w:tcPr>
                  <w:tcW w:w="1992" w:type="pct"/>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Horticulture and fruit growing</w:t>
                  </w:r>
                </w:p>
              </w:tc>
              <w:tc>
                <w:tcPr>
                  <w:tcW w:w="501" w:type="pct"/>
                </w:tcPr>
                <w:p w:rsidR="007544CA" w:rsidRPr="002908CA" w:rsidRDefault="007544CA" w:rsidP="00133508">
                  <w:pPr>
                    <w:pStyle w:val="TableBodyText"/>
                    <w:spacing w:after="0"/>
                    <w:ind w:left="0" w:right="57"/>
                  </w:pPr>
                  <w:r w:rsidRPr="002908CA">
                    <w:t>331.4</w:t>
                  </w:r>
                </w:p>
              </w:tc>
              <w:tc>
                <w:tcPr>
                  <w:tcW w:w="501" w:type="pct"/>
                </w:tcPr>
                <w:p w:rsidR="007544CA" w:rsidRPr="002908CA" w:rsidRDefault="007544CA" w:rsidP="00133508">
                  <w:pPr>
                    <w:pStyle w:val="TableBodyText"/>
                    <w:spacing w:after="0"/>
                    <w:ind w:left="0" w:right="57"/>
                  </w:pPr>
                  <w:r w:rsidRPr="002908CA">
                    <w:t>324.5</w:t>
                  </w:r>
                </w:p>
              </w:tc>
              <w:tc>
                <w:tcPr>
                  <w:tcW w:w="501" w:type="pct"/>
                </w:tcPr>
                <w:p w:rsidR="007544CA" w:rsidRPr="002908CA" w:rsidRDefault="007544CA" w:rsidP="00133508">
                  <w:pPr>
                    <w:pStyle w:val="TableBodyText"/>
                    <w:spacing w:after="0"/>
                    <w:ind w:left="0" w:right="57"/>
                  </w:pPr>
                  <w:r w:rsidRPr="002908CA">
                    <w:t>307.1</w:t>
                  </w:r>
                </w:p>
              </w:tc>
              <w:tc>
                <w:tcPr>
                  <w:tcW w:w="501" w:type="pct"/>
                </w:tcPr>
                <w:p w:rsidR="007544CA" w:rsidRPr="002908CA" w:rsidRDefault="007544CA" w:rsidP="00133508">
                  <w:pPr>
                    <w:pStyle w:val="TableBodyText"/>
                    <w:spacing w:after="0"/>
                    <w:ind w:left="0" w:right="57"/>
                  </w:pPr>
                  <w:r w:rsidRPr="002908CA">
                    <w:t>303.2</w:t>
                  </w:r>
                </w:p>
              </w:tc>
              <w:tc>
                <w:tcPr>
                  <w:tcW w:w="501" w:type="pct"/>
                </w:tcPr>
                <w:p w:rsidR="007544CA" w:rsidRPr="002908CA" w:rsidRDefault="007544CA" w:rsidP="00133508">
                  <w:pPr>
                    <w:pStyle w:val="TableBodyText"/>
                    <w:spacing w:after="0"/>
                    <w:ind w:left="0" w:right="57"/>
                  </w:pPr>
                  <w:r w:rsidRPr="002908CA">
                    <w:t>270.7</w:t>
                  </w:r>
                </w:p>
              </w:tc>
              <w:tc>
                <w:tcPr>
                  <w:tcW w:w="502" w:type="pct"/>
                </w:tcPr>
                <w:p w:rsidR="007544CA" w:rsidRPr="002908CA" w:rsidRDefault="007544CA" w:rsidP="00133508">
                  <w:pPr>
                    <w:pStyle w:val="TableBodyText"/>
                    <w:spacing w:after="0"/>
                    <w:ind w:left="0" w:right="57"/>
                  </w:pPr>
                  <w:r w:rsidRPr="002908CA">
                    <w:t>240.0</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Sheep, beef cattle and grain farming</w:t>
                  </w:r>
                </w:p>
              </w:tc>
              <w:tc>
                <w:tcPr>
                  <w:tcW w:w="501" w:type="pct"/>
                </w:tcPr>
                <w:p w:rsidR="007544CA" w:rsidRPr="002908CA" w:rsidRDefault="007544CA" w:rsidP="00133508">
                  <w:pPr>
                    <w:pStyle w:val="TableBodyText"/>
                    <w:spacing w:after="0"/>
                    <w:ind w:left="0" w:right="57"/>
                  </w:pPr>
                  <w:r w:rsidRPr="002908CA">
                    <w:t>925.8</w:t>
                  </w:r>
                </w:p>
              </w:tc>
              <w:tc>
                <w:tcPr>
                  <w:tcW w:w="501" w:type="pct"/>
                </w:tcPr>
                <w:p w:rsidR="007544CA" w:rsidRPr="002908CA" w:rsidRDefault="007544CA" w:rsidP="00133508">
                  <w:pPr>
                    <w:pStyle w:val="TableBodyText"/>
                    <w:spacing w:after="0"/>
                    <w:ind w:left="0" w:right="57"/>
                  </w:pPr>
                  <w:r w:rsidRPr="002908CA">
                    <w:t>746.1</w:t>
                  </w:r>
                </w:p>
              </w:tc>
              <w:tc>
                <w:tcPr>
                  <w:tcW w:w="501" w:type="pct"/>
                </w:tcPr>
                <w:p w:rsidR="007544CA" w:rsidRPr="002908CA" w:rsidRDefault="007544CA" w:rsidP="00133508">
                  <w:pPr>
                    <w:pStyle w:val="TableBodyText"/>
                    <w:spacing w:after="0"/>
                    <w:ind w:left="0" w:right="57"/>
                  </w:pPr>
                  <w:r w:rsidRPr="002908CA">
                    <w:t>646.6</w:t>
                  </w:r>
                </w:p>
              </w:tc>
              <w:tc>
                <w:tcPr>
                  <w:tcW w:w="501" w:type="pct"/>
                </w:tcPr>
                <w:p w:rsidR="007544CA" w:rsidRPr="002908CA" w:rsidRDefault="007544CA" w:rsidP="00133508">
                  <w:pPr>
                    <w:pStyle w:val="TableBodyText"/>
                    <w:spacing w:after="0"/>
                    <w:ind w:left="0" w:right="57"/>
                  </w:pPr>
                  <w:r w:rsidRPr="002908CA">
                    <w:t>504.9</w:t>
                  </w:r>
                </w:p>
              </w:tc>
              <w:tc>
                <w:tcPr>
                  <w:tcW w:w="501" w:type="pct"/>
                  <w:shd w:val="clear" w:color="auto" w:fill="auto"/>
                </w:tcPr>
                <w:p w:rsidR="007544CA" w:rsidRPr="002908CA" w:rsidRDefault="007544CA" w:rsidP="00133508">
                  <w:pPr>
                    <w:pStyle w:val="TableBodyText"/>
                    <w:spacing w:after="0"/>
                    <w:ind w:left="0" w:right="57"/>
                  </w:pPr>
                  <w:r w:rsidRPr="002908CA">
                    <w:t>535.6</w:t>
                  </w:r>
                </w:p>
              </w:tc>
              <w:tc>
                <w:tcPr>
                  <w:tcW w:w="502" w:type="pct"/>
                  <w:shd w:val="clear" w:color="auto" w:fill="auto"/>
                </w:tcPr>
                <w:p w:rsidR="007544CA" w:rsidRPr="002908CA" w:rsidRDefault="007544CA" w:rsidP="00133508">
                  <w:pPr>
                    <w:pStyle w:val="TableBodyText"/>
                    <w:spacing w:after="0"/>
                    <w:ind w:left="0" w:right="57"/>
                  </w:pPr>
                  <w:r w:rsidRPr="002908CA">
                    <w:t>552.3</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Other crop growing</w:t>
                  </w:r>
                </w:p>
              </w:tc>
              <w:tc>
                <w:tcPr>
                  <w:tcW w:w="501" w:type="pct"/>
                </w:tcPr>
                <w:p w:rsidR="007544CA" w:rsidRPr="002908CA" w:rsidRDefault="007544CA" w:rsidP="00133508">
                  <w:pPr>
                    <w:pStyle w:val="TableBodyText"/>
                    <w:spacing w:after="0"/>
                    <w:ind w:left="0" w:right="57"/>
                  </w:pPr>
                  <w:r w:rsidRPr="002908CA">
                    <w:t>92.9</w:t>
                  </w:r>
                </w:p>
              </w:tc>
              <w:tc>
                <w:tcPr>
                  <w:tcW w:w="501" w:type="pct"/>
                </w:tcPr>
                <w:p w:rsidR="007544CA" w:rsidRPr="002908CA" w:rsidRDefault="007544CA" w:rsidP="00133508">
                  <w:pPr>
                    <w:pStyle w:val="TableBodyText"/>
                    <w:spacing w:after="0"/>
                    <w:ind w:left="0" w:right="57"/>
                  </w:pPr>
                  <w:r w:rsidRPr="002908CA">
                    <w:t>44.5</w:t>
                  </w:r>
                </w:p>
              </w:tc>
              <w:tc>
                <w:tcPr>
                  <w:tcW w:w="501" w:type="pct"/>
                </w:tcPr>
                <w:p w:rsidR="007544CA" w:rsidRPr="002908CA" w:rsidRDefault="007544CA" w:rsidP="00133508">
                  <w:pPr>
                    <w:pStyle w:val="TableBodyText"/>
                    <w:spacing w:after="0"/>
                    <w:ind w:left="0" w:right="57"/>
                  </w:pPr>
                  <w:r w:rsidRPr="002908CA">
                    <w:t>91.8</w:t>
                  </w:r>
                </w:p>
              </w:tc>
              <w:tc>
                <w:tcPr>
                  <w:tcW w:w="501" w:type="pct"/>
                </w:tcPr>
                <w:p w:rsidR="007544CA" w:rsidRPr="002908CA" w:rsidRDefault="007544CA" w:rsidP="00133508">
                  <w:pPr>
                    <w:pStyle w:val="TableBodyText"/>
                    <w:spacing w:after="0"/>
                    <w:ind w:left="0" w:right="57"/>
                  </w:pPr>
                  <w:r w:rsidRPr="002908CA">
                    <w:t>83.9</w:t>
                  </w:r>
                </w:p>
              </w:tc>
              <w:tc>
                <w:tcPr>
                  <w:tcW w:w="501" w:type="pct"/>
                  <w:shd w:val="clear" w:color="auto" w:fill="auto"/>
                </w:tcPr>
                <w:p w:rsidR="007544CA" w:rsidRPr="002908CA" w:rsidRDefault="007544CA" w:rsidP="00133508">
                  <w:pPr>
                    <w:pStyle w:val="TableBodyText"/>
                    <w:spacing w:after="0"/>
                    <w:ind w:left="0" w:right="57"/>
                  </w:pPr>
                  <w:r w:rsidRPr="002908CA">
                    <w:t>74.3</w:t>
                  </w:r>
                </w:p>
              </w:tc>
              <w:tc>
                <w:tcPr>
                  <w:tcW w:w="502" w:type="pct"/>
                  <w:shd w:val="clear" w:color="auto" w:fill="auto"/>
                </w:tcPr>
                <w:p w:rsidR="007544CA" w:rsidRPr="002908CA" w:rsidRDefault="007544CA" w:rsidP="00133508">
                  <w:pPr>
                    <w:pStyle w:val="TableBodyText"/>
                    <w:spacing w:after="0"/>
                    <w:ind w:left="0" w:right="57"/>
                  </w:pPr>
                  <w:r w:rsidRPr="002908CA">
                    <w:t>71.3</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Dairy cattle farming</w:t>
                  </w:r>
                </w:p>
              </w:tc>
              <w:tc>
                <w:tcPr>
                  <w:tcW w:w="501" w:type="pct"/>
                </w:tcPr>
                <w:p w:rsidR="007544CA" w:rsidRPr="002908CA" w:rsidRDefault="007544CA" w:rsidP="00133508">
                  <w:pPr>
                    <w:pStyle w:val="TableBodyText"/>
                    <w:spacing w:after="0"/>
                    <w:ind w:left="0" w:right="57"/>
                  </w:pPr>
                  <w:r w:rsidRPr="002908CA">
                    <w:t>132.1</w:t>
                  </w:r>
                </w:p>
              </w:tc>
              <w:tc>
                <w:tcPr>
                  <w:tcW w:w="501" w:type="pct"/>
                </w:tcPr>
                <w:p w:rsidR="007544CA" w:rsidRPr="002908CA" w:rsidRDefault="007544CA" w:rsidP="00133508">
                  <w:pPr>
                    <w:pStyle w:val="TableBodyText"/>
                    <w:spacing w:after="0"/>
                    <w:ind w:left="0" w:right="57"/>
                  </w:pPr>
                  <w:r w:rsidRPr="002908CA">
                    <w:t>94.6</w:t>
                  </w:r>
                </w:p>
              </w:tc>
              <w:tc>
                <w:tcPr>
                  <w:tcW w:w="501" w:type="pct"/>
                </w:tcPr>
                <w:p w:rsidR="007544CA" w:rsidRPr="002908CA" w:rsidRDefault="007544CA" w:rsidP="00133508">
                  <w:pPr>
                    <w:pStyle w:val="TableBodyText"/>
                    <w:spacing w:after="0"/>
                    <w:ind w:left="0" w:right="57"/>
                  </w:pPr>
                  <w:r w:rsidRPr="002908CA">
                    <w:t>75.8</w:t>
                  </w:r>
                </w:p>
              </w:tc>
              <w:tc>
                <w:tcPr>
                  <w:tcW w:w="501" w:type="pct"/>
                </w:tcPr>
                <w:p w:rsidR="007544CA" w:rsidRPr="002908CA" w:rsidRDefault="007544CA" w:rsidP="00133508">
                  <w:pPr>
                    <w:pStyle w:val="TableBodyText"/>
                    <w:spacing w:after="0"/>
                    <w:ind w:left="0" w:right="57"/>
                  </w:pPr>
                  <w:r w:rsidRPr="002908CA">
                    <w:t>48.6</w:t>
                  </w:r>
                </w:p>
              </w:tc>
              <w:tc>
                <w:tcPr>
                  <w:tcW w:w="501" w:type="pct"/>
                  <w:shd w:val="clear" w:color="auto" w:fill="auto"/>
                </w:tcPr>
                <w:p w:rsidR="007544CA" w:rsidRPr="002908CA" w:rsidRDefault="007544CA" w:rsidP="00133508">
                  <w:pPr>
                    <w:pStyle w:val="TableBodyText"/>
                    <w:spacing w:after="0"/>
                    <w:ind w:left="0" w:right="57"/>
                  </w:pPr>
                  <w:r w:rsidRPr="002908CA">
                    <w:t>54.9</w:t>
                  </w:r>
                </w:p>
              </w:tc>
              <w:tc>
                <w:tcPr>
                  <w:tcW w:w="502" w:type="pct"/>
                  <w:shd w:val="clear" w:color="auto" w:fill="auto"/>
                </w:tcPr>
                <w:p w:rsidR="007544CA" w:rsidRPr="002908CA" w:rsidRDefault="007544CA" w:rsidP="00133508">
                  <w:pPr>
                    <w:pStyle w:val="TableBodyText"/>
                    <w:spacing w:after="0"/>
                    <w:ind w:left="0" w:right="57"/>
                  </w:pPr>
                  <w:r w:rsidRPr="002908CA">
                    <w:t>64.8</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Other livestock farming</w:t>
                  </w:r>
                </w:p>
              </w:tc>
              <w:tc>
                <w:tcPr>
                  <w:tcW w:w="501" w:type="pct"/>
                </w:tcPr>
                <w:p w:rsidR="007544CA" w:rsidRPr="002908CA" w:rsidRDefault="007544CA" w:rsidP="00133508">
                  <w:pPr>
                    <w:pStyle w:val="TableBodyText"/>
                    <w:spacing w:after="0"/>
                    <w:ind w:left="0" w:right="57"/>
                  </w:pPr>
                  <w:r w:rsidRPr="002908CA">
                    <w:t>44.0</w:t>
                  </w:r>
                </w:p>
              </w:tc>
              <w:tc>
                <w:tcPr>
                  <w:tcW w:w="501" w:type="pct"/>
                </w:tcPr>
                <w:p w:rsidR="007544CA" w:rsidRPr="002908CA" w:rsidRDefault="007544CA" w:rsidP="00133508">
                  <w:pPr>
                    <w:pStyle w:val="TableBodyText"/>
                    <w:spacing w:after="0"/>
                    <w:ind w:left="0" w:right="57"/>
                  </w:pPr>
                  <w:r w:rsidRPr="002908CA">
                    <w:t>40.2</w:t>
                  </w:r>
                </w:p>
              </w:tc>
              <w:tc>
                <w:tcPr>
                  <w:tcW w:w="501" w:type="pct"/>
                </w:tcPr>
                <w:p w:rsidR="007544CA" w:rsidRPr="002908CA" w:rsidRDefault="007544CA" w:rsidP="00133508">
                  <w:pPr>
                    <w:pStyle w:val="TableBodyText"/>
                    <w:spacing w:after="0"/>
                    <w:ind w:left="0" w:right="57"/>
                  </w:pPr>
                  <w:r w:rsidRPr="002908CA">
                    <w:t>62.5</w:t>
                  </w:r>
                </w:p>
              </w:tc>
              <w:tc>
                <w:tcPr>
                  <w:tcW w:w="501" w:type="pct"/>
                </w:tcPr>
                <w:p w:rsidR="007544CA" w:rsidRPr="002908CA" w:rsidRDefault="007544CA" w:rsidP="00133508">
                  <w:pPr>
                    <w:pStyle w:val="TableBodyText"/>
                    <w:spacing w:after="0"/>
                    <w:ind w:left="0" w:right="57"/>
                  </w:pPr>
                  <w:r w:rsidRPr="002908CA">
                    <w:t>39.1</w:t>
                  </w:r>
                </w:p>
              </w:tc>
              <w:tc>
                <w:tcPr>
                  <w:tcW w:w="501" w:type="pct"/>
                  <w:shd w:val="clear" w:color="auto" w:fill="auto"/>
                </w:tcPr>
                <w:p w:rsidR="007544CA" w:rsidRPr="002908CA" w:rsidRDefault="007544CA" w:rsidP="00133508">
                  <w:pPr>
                    <w:pStyle w:val="TableBodyText"/>
                    <w:spacing w:after="0"/>
                    <w:ind w:left="0" w:right="57"/>
                  </w:pPr>
                  <w:r w:rsidRPr="002908CA">
                    <w:t>32.8</w:t>
                  </w:r>
                </w:p>
              </w:tc>
              <w:tc>
                <w:tcPr>
                  <w:tcW w:w="502" w:type="pct"/>
                  <w:shd w:val="clear" w:color="auto" w:fill="auto"/>
                </w:tcPr>
                <w:p w:rsidR="007544CA" w:rsidRPr="002908CA" w:rsidRDefault="007544CA" w:rsidP="00133508">
                  <w:pPr>
                    <w:pStyle w:val="TableBodyText"/>
                    <w:spacing w:after="0"/>
                    <w:ind w:left="0" w:right="57"/>
                  </w:pPr>
                  <w:r w:rsidRPr="002908CA">
                    <w:t>39.6</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Aquaculture and fishing</w:t>
                  </w:r>
                </w:p>
              </w:tc>
              <w:tc>
                <w:tcPr>
                  <w:tcW w:w="501" w:type="pct"/>
                </w:tcPr>
                <w:p w:rsidR="007544CA" w:rsidRPr="002908CA" w:rsidRDefault="007544CA" w:rsidP="00133508">
                  <w:pPr>
                    <w:pStyle w:val="TableBodyText"/>
                    <w:spacing w:after="0"/>
                    <w:ind w:left="0" w:right="57"/>
                  </w:pPr>
                  <w:r w:rsidRPr="002908CA">
                    <w:t>70.8</w:t>
                  </w:r>
                </w:p>
              </w:tc>
              <w:tc>
                <w:tcPr>
                  <w:tcW w:w="501" w:type="pct"/>
                </w:tcPr>
                <w:p w:rsidR="007544CA" w:rsidRPr="002908CA" w:rsidRDefault="007544CA" w:rsidP="00133508">
                  <w:pPr>
                    <w:pStyle w:val="TableBodyText"/>
                    <w:spacing w:after="0"/>
                    <w:ind w:left="0" w:right="57"/>
                  </w:pPr>
                  <w:r w:rsidRPr="002908CA">
                    <w:t>64.3</w:t>
                  </w:r>
                </w:p>
              </w:tc>
              <w:tc>
                <w:tcPr>
                  <w:tcW w:w="501" w:type="pct"/>
                </w:tcPr>
                <w:p w:rsidR="007544CA" w:rsidRPr="002908CA" w:rsidRDefault="007544CA" w:rsidP="00133508">
                  <w:pPr>
                    <w:pStyle w:val="TableBodyText"/>
                    <w:spacing w:after="0"/>
                    <w:ind w:left="0" w:right="57"/>
                  </w:pPr>
                  <w:r w:rsidRPr="002908CA">
                    <w:t>52.7</w:t>
                  </w:r>
                </w:p>
              </w:tc>
              <w:tc>
                <w:tcPr>
                  <w:tcW w:w="501" w:type="pct"/>
                </w:tcPr>
                <w:p w:rsidR="007544CA" w:rsidRPr="002908CA" w:rsidRDefault="007544CA" w:rsidP="00133508">
                  <w:pPr>
                    <w:pStyle w:val="TableBodyText"/>
                    <w:spacing w:after="0"/>
                    <w:ind w:left="0" w:right="57"/>
                  </w:pPr>
                  <w:r w:rsidRPr="002908CA">
                    <w:t>42.9</w:t>
                  </w:r>
                </w:p>
              </w:tc>
              <w:tc>
                <w:tcPr>
                  <w:tcW w:w="501" w:type="pct"/>
                  <w:shd w:val="clear" w:color="auto" w:fill="auto"/>
                </w:tcPr>
                <w:p w:rsidR="007544CA" w:rsidRPr="002908CA" w:rsidRDefault="007544CA" w:rsidP="00133508">
                  <w:pPr>
                    <w:pStyle w:val="TableBodyText"/>
                    <w:spacing w:after="0"/>
                    <w:ind w:left="0" w:right="57"/>
                  </w:pPr>
                  <w:r w:rsidRPr="002908CA">
                    <w:t>45.9</w:t>
                  </w:r>
                </w:p>
              </w:tc>
              <w:tc>
                <w:tcPr>
                  <w:tcW w:w="502" w:type="pct"/>
                  <w:shd w:val="clear" w:color="auto" w:fill="auto"/>
                </w:tcPr>
                <w:p w:rsidR="007544CA" w:rsidRPr="002908CA" w:rsidRDefault="007544CA" w:rsidP="00133508">
                  <w:pPr>
                    <w:pStyle w:val="TableBodyText"/>
                    <w:spacing w:after="0"/>
                    <w:ind w:left="0" w:right="57"/>
                  </w:pPr>
                  <w:r w:rsidRPr="002908CA">
                    <w:t>48.3</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Forestry and logging</w:t>
                  </w:r>
                </w:p>
              </w:tc>
              <w:tc>
                <w:tcPr>
                  <w:tcW w:w="501" w:type="pct"/>
                </w:tcPr>
                <w:p w:rsidR="007544CA" w:rsidRPr="002908CA" w:rsidRDefault="007544CA" w:rsidP="00133508">
                  <w:pPr>
                    <w:pStyle w:val="TableBodyText"/>
                    <w:spacing w:after="0"/>
                    <w:ind w:left="0" w:right="57"/>
                  </w:pPr>
                  <w:r w:rsidRPr="002908CA">
                    <w:t>84.2</w:t>
                  </w:r>
                </w:p>
              </w:tc>
              <w:tc>
                <w:tcPr>
                  <w:tcW w:w="501" w:type="pct"/>
                </w:tcPr>
                <w:p w:rsidR="007544CA" w:rsidRPr="002908CA" w:rsidRDefault="007544CA" w:rsidP="00133508">
                  <w:pPr>
                    <w:pStyle w:val="TableBodyText"/>
                    <w:spacing w:after="0"/>
                    <w:ind w:left="0" w:right="57"/>
                  </w:pPr>
                  <w:r w:rsidRPr="002908CA">
                    <w:t>92.5</w:t>
                  </w:r>
                </w:p>
              </w:tc>
              <w:tc>
                <w:tcPr>
                  <w:tcW w:w="501" w:type="pct"/>
                </w:tcPr>
                <w:p w:rsidR="007544CA" w:rsidRPr="002908CA" w:rsidRDefault="007544CA" w:rsidP="00133508">
                  <w:pPr>
                    <w:pStyle w:val="TableBodyText"/>
                    <w:spacing w:after="0"/>
                    <w:ind w:left="0" w:right="57"/>
                  </w:pPr>
                  <w:r w:rsidRPr="002908CA">
                    <w:t>122.0</w:t>
                  </w:r>
                </w:p>
              </w:tc>
              <w:tc>
                <w:tcPr>
                  <w:tcW w:w="501" w:type="pct"/>
                </w:tcPr>
                <w:p w:rsidR="007544CA" w:rsidRPr="002908CA" w:rsidRDefault="007544CA" w:rsidP="00133508">
                  <w:pPr>
                    <w:pStyle w:val="TableBodyText"/>
                    <w:spacing w:after="0"/>
                    <w:ind w:left="0" w:right="57"/>
                  </w:pPr>
                  <w:r w:rsidRPr="002908CA">
                    <w:t>95.5</w:t>
                  </w:r>
                </w:p>
              </w:tc>
              <w:tc>
                <w:tcPr>
                  <w:tcW w:w="501" w:type="pct"/>
                  <w:shd w:val="clear" w:color="auto" w:fill="auto"/>
                </w:tcPr>
                <w:p w:rsidR="007544CA" w:rsidRPr="002908CA" w:rsidRDefault="007544CA" w:rsidP="00133508">
                  <w:pPr>
                    <w:pStyle w:val="TableBodyText"/>
                    <w:spacing w:after="0"/>
                    <w:ind w:left="0" w:right="57"/>
                  </w:pPr>
                  <w:r w:rsidRPr="002908CA">
                    <w:t>74.5</w:t>
                  </w:r>
                </w:p>
              </w:tc>
              <w:tc>
                <w:tcPr>
                  <w:tcW w:w="502" w:type="pct"/>
                  <w:shd w:val="clear" w:color="auto" w:fill="auto"/>
                </w:tcPr>
                <w:p w:rsidR="007544CA" w:rsidRPr="002908CA" w:rsidRDefault="007544CA" w:rsidP="00133508">
                  <w:pPr>
                    <w:pStyle w:val="TableBodyText"/>
                    <w:spacing w:after="0"/>
                    <w:ind w:left="0" w:right="57"/>
                  </w:pPr>
                  <w:r w:rsidRPr="002908CA">
                    <w:t>78.4</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Primary production support services</w:t>
                  </w:r>
                </w:p>
              </w:tc>
              <w:tc>
                <w:tcPr>
                  <w:tcW w:w="501" w:type="pct"/>
                </w:tcPr>
                <w:p w:rsidR="007544CA" w:rsidRPr="002908CA" w:rsidRDefault="007544CA" w:rsidP="00133508">
                  <w:pPr>
                    <w:pStyle w:val="TableBodyText"/>
                    <w:spacing w:after="0"/>
                    <w:ind w:left="0" w:right="57"/>
                  </w:pPr>
                  <w:r w:rsidRPr="002908CA">
                    <w:t>17.8</w:t>
                  </w:r>
                </w:p>
              </w:tc>
              <w:tc>
                <w:tcPr>
                  <w:tcW w:w="501" w:type="pct"/>
                </w:tcPr>
                <w:p w:rsidR="007544CA" w:rsidRPr="002908CA" w:rsidRDefault="007544CA" w:rsidP="00133508">
                  <w:pPr>
                    <w:pStyle w:val="TableBodyText"/>
                    <w:spacing w:after="0"/>
                    <w:ind w:left="0" w:right="57"/>
                  </w:pPr>
                  <w:r w:rsidRPr="002908CA">
                    <w:t>17.3</w:t>
                  </w:r>
                </w:p>
              </w:tc>
              <w:tc>
                <w:tcPr>
                  <w:tcW w:w="501" w:type="pct"/>
                </w:tcPr>
                <w:p w:rsidR="007544CA" w:rsidRPr="002908CA" w:rsidRDefault="007544CA" w:rsidP="00133508">
                  <w:pPr>
                    <w:pStyle w:val="TableBodyText"/>
                    <w:spacing w:after="0"/>
                    <w:ind w:left="0" w:right="57"/>
                  </w:pPr>
                  <w:r w:rsidRPr="002908CA">
                    <w:t>5.4</w:t>
                  </w:r>
                </w:p>
              </w:tc>
              <w:tc>
                <w:tcPr>
                  <w:tcW w:w="501" w:type="pct"/>
                </w:tcPr>
                <w:p w:rsidR="007544CA" w:rsidRPr="002908CA" w:rsidRDefault="007544CA" w:rsidP="00133508">
                  <w:pPr>
                    <w:pStyle w:val="TableBodyText"/>
                    <w:spacing w:after="0"/>
                    <w:ind w:left="0" w:right="57"/>
                  </w:pPr>
                  <w:r w:rsidRPr="002908CA">
                    <w:t>14.8</w:t>
                  </w:r>
                </w:p>
              </w:tc>
              <w:tc>
                <w:tcPr>
                  <w:tcW w:w="501" w:type="pct"/>
                  <w:shd w:val="clear" w:color="auto" w:fill="auto"/>
                </w:tcPr>
                <w:p w:rsidR="007544CA" w:rsidRPr="002908CA" w:rsidRDefault="007544CA" w:rsidP="00133508">
                  <w:pPr>
                    <w:pStyle w:val="TableBodyText"/>
                    <w:spacing w:after="0"/>
                    <w:ind w:left="0" w:right="57"/>
                  </w:pPr>
                  <w:r w:rsidRPr="002908CA">
                    <w:t>12.3</w:t>
                  </w:r>
                </w:p>
              </w:tc>
              <w:tc>
                <w:tcPr>
                  <w:tcW w:w="502" w:type="pct"/>
                  <w:shd w:val="clear" w:color="auto" w:fill="auto"/>
                </w:tcPr>
                <w:p w:rsidR="007544CA" w:rsidRPr="002908CA" w:rsidRDefault="007544CA" w:rsidP="00133508">
                  <w:pPr>
                    <w:pStyle w:val="TableBodyText"/>
                    <w:spacing w:after="0"/>
                    <w:ind w:left="0" w:right="57"/>
                  </w:pPr>
                  <w:r w:rsidRPr="002908CA">
                    <w:t>9.8</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Unallocated primary production</w:t>
                  </w:r>
                  <w:r w:rsidRPr="008405D4">
                    <w:rPr>
                      <w:rStyle w:val="NoteLabel"/>
                    </w:rPr>
                    <w:t>b</w:t>
                  </w:r>
                </w:p>
              </w:tc>
              <w:tc>
                <w:tcPr>
                  <w:tcW w:w="501" w:type="pct"/>
                </w:tcPr>
                <w:p w:rsidR="007544CA" w:rsidRPr="002908CA" w:rsidRDefault="007544CA" w:rsidP="00133508">
                  <w:pPr>
                    <w:pStyle w:val="TableBodyText"/>
                    <w:spacing w:after="0"/>
                    <w:ind w:left="0" w:right="57"/>
                  </w:pPr>
                  <w:r w:rsidRPr="002908CA">
                    <w:t>281.1</w:t>
                  </w:r>
                </w:p>
              </w:tc>
              <w:tc>
                <w:tcPr>
                  <w:tcW w:w="501" w:type="pct"/>
                </w:tcPr>
                <w:p w:rsidR="007544CA" w:rsidRPr="002908CA" w:rsidRDefault="007544CA" w:rsidP="00133508">
                  <w:pPr>
                    <w:pStyle w:val="TableBodyText"/>
                    <w:spacing w:after="0"/>
                    <w:ind w:left="0" w:right="57"/>
                  </w:pPr>
                  <w:r w:rsidRPr="002908CA">
                    <w:t>262.2</w:t>
                  </w:r>
                </w:p>
              </w:tc>
              <w:tc>
                <w:tcPr>
                  <w:tcW w:w="501" w:type="pct"/>
                </w:tcPr>
                <w:p w:rsidR="007544CA" w:rsidRPr="002908CA" w:rsidRDefault="007544CA" w:rsidP="00133508">
                  <w:pPr>
                    <w:pStyle w:val="TableBodyText"/>
                    <w:spacing w:after="0"/>
                    <w:ind w:left="0" w:right="57"/>
                  </w:pPr>
                  <w:r w:rsidRPr="002908CA">
                    <w:t>354.3</w:t>
                  </w:r>
                </w:p>
              </w:tc>
              <w:tc>
                <w:tcPr>
                  <w:tcW w:w="501" w:type="pct"/>
                </w:tcPr>
                <w:p w:rsidR="007544CA" w:rsidRPr="002908CA" w:rsidRDefault="007544CA" w:rsidP="00133508">
                  <w:pPr>
                    <w:pStyle w:val="TableBodyText"/>
                    <w:spacing w:after="0"/>
                    <w:ind w:left="0" w:right="57"/>
                  </w:pPr>
                  <w:r w:rsidRPr="002908CA">
                    <w:t>250.6</w:t>
                  </w:r>
                </w:p>
              </w:tc>
              <w:tc>
                <w:tcPr>
                  <w:tcW w:w="501" w:type="pct"/>
                  <w:shd w:val="clear" w:color="auto" w:fill="auto"/>
                </w:tcPr>
                <w:p w:rsidR="007544CA" w:rsidRPr="002908CA" w:rsidRDefault="007544CA" w:rsidP="00133508">
                  <w:pPr>
                    <w:pStyle w:val="TableBodyText"/>
                    <w:spacing w:after="0"/>
                    <w:ind w:left="0" w:right="57"/>
                  </w:pPr>
                  <w:r w:rsidRPr="002908CA">
                    <w:t>228.1</w:t>
                  </w:r>
                </w:p>
              </w:tc>
              <w:tc>
                <w:tcPr>
                  <w:tcW w:w="502" w:type="pct"/>
                  <w:shd w:val="clear" w:color="auto" w:fill="auto"/>
                </w:tcPr>
                <w:p w:rsidR="007544CA" w:rsidRPr="002908CA" w:rsidRDefault="007544CA" w:rsidP="00133508">
                  <w:pPr>
                    <w:pStyle w:val="TableBodyText"/>
                    <w:spacing w:after="0"/>
                    <w:ind w:left="0" w:right="57"/>
                  </w:pPr>
                  <w:r w:rsidRPr="002908CA">
                    <w:t>217.8</w:t>
                  </w:r>
                </w:p>
              </w:tc>
            </w:tr>
            <w:tr w:rsidR="007544CA" w:rsidRPr="00013DC6" w:rsidTr="00133508">
              <w:tc>
                <w:tcPr>
                  <w:tcW w:w="1992" w:type="pct"/>
                  <w:shd w:val="clear" w:color="auto" w:fill="auto"/>
                  <w:vAlign w:val="bottom"/>
                </w:tcPr>
                <w:p w:rsidR="007544CA" w:rsidRPr="00013DC6" w:rsidRDefault="007544CA" w:rsidP="00133508">
                  <w:pPr>
                    <w:rPr>
                      <w:rFonts w:ascii="Arial" w:hAnsi="Arial" w:cs="Arial"/>
                      <w:b/>
                      <w:bCs/>
                      <w:sz w:val="18"/>
                      <w:szCs w:val="18"/>
                    </w:rPr>
                  </w:pPr>
                  <w:r w:rsidRPr="00013DC6">
                    <w:rPr>
                      <w:rFonts w:ascii="Arial" w:hAnsi="Arial" w:cs="Arial"/>
                      <w:b/>
                      <w:bCs/>
                      <w:sz w:val="18"/>
                      <w:szCs w:val="18"/>
                    </w:rPr>
                    <w:t>Mining</w:t>
                  </w:r>
                </w:p>
              </w:tc>
              <w:tc>
                <w:tcPr>
                  <w:tcW w:w="501" w:type="pct"/>
                </w:tcPr>
                <w:p w:rsidR="007544CA" w:rsidRPr="001D2C31" w:rsidRDefault="007544CA" w:rsidP="00133508">
                  <w:pPr>
                    <w:pStyle w:val="TableBodyText"/>
                    <w:spacing w:after="0"/>
                    <w:ind w:left="0" w:right="57"/>
                    <w:rPr>
                      <w:b/>
                    </w:rPr>
                  </w:pPr>
                  <w:r w:rsidRPr="001D2C31">
                    <w:rPr>
                      <w:b/>
                    </w:rPr>
                    <w:t>460.1</w:t>
                  </w:r>
                </w:p>
              </w:tc>
              <w:tc>
                <w:tcPr>
                  <w:tcW w:w="501" w:type="pct"/>
                </w:tcPr>
                <w:p w:rsidR="007544CA" w:rsidRPr="001D2C31" w:rsidRDefault="007544CA" w:rsidP="00133508">
                  <w:pPr>
                    <w:pStyle w:val="TableBodyText"/>
                    <w:spacing w:after="0"/>
                    <w:ind w:left="0" w:right="57"/>
                    <w:rPr>
                      <w:b/>
                    </w:rPr>
                  </w:pPr>
                  <w:r w:rsidRPr="001D2C31">
                    <w:rPr>
                      <w:b/>
                    </w:rPr>
                    <w:t>971.9</w:t>
                  </w:r>
                </w:p>
              </w:tc>
              <w:tc>
                <w:tcPr>
                  <w:tcW w:w="501" w:type="pct"/>
                </w:tcPr>
                <w:p w:rsidR="007544CA" w:rsidRPr="001D2C31" w:rsidRDefault="007544CA" w:rsidP="00133508">
                  <w:pPr>
                    <w:pStyle w:val="TableBodyText"/>
                    <w:spacing w:after="0"/>
                    <w:ind w:left="0" w:right="57"/>
                    <w:rPr>
                      <w:b/>
                    </w:rPr>
                  </w:pPr>
                  <w:r w:rsidRPr="001D2C31">
                    <w:rPr>
                      <w:b/>
                    </w:rPr>
                    <w:t>547.1</w:t>
                  </w:r>
                </w:p>
              </w:tc>
              <w:tc>
                <w:tcPr>
                  <w:tcW w:w="501" w:type="pct"/>
                </w:tcPr>
                <w:p w:rsidR="007544CA" w:rsidRPr="001D2C31" w:rsidRDefault="007544CA" w:rsidP="00133508">
                  <w:pPr>
                    <w:pStyle w:val="TableBodyText"/>
                    <w:spacing w:after="0"/>
                    <w:ind w:left="0" w:right="57"/>
                    <w:rPr>
                      <w:b/>
                    </w:rPr>
                  </w:pPr>
                  <w:r w:rsidRPr="001D2C31">
                    <w:rPr>
                      <w:b/>
                    </w:rPr>
                    <w:t>275.4</w:t>
                  </w:r>
                </w:p>
              </w:tc>
              <w:tc>
                <w:tcPr>
                  <w:tcW w:w="501" w:type="pct"/>
                  <w:shd w:val="clear" w:color="auto" w:fill="auto"/>
                </w:tcPr>
                <w:p w:rsidR="007544CA" w:rsidRPr="001D2C31" w:rsidRDefault="007544CA" w:rsidP="00133508">
                  <w:pPr>
                    <w:pStyle w:val="TableBodyText"/>
                    <w:spacing w:after="0"/>
                    <w:ind w:left="0" w:right="57"/>
                    <w:rPr>
                      <w:b/>
                    </w:rPr>
                  </w:pPr>
                  <w:r w:rsidRPr="001D2C31">
                    <w:rPr>
                      <w:b/>
                    </w:rPr>
                    <w:t>227.0</w:t>
                  </w:r>
                </w:p>
              </w:tc>
              <w:tc>
                <w:tcPr>
                  <w:tcW w:w="502" w:type="pct"/>
                  <w:shd w:val="clear" w:color="auto" w:fill="auto"/>
                </w:tcPr>
                <w:p w:rsidR="007544CA" w:rsidRPr="001D2C31" w:rsidRDefault="007544CA" w:rsidP="00133508">
                  <w:pPr>
                    <w:pStyle w:val="TableBodyText"/>
                    <w:spacing w:after="0"/>
                    <w:ind w:left="0" w:right="57"/>
                    <w:rPr>
                      <w:b/>
                    </w:rPr>
                  </w:pPr>
                  <w:r w:rsidRPr="001D2C31">
                    <w:rPr>
                      <w:b/>
                    </w:rPr>
                    <w:t>299.1</w:t>
                  </w:r>
                </w:p>
              </w:tc>
            </w:tr>
            <w:tr w:rsidR="007544CA" w:rsidRPr="00013DC6" w:rsidTr="00133508">
              <w:tc>
                <w:tcPr>
                  <w:tcW w:w="1992" w:type="pct"/>
                  <w:shd w:val="clear" w:color="auto" w:fill="auto"/>
                  <w:vAlign w:val="bottom"/>
                </w:tcPr>
                <w:p w:rsidR="007544CA" w:rsidRPr="00013DC6" w:rsidRDefault="007544CA" w:rsidP="00133508">
                  <w:pPr>
                    <w:rPr>
                      <w:rFonts w:ascii="Arial" w:hAnsi="Arial" w:cs="Arial"/>
                      <w:b/>
                      <w:bCs/>
                      <w:sz w:val="18"/>
                      <w:szCs w:val="18"/>
                    </w:rPr>
                  </w:pPr>
                  <w:r w:rsidRPr="00013DC6">
                    <w:rPr>
                      <w:rFonts w:ascii="Arial" w:hAnsi="Arial" w:cs="Arial"/>
                      <w:b/>
                      <w:bCs/>
                      <w:sz w:val="18"/>
                      <w:szCs w:val="18"/>
                    </w:rPr>
                    <w:t>Manufacturing</w:t>
                  </w:r>
                </w:p>
              </w:tc>
              <w:tc>
                <w:tcPr>
                  <w:tcW w:w="501" w:type="pct"/>
                </w:tcPr>
                <w:p w:rsidR="007544CA" w:rsidRPr="001D2C31" w:rsidRDefault="007544CA" w:rsidP="00133508">
                  <w:pPr>
                    <w:pStyle w:val="TableBodyText"/>
                    <w:spacing w:after="0"/>
                    <w:ind w:left="0" w:right="57"/>
                    <w:rPr>
                      <w:b/>
                    </w:rPr>
                  </w:pPr>
                  <w:r w:rsidRPr="001D2C31">
                    <w:rPr>
                      <w:b/>
                    </w:rPr>
                    <w:t>8037.2</w:t>
                  </w:r>
                </w:p>
              </w:tc>
              <w:tc>
                <w:tcPr>
                  <w:tcW w:w="501" w:type="pct"/>
                </w:tcPr>
                <w:p w:rsidR="007544CA" w:rsidRPr="001D2C31" w:rsidRDefault="007544CA" w:rsidP="00133508">
                  <w:pPr>
                    <w:pStyle w:val="TableBodyText"/>
                    <w:spacing w:after="0"/>
                    <w:ind w:left="0" w:right="57"/>
                    <w:rPr>
                      <w:b/>
                    </w:rPr>
                  </w:pPr>
                  <w:r w:rsidRPr="001D2C31">
                    <w:rPr>
                      <w:b/>
                    </w:rPr>
                    <w:t>7644.9</w:t>
                  </w:r>
                </w:p>
              </w:tc>
              <w:tc>
                <w:tcPr>
                  <w:tcW w:w="501" w:type="pct"/>
                </w:tcPr>
                <w:p w:rsidR="007544CA" w:rsidRPr="001D2C31" w:rsidRDefault="007544CA" w:rsidP="00133508">
                  <w:pPr>
                    <w:pStyle w:val="TableBodyText"/>
                    <w:spacing w:after="0"/>
                    <w:ind w:left="0" w:right="57"/>
                    <w:rPr>
                      <w:b/>
                    </w:rPr>
                  </w:pPr>
                  <w:r w:rsidRPr="001D2C31">
                    <w:rPr>
                      <w:b/>
                    </w:rPr>
                    <w:t>7620.0</w:t>
                  </w:r>
                </w:p>
              </w:tc>
              <w:tc>
                <w:tcPr>
                  <w:tcW w:w="501" w:type="pct"/>
                </w:tcPr>
                <w:p w:rsidR="007544CA" w:rsidRPr="001D2C31" w:rsidRDefault="007544CA" w:rsidP="00133508">
                  <w:pPr>
                    <w:pStyle w:val="TableBodyText"/>
                    <w:spacing w:after="0"/>
                    <w:ind w:left="0" w:right="57"/>
                    <w:rPr>
                      <w:b/>
                    </w:rPr>
                  </w:pPr>
                  <w:r w:rsidRPr="001D2C31">
                    <w:rPr>
                      <w:b/>
                    </w:rPr>
                    <w:t>7136.7</w:t>
                  </w:r>
                </w:p>
              </w:tc>
              <w:tc>
                <w:tcPr>
                  <w:tcW w:w="501" w:type="pct"/>
                  <w:shd w:val="clear" w:color="auto" w:fill="auto"/>
                </w:tcPr>
                <w:p w:rsidR="007544CA" w:rsidRPr="001D2C31" w:rsidRDefault="007544CA" w:rsidP="00133508">
                  <w:pPr>
                    <w:pStyle w:val="TableBodyText"/>
                    <w:spacing w:after="0"/>
                    <w:ind w:left="0" w:right="57"/>
                    <w:rPr>
                      <w:b/>
                    </w:rPr>
                  </w:pPr>
                  <w:r w:rsidRPr="001D2C31">
                    <w:rPr>
                      <w:b/>
                    </w:rPr>
                    <w:t>7175.6</w:t>
                  </w:r>
                </w:p>
              </w:tc>
              <w:tc>
                <w:tcPr>
                  <w:tcW w:w="502" w:type="pct"/>
                  <w:shd w:val="clear" w:color="auto" w:fill="auto"/>
                </w:tcPr>
                <w:p w:rsidR="007544CA" w:rsidRPr="001D2C31" w:rsidRDefault="007544CA" w:rsidP="00133508">
                  <w:pPr>
                    <w:pStyle w:val="TableBodyText"/>
                    <w:spacing w:after="0"/>
                    <w:ind w:left="0" w:right="57"/>
                    <w:rPr>
                      <w:b/>
                    </w:rPr>
                  </w:pPr>
                  <w:r w:rsidRPr="001D2C31">
                    <w:rPr>
                      <w:b/>
                    </w:rPr>
                    <w:t>7040.2</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Food, beverages and tobacco</w:t>
                  </w:r>
                </w:p>
              </w:tc>
              <w:tc>
                <w:tcPr>
                  <w:tcW w:w="501" w:type="pct"/>
                </w:tcPr>
                <w:p w:rsidR="007544CA" w:rsidRPr="002908CA" w:rsidRDefault="007544CA" w:rsidP="00133508">
                  <w:pPr>
                    <w:pStyle w:val="TableBodyText"/>
                    <w:spacing w:after="0"/>
                    <w:ind w:left="0" w:right="57"/>
                  </w:pPr>
                  <w:r w:rsidRPr="002908CA">
                    <w:t>1398.8</w:t>
                  </w:r>
                </w:p>
              </w:tc>
              <w:tc>
                <w:tcPr>
                  <w:tcW w:w="501" w:type="pct"/>
                </w:tcPr>
                <w:p w:rsidR="007544CA" w:rsidRPr="002908CA" w:rsidRDefault="007544CA" w:rsidP="00133508">
                  <w:pPr>
                    <w:pStyle w:val="TableBodyText"/>
                    <w:spacing w:after="0"/>
                    <w:ind w:left="0" w:right="57"/>
                  </w:pPr>
                  <w:r w:rsidRPr="002908CA">
                    <w:t>1447.4</w:t>
                  </w:r>
                </w:p>
              </w:tc>
              <w:tc>
                <w:tcPr>
                  <w:tcW w:w="501" w:type="pct"/>
                </w:tcPr>
                <w:p w:rsidR="007544CA" w:rsidRPr="002908CA" w:rsidRDefault="007544CA" w:rsidP="00133508">
                  <w:pPr>
                    <w:pStyle w:val="TableBodyText"/>
                    <w:spacing w:after="0"/>
                    <w:ind w:left="0" w:right="57"/>
                  </w:pPr>
                  <w:r w:rsidRPr="002908CA">
                    <w:t>1398.6</w:t>
                  </w:r>
                </w:p>
              </w:tc>
              <w:tc>
                <w:tcPr>
                  <w:tcW w:w="501" w:type="pct"/>
                </w:tcPr>
                <w:p w:rsidR="007544CA" w:rsidRPr="002908CA" w:rsidRDefault="007544CA" w:rsidP="00133508">
                  <w:pPr>
                    <w:pStyle w:val="TableBodyText"/>
                    <w:spacing w:after="0"/>
                    <w:ind w:left="0" w:right="57"/>
                  </w:pPr>
                  <w:r w:rsidRPr="002908CA">
                    <w:t>1455.0</w:t>
                  </w:r>
                </w:p>
              </w:tc>
              <w:tc>
                <w:tcPr>
                  <w:tcW w:w="501" w:type="pct"/>
                  <w:shd w:val="clear" w:color="auto" w:fill="auto"/>
                </w:tcPr>
                <w:p w:rsidR="007544CA" w:rsidRPr="002908CA" w:rsidRDefault="007544CA" w:rsidP="00133508">
                  <w:pPr>
                    <w:pStyle w:val="TableBodyText"/>
                    <w:spacing w:after="0"/>
                    <w:ind w:left="0" w:right="57"/>
                  </w:pPr>
                  <w:r w:rsidRPr="002908CA">
                    <w:t>1514.0</w:t>
                  </w:r>
                </w:p>
              </w:tc>
              <w:tc>
                <w:tcPr>
                  <w:tcW w:w="502" w:type="pct"/>
                  <w:shd w:val="clear" w:color="auto" w:fill="auto"/>
                </w:tcPr>
                <w:p w:rsidR="007544CA" w:rsidRPr="002908CA" w:rsidRDefault="007544CA" w:rsidP="00133508">
                  <w:pPr>
                    <w:pStyle w:val="TableBodyText"/>
                    <w:spacing w:after="0"/>
                    <w:ind w:left="0" w:right="57"/>
                  </w:pPr>
                  <w:r w:rsidRPr="002908CA">
                    <w:t>1460.0</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Textile</w:t>
                  </w:r>
                  <w:r>
                    <w:rPr>
                      <w:rFonts w:ascii="Arial" w:hAnsi="Arial" w:cs="Arial"/>
                      <w:sz w:val="18"/>
                      <w:szCs w:val="18"/>
                    </w:rPr>
                    <w:t>s</w:t>
                  </w:r>
                  <w:r w:rsidRPr="00BE7B87">
                    <w:rPr>
                      <w:rFonts w:ascii="Arial" w:hAnsi="Arial" w:cs="Arial"/>
                      <w:sz w:val="18"/>
                      <w:szCs w:val="18"/>
                    </w:rPr>
                    <w:t>, leather, clothing and footwear</w:t>
                  </w:r>
                </w:p>
              </w:tc>
              <w:tc>
                <w:tcPr>
                  <w:tcW w:w="501" w:type="pct"/>
                </w:tcPr>
                <w:p w:rsidR="007544CA" w:rsidRPr="002908CA" w:rsidRDefault="007544CA" w:rsidP="00133508">
                  <w:pPr>
                    <w:pStyle w:val="TableBodyText"/>
                    <w:spacing w:after="0"/>
                    <w:ind w:left="0" w:right="57"/>
                  </w:pPr>
                  <w:r w:rsidRPr="002908CA">
                    <w:t>508.3</w:t>
                  </w:r>
                </w:p>
              </w:tc>
              <w:tc>
                <w:tcPr>
                  <w:tcW w:w="501" w:type="pct"/>
                </w:tcPr>
                <w:p w:rsidR="007544CA" w:rsidRPr="002908CA" w:rsidRDefault="007544CA" w:rsidP="00133508">
                  <w:pPr>
                    <w:pStyle w:val="TableBodyText"/>
                    <w:spacing w:after="0"/>
                    <w:ind w:left="0" w:right="57"/>
                  </w:pPr>
                  <w:r w:rsidRPr="002908CA">
                    <w:t>394.8</w:t>
                  </w:r>
                </w:p>
              </w:tc>
              <w:tc>
                <w:tcPr>
                  <w:tcW w:w="501" w:type="pct"/>
                </w:tcPr>
                <w:p w:rsidR="007544CA" w:rsidRPr="002908CA" w:rsidRDefault="007544CA" w:rsidP="00133508">
                  <w:pPr>
                    <w:pStyle w:val="TableBodyText"/>
                    <w:spacing w:after="0"/>
                    <w:ind w:left="0" w:right="57"/>
                  </w:pPr>
                  <w:r w:rsidRPr="002908CA">
                    <w:t>311.7</w:t>
                  </w:r>
                </w:p>
              </w:tc>
              <w:tc>
                <w:tcPr>
                  <w:tcW w:w="501" w:type="pct"/>
                </w:tcPr>
                <w:p w:rsidR="007544CA" w:rsidRPr="002908CA" w:rsidRDefault="007544CA" w:rsidP="00133508">
                  <w:pPr>
                    <w:pStyle w:val="TableBodyText"/>
                    <w:spacing w:after="0"/>
                    <w:ind w:left="0" w:right="57"/>
                  </w:pPr>
                  <w:r w:rsidRPr="002908CA">
                    <w:t>302.1</w:t>
                  </w:r>
                </w:p>
              </w:tc>
              <w:tc>
                <w:tcPr>
                  <w:tcW w:w="501" w:type="pct"/>
                  <w:shd w:val="clear" w:color="auto" w:fill="auto"/>
                </w:tcPr>
                <w:p w:rsidR="007544CA" w:rsidRPr="002908CA" w:rsidRDefault="007544CA" w:rsidP="00133508">
                  <w:pPr>
                    <w:pStyle w:val="TableBodyText"/>
                    <w:spacing w:after="0"/>
                    <w:ind w:left="0" w:right="57"/>
                  </w:pPr>
                  <w:r w:rsidRPr="002908CA">
                    <w:t>316.4</w:t>
                  </w:r>
                </w:p>
              </w:tc>
              <w:tc>
                <w:tcPr>
                  <w:tcW w:w="502" w:type="pct"/>
                  <w:shd w:val="clear" w:color="auto" w:fill="auto"/>
                </w:tcPr>
                <w:p w:rsidR="007544CA" w:rsidRPr="002908CA" w:rsidRDefault="007544CA" w:rsidP="00133508">
                  <w:pPr>
                    <w:pStyle w:val="TableBodyText"/>
                    <w:spacing w:after="0"/>
                    <w:ind w:left="0" w:right="57"/>
                  </w:pPr>
                  <w:r w:rsidRPr="002908CA">
                    <w:t>272.5</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Wood and paper products</w:t>
                  </w:r>
                </w:p>
              </w:tc>
              <w:tc>
                <w:tcPr>
                  <w:tcW w:w="501" w:type="pct"/>
                </w:tcPr>
                <w:p w:rsidR="007544CA" w:rsidRPr="002908CA" w:rsidRDefault="007544CA" w:rsidP="00133508">
                  <w:pPr>
                    <w:pStyle w:val="TableBodyText"/>
                    <w:spacing w:after="0"/>
                    <w:ind w:left="0" w:right="57"/>
                  </w:pPr>
                  <w:r w:rsidRPr="002908CA">
                    <w:t>619.3</w:t>
                  </w:r>
                </w:p>
              </w:tc>
              <w:tc>
                <w:tcPr>
                  <w:tcW w:w="501" w:type="pct"/>
                </w:tcPr>
                <w:p w:rsidR="007544CA" w:rsidRPr="002908CA" w:rsidRDefault="007544CA" w:rsidP="00133508">
                  <w:pPr>
                    <w:pStyle w:val="TableBodyText"/>
                    <w:spacing w:after="0"/>
                    <w:ind w:left="0" w:right="57"/>
                  </w:pPr>
                  <w:r w:rsidRPr="002908CA">
                    <w:t>592.1</w:t>
                  </w:r>
                </w:p>
              </w:tc>
              <w:tc>
                <w:tcPr>
                  <w:tcW w:w="501" w:type="pct"/>
                </w:tcPr>
                <w:p w:rsidR="007544CA" w:rsidRPr="002908CA" w:rsidRDefault="007544CA" w:rsidP="00133508">
                  <w:pPr>
                    <w:pStyle w:val="TableBodyText"/>
                    <w:spacing w:after="0"/>
                    <w:ind w:left="0" w:right="57"/>
                  </w:pPr>
                  <w:r w:rsidRPr="002908CA">
                    <w:t>529.0</w:t>
                  </w:r>
                </w:p>
              </w:tc>
              <w:tc>
                <w:tcPr>
                  <w:tcW w:w="501" w:type="pct"/>
                </w:tcPr>
                <w:p w:rsidR="007544CA" w:rsidRPr="002908CA" w:rsidRDefault="007544CA" w:rsidP="00133508">
                  <w:pPr>
                    <w:pStyle w:val="TableBodyText"/>
                    <w:spacing w:after="0"/>
                    <w:ind w:left="0" w:right="57"/>
                  </w:pPr>
                  <w:r w:rsidRPr="002908CA">
                    <w:t>537.5</w:t>
                  </w:r>
                </w:p>
              </w:tc>
              <w:tc>
                <w:tcPr>
                  <w:tcW w:w="501" w:type="pct"/>
                  <w:shd w:val="clear" w:color="auto" w:fill="auto"/>
                </w:tcPr>
                <w:p w:rsidR="007544CA" w:rsidRPr="002908CA" w:rsidRDefault="007544CA" w:rsidP="00133508">
                  <w:pPr>
                    <w:pStyle w:val="TableBodyText"/>
                    <w:spacing w:after="0"/>
                    <w:ind w:left="0" w:right="57"/>
                  </w:pPr>
                  <w:r w:rsidRPr="002908CA">
                    <w:t>544.1</w:t>
                  </w:r>
                </w:p>
              </w:tc>
              <w:tc>
                <w:tcPr>
                  <w:tcW w:w="502" w:type="pct"/>
                  <w:shd w:val="clear" w:color="auto" w:fill="auto"/>
                </w:tcPr>
                <w:p w:rsidR="007544CA" w:rsidRPr="002908CA" w:rsidRDefault="007544CA" w:rsidP="00133508">
                  <w:pPr>
                    <w:pStyle w:val="TableBodyText"/>
                    <w:spacing w:after="0"/>
                    <w:ind w:left="0" w:right="57"/>
                  </w:pPr>
                  <w:r w:rsidRPr="002908CA">
                    <w:t>577.2</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Printing and recorded media</w:t>
                  </w:r>
                </w:p>
              </w:tc>
              <w:tc>
                <w:tcPr>
                  <w:tcW w:w="501" w:type="pct"/>
                </w:tcPr>
                <w:p w:rsidR="007544CA" w:rsidRPr="002908CA" w:rsidRDefault="007544CA" w:rsidP="00133508">
                  <w:pPr>
                    <w:pStyle w:val="TableBodyText"/>
                    <w:spacing w:after="0"/>
                    <w:ind w:left="0" w:right="57"/>
                  </w:pPr>
                  <w:r w:rsidRPr="002908CA">
                    <w:t>209.3</w:t>
                  </w:r>
                </w:p>
              </w:tc>
              <w:tc>
                <w:tcPr>
                  <w:tcW w:w="501" w:type="pct"/>
                </w:tcPr>
                <w:p w:rsidR="007544CA" w:rsidRPr="002908CA" w:rsidRDefault="007544CA" w:rsidP="00133508">
                  <w:pPr>
                    <w:pStyle w:val="TableBodyText"/>
                    <w:spacing w:after="0"/>
                    <w:ind w:left="0" w:right="57"/>
                  </w:pPr>
                  <w:r w:rsidRPr="002908CA">
                    <w:t>210.8</w:t>
                  </w:r>
                </w:p>
              </w:tc>
              <w:tc>
                <w:tcPr>
                  <w:tcW w:w="501" w:type="pct"/>
                </w:tcPr>
                <w:p w:rsidR="007544CA" w:rsidRPr="002908CA" w:rsidRDefault="007544CA" w:rsidP="00133508">
                  <w:pPr>
                    <w:pStyle w:val="TableBodyText"/>
                    <w:spacing w:after="0"/>
                    <w:ind w:left="0" w:right="57"/>
                  </w:pPr>
                  <w:r w:rsidRPr="002908CA">
                    <w:t>190.2</w:t>
                  </w:r>
                </w:p>
              </w:tc>
              <w:tc>
                <w:tcPr>
                  <w:tcW w:w="501" w:type="pct"/>
                </w:tcPr>
                <w:p w:rsidR="007544CA" w:rsidRPr="002908CA" w:rsidRDefault="007544CA" w:rsidP="00133508">
                  <w:pPr>
                    <w:pStyle w:val="TableBodyText"/>
                    <w:spacing w:after="0"/>
                    <w:ind w:left="0" w:right="57"/>
                  </w:pPr>
                  <w:r w:rsidRPr="002908CA">
                    <w:t>183.7</w:t>
                  </w:r>
                </w:p>
              </w:tc>
              <w:tc>
                <w:tcPr>
                  <w:tcW w:w="501" w:type="pct"/>
                  <w:shd w:val="clear" w:color="auto" w:fill="auto"/>
                </w:tcPr>
                <w:p w:rsidR="007544CA" w:rsidRPr="002908CA" w:rsidRDefault="007544CA" w:rsidP="00133508">
                  <w:pPr>
                    <w:pStyle w:val="TableBodyText"/>
                    <w:spacing w:after="0"/>
                    <w:ind w:left="0" w:right="57"/>
                  </w:pPr>
                  <w:r w:rsidRPr="002908CA">
                    <w:t>177.9</w:t>
                  </w:r>
                </w:p>
              </w:tc>
              <w:tc>
                <w:tcPr>
                  <w:tcW w:w="502" w:type="pct"/>
                  <w:shd w:val="clear" w:color="auto" w:fill="auto"/>
                </w:tcPr>
                <w:p w:rsidR="007544CA" w:rsidRPr="002908CA" w:rsidRDefault="007544CA" w:rsidP="00133508">
                  <w:pPr>
                    <w:pStyle w:val="TableBodyText"/>
                    <w:spacing w:after="0"/>
                    <w:ind w:left="0" w:right="57"/>
                  </w:pPr>
                  <w:r w:rsidRPr="002908CA">
                    <w:t>167.2</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Petroleum, coal, chemical and rubber</w:t>
                  </w:r>
                </w:p>
              </w:tc>
              <w:tc>
                <w:tcPr>
                  <w:tcW w:w="501" w:type="pct"/>
                </w:tcPr>
                <w:p w:rsidR="007544CA" w:rsidRPr="002908CA" w:rsidRDefault="007544CA" w:rsidP="00133508">
                  <w:pPr>
                    <w:pStyle w:val="TableBodyText"/>
                    <w:spacing w:after="0"/>
                    <w:ind w:left="0" w:right="57"/>
                  </w:pPr>
                  <w:r w:rsidRPr="002908CA">
                    <w:t>1010.4</w:t>
                  </w:r>
                </w:p>
              </w:tc>
              <w:tc>
                <w:tcPr>
                  <w:tcW w:w="501" w:type="pct"/>
                </w:tcPr>
                <w:p w:rsidR="007544CA" w:rsidRPr="002908CA" w:rsidRDefault="007544CA" w:rsidP="00133508">
                  <w:pPr>
                    <w:pStyle w:val="TableBodyText"/>
                    <w:spacing w:after="0"/>
                    <w:ind w:left="0" w:right="57"/>
                  </w:pPr>
                  <w:r w:rsidRPr="002908CA">
                    <w:t>1080.4</w:t>
                  </w:r>
                </w:p>
              </w:tc>
              <w:tc>
                <w:tcPr>
                  <w:tcW w:w="501" w:type="pct"/>
                </w:tcPr>
                <w:p w:rsidR="007544CA" w:rsidRPr="002908CA" w:rsidRDefault="007544CA" w:rsidP="00133508">
                  <w:pPr>
                    <w:pStyle w:val="TableBodyText"/>
                    <w:spacing w:after="0"/>
                    <w:ind w:left="0" w:right="57"/>
                  </w:pPr>
                  <w:r w:rsidRPr="002908CA">
                    <w:t>1023.0</w:t>
                  </w:r>
                </w:p>
              </w:tc>
              <w:tc>
                <w:tcPr>
                  <w:tcW w:w="501" w:type="pct"/>
                </w:tcPr>
                <w:p w:rsidR="007544CA" w:rsidRPr="002908CA" w:rsidRDefault="007544CA" w:rsidP="00133508">
                  <w:pPr>
                    <w:pStyle w:val="TableBodyText"/>
                    <w:spacing w:after="0"/>
                    <w:ind w:left="0" w:right="57"/>
                  </w:pPr>
                  <w:r w:rsidRPr="002908CA">
                    <w:t>990.8</w:t>
                  </w:r>
                </w:p>
              </w:tc>
              <w:tc>
                <w:tcPr>
                  <w:tcW w:w="501" w:type="pct"/>
                  <w:shd w:val="clear" w:color="auto" w:fill="auto"/>
                </w:tcPr>
                <w:p w:rsidR="007544CA" w:rsidRPr="002908CA" w:rsidRDefault="007544CA" w:rsidP="00133508">
                  <w:pPr>
                    <w:pStyle w:val="TableBodyText"/>
                    <w:spacing w:after="0"/>
                    <w:ind w:left="0" w:right="57"/>
                  </w:pPr>
                  <w:r w:rsidRPr="002908CA">
                    <w:t>998.9</w:t>
                  </w:r>
                </w:p>
              </w:tc>
              <w:tc>
                <w:tcPr>
                  <w:tcW w:w="502" w:type="pct"/>
                  <w:shd w:val="clear" w:color="auto" w:fill="auto"/>
                </w:tcPr>
                <w:p w:rsidR="007544CA" w:rsidRPr="002908CA" w:rsidRDefault="007544CA" w:rsidP="00133508">
                  <w:pPr>
                    <w:pStyle w:val="TableBodyText"/>
                    <w:spacing w:after="0"/>
                    <w:ind w:left="0" w:right="57"/>
                  </w:pPr>
                  <w:r w:rsidRPr="002908CA">
                    <w:t>989.2</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Non</w:t>
                  </w:r>
                  <w:r>
                    <w:rPr>
                      <w:rFonts w:ascii="Arial" w:hAnsi="Arial" w:cs="Arial"/>
                      <w:sz w:val="18"/>
                      <w:szCs w:val="18"/>
                    </w:rPr>
                    <w:noBreakHyphen/>
                  </w:r>
                  <w:r w:rsidRPr="00BE7B87">
                    <w:rPr>
                      <w:rFonts w:ascii="Arial" w:hAnsi="Arial" w:cs="Arial"/>
                      <w:sz w:val="18"/>
                      <w:szCs w:val="18"/>
                    </w:rPr>
                    <w:t>metallic mineral products</w:t>
                  </w:r>
                </w:p>
              </w:tc>
              <w:tc>
                <w:tcPr>
                  <w:tcW w:w="501" w:type="pct"/>
                </w:tcPr>
                <w:p w:rsidR="007544CA" w:rsidRPr="002908CA" w:rsidRDefault="007544CA" w:rsidP="00133508">
                  <w:pPr>
                    <w:pStyle w:val="TableBodyText"/>
                    <w:spacing w:after="0"/>
                    <w:ind w:left="0" w:right="57"/>
                  </w:pPr>
                  <w:r w:rsidRPr="002908CA">
                    <w:t>257.4</w:t>
                  </w:r>
                </w:p>
              </w:tc>
              <w:tc>
                <w:tcPr>
                  <w:tcW w:w="501" w:type="pct"/>
                </w:tcPr>
                <w:p w:rsidR="007544CA" w:rsidRPr="002908CA" w:rsidRDefault="007544CA" w:rsidP="00133508">
                  <w:pPr>
                    <w:pStyle w:val="TableBodyText"/>
                    <w:spacing w:after="0"/>
                    <w:ind w:left="0" w:right="57"/>
                  </w:pPr>
                  <w:r w:rsidRPr="002908CA">
                    <w:t>252.7</w:t>
                  </w:r>
                </w:p>
              </w:tc>
              <w:tc>
                <w:tcPr>
                  <w:tcW w:w="501" w:type="pct"/>
                </w:tcPr>
                <w:p w:rsidR="007544CA" w:rsidRPr="002908CA" w:rsidRDefault="007544CA" w:rsidP="00133508">
                  <w:pPr>
                    <w:pStyle w:val="TableBodyText"/>
                    <w:spacing w:after="0"/>
                    <w:ind w:left="0" w:right="57"/>
                  </w:pPr>
                  <w:r w:rsidRPr="002908CA">
                    <w:t>231.1</w:t>
                  </w:r>
                </w:p>
              </w:tc>
              <w:tc>
                <w:tcPr>
                  <w:tcW w:w="501" w:type="pct"/>
                </w:tcPr>
                <w:p w:rsidR="007544CA" w:rsidRPr="002908CA" w:rsidRDefault="007544CA" w:rsidP="00133508">
                  <w:pPr>
                    <w:pStyle w:val="TableBodyText"/>
                    <w:spacing w:after="0"/>
                    <w:ind w:left="0" w:right="57"/>
                  </w:pPr>
                  <w:r w:rsidRPr="002908CA">
                    <w:t>226.6</w:t>
                  </w:r>
                </w:p>
              </w:tc>
              <w:tc>
                <w:tcPr>
                  <w:tcW w:w="501" w:type="pct"/>
                  <w:shd w:val="clear" w:color="auto" w:fill="auto"/>
                </w:tcPr>
                <w:p w:rsidR="007544CA" w:rsidRPr="002908CA" w:rsidRDefault="007544CA" w:rsidP="00133508">
                  <w:pPr>
                    <w:pStyle w:val="TableBodyText"/>
                    <w:spacing w:after="0"/>
                    <w:ind w:left="0" w:right="57"/>
                  </w:pPr>
                  <w:r w:rsidRPr="002908CA">
                    <w:t>243.8</w:t>
                  </w:r>
                </w:p>
              </w:tc>
              <w:tc>
                <w:tcPr>
                  <w:tcW w:w="502" w:type="pct"/>
                  <w:shd w:val="clear" w:color="auto" w:fill="auto"/>
                </w:tcPr>
                <w:p w:rsidR="007544CA" w:rsidRPr="002908CA" w:rsidRDefault="007544CA" w:rsidP="00133508">
                  <w:pPr>
                    <w:pStyle w:val="TableBodyText"/>
                    <w:spacing w:after="0"/>
                    <w:ind w:left="0" w:right="57"/>
                  </w:pPr>
                  <w:r w:rsidRPr="002908CA">
                    <w:t>249.3</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Metal and fabricated metal products</w:t>
                  </w:r>
                </w:p>
              </w:tc>
              <w:tc>
                <w:tcPr>
                  <w:tcW w:w="501" w:type="pct"/>
                </w:tcPr>
                <w:p w:rsidR="007544CA" w:rsidRPr="002908CA" w:rsidRDefault="007544CA" w:rsidP="00133508">
                  <w:pPr>
                    <w:pStyle w:val="TableBodyText"/>
                    <w:spacing w:after="0"/>
                    <w:ind w:left="0" w:right="57"/>
                  </w:pPr>
                  <w:r w:rsidRPr="002908CA">
                    <w:t>1459.9</w:t>
                  </w:r>
                </w:p>
              </w:tc>
              <w:tc>
                <w:tcPr>
                  <w:tcW w:w="501" w:type="pct"/>
                </w:tcPr>
                <w:p w:rsidR="007544CA" w:rsidRPr="002908CA" w:rsidRDefault="007544CA" w:rsidP="00133508">
                  <w:pPr>
                    <w:pStyle w:val="TableBodyText"/>
                    <w:spacing w:after="0"/>
                    <w:ind w:left="0" w:right="57"/>
                  </w:pPr>
                  <w:r w:rsidRPr="002908CA">
                    <w:t>1535.7</w:t>
                  </w:r>
                </w:p>
              </w:tc>
              <w:tc>
                <w:tcPr>
                  <w:tcW w:w="501" w:type="pct"/>
                </w:tcPr>
                <w:p w:rsidR="007544CA" w:rsidRPr="002908CA" w:rsidRDefault="007544CA" w:rsidP="00133508">
                  <w:pPr>
                    <w:pStyle w:val="TableBodyText"/>
                    <w:spacing w:after="0"/>
                    <w:ind w:left="0" w:right="57"/>
                  </w:pPr>
                  <w:r w:rsidRPr="002908CA">
                    <w:t>1719.5</w:t>
                  </w:r>
                </w:p>
              </w:tc>
              <w:tc>
                <w:tcPr>
                  <w:tcW w:w="501" w:type="pct"/>
                </w:tcPr>
                <w:p w:rsidR="007544CA" w:rsidRPr="002908CA" w:rsidRDefault="007544CA" w:rsidP="00133508">
                  <w:pPr>
                    <w:pStyle w:val="TableBodyText"/>
                    <w:spacing w:after="0"/>
                    <w:ind w:left="0" w:right="57"/>
                  </w:pPr>
                  <w:r w:rsidRPr="002908CA">
                    <w:t>1492.0</w:t>
                  </w:r>
                </w:p>
              </w:tc>
              <w:tc>
                <w:tcPr>
                  <w:tcW w:w="501" w:type="pct"/>
                  <w:shd w:val="clear" w:color="auto" w:fill="auto"/>
                </w:tcPr>
                <w:p w:rsidR="007544CA" w:rsidRPr="002908CA" w:rsidRDefault="007544CA" w:rsidP="00133508">
                  <w:pPr>
                    <w:pStyle w:val="TableBodyText"/>
                    <w:spacing w:after="0"/>
                    <w:ind w:left="0" w:right="57"/>
                  </w:pPr>
                  <w:r w:rsidRPr="002908CA">
                    <w:t>1546.8</w:t>
                  </w:r>
                </w:p>
              </w:tc>
              <w:tc>
                <w:tcPr>
                  <w:tcW w:w="502" w:type="pct"/>
                  <w:shd w:val="clear" w:color="auto" w:fill="auto"/>
                </w:tcPr>
                <w:p w:rsidR="007544CA" w:rsidRPr="002908CA" w:rsidRDefault="007544CA" w:rsidP="00133508">
                  <w:pPr>
                    <w:pStyle w:val="TableBodyText"/>
                    <w:spacing w:after="0"/>
                    <w:ind w:left="0" w:right="57"/>
                  </w:pPr>
                  <w:r w:rsidRPr="002908CA">
                    <w:t>1591.5</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Motor vehicle</w:t>
                  </w:r>
                  <w:r>
                    <w:rPr>
                      <w:rFonts w:ascii="Arial" w:hAnsi="Arial" w:cs="Arial"/>
                      <w:sz w:val="18"/>
                      <w:szCs w:val="18"/>
                    </w:rPr>
                    <w:t>s</w:t>
                  </w:r>
                  <w:r w:rsidRPr="00BE7B87">
                    <w:rPr>
                      <w:rFonts w:ascii="Arial" w:hAnsi="Arial" w:cs="Arial"/>
                      <w:sz w:val="18"/>
                      <w:szCs w:val="18"/>
                    </w:rPr>
                    <w:t xml:space="preserve"> and parts</w:t>
                  </w:r>
                </w:p>
              </w:tc>
              <w:tc>
                <w:tcPr>
                  <w:tcW w:w="501" w:type="pct"/>
                </w:tcPr>
                <w:p w:rsidR="007544CA" w:rsidRPr="002908CA" w:rsidRDefault="007544CA" w:rsidP="00133508">
                  <w:pPr>
                    <w:pStyle w:val="TableBodyText"/>
                    <w:spacing w:after="0"/>
                    <w:ind w:left="0" w:right="57"/>
                  </w:pPr>
                  <w:r w:rsidRPr="002908CA">
                    <w:t>1420.4</w:t>
                  </w:r>
                </w:p>
              </w:tc>
              <w:tc>
                <w:tcPr>
                  <w:tcW w:w="501" w:type="pct"/>
                </w:tcPr>
                <w:p w:rsidR="007544CA" w:rsidRPr="002908CA" w:rsidRDefault="007544CA" w:rsidP="00133508">
                  <w:pPr>
                    <w:pStyle w:val="TableBodyText"/>
                    <w:spacing w:after="0"/>
                    <w:ind w:left="0" w:right="57"/>
                  </w:pPr>
                  <w:r w:rsidRPr="002908CA">
                    <w:t>1085.7</w:t>
                  </w:r>
                </w:p>
              </w:tc>
              <w:tc>
                <w:tcPr>
                  <w:tcW w:w="501" w:type="pct"/>
                </w:tcPr>
                <w:p w:rsidR="007544CA" w:rsidRPr="002908CA" w:rsidRDefault="007544CA" w:rsidP="00133508">
                  <w:pPr>
                    <w:pStyle w:val="TableBodyText"/>
                    <w:spacing w:after="0"/>
                    <w:ind w:left="0" w:right="57"/>
                  </w:pPr>
                  <w:r w:rsidRPr="002908CA">
                    <w:t>1162.7</w:t>
                  </w:r>
                </w:p>
              </w:tc>
              <w:tc>
                <w:tcPr>
                  <w:tcW w:w="501" w:type="pct"/>
                </w:tcPr>
                <w:p w:rsidR="007544CA" w:rsidRPr="002908CA" w:rsidRDefault="007544CA" w:rsidP="00133508">
                  <w:pPr>
                    <w:pStyle w:val="TableBodyText"/>
                    <w:spacing w:after="0"/>
                    <w:ind w:left="0" w:right="57"/>
                  </w:pPr>
                  <w:r w:rsidRPr="002908CA">
                    <w:t>956.1</w:t>
                  </w:r>
                </w:p>
              </w:tc>
              <w:tc>
                <w:tcPr>
                  <w:tcW w:w="501" w:type="pct"/>
                  <w:shd w:val="clear" w:color="auto" w:fill="auto"/>
                </w:tcPr>
                <w:p w:rsidR="007544CA" w:rsidRPr="002908CA" w:rsidRDefault="007544CA" w:rsidP="00133508">
                  <w:pPr>
                    <w:pStyle w:val="TableBodyText"/>
                    <w:spacing w:after="0"/>
                    <w:ind w:left="0" w:right="57"/>
                  </w:pPr>
                  <w:r w:rsidRPr="002908CA">
                    <w:t>870.6</w:t>
                  </w:r>
                </w:p>
              </w:tc>
              <w:tc>
                <w:tcPr>
                  <w:tcW w:w="502" w:type="pct"/>
                  <w:shd w:val="clear" w:color="auto" w:fill="auto"/>
                </w:tcPr>
                <w:p w:rsidR="007544CA" w:rsidRPr="002908CA" w:rsidRDefault="007544CA" w:rsidP="00133508">
                  <w:pPr>
                    <w:pStyle w:val="TableBodyText"/>
                    <w:spacing w:after="0"/>
                    <w:ind w:left="0" w:right="57"/>
                  </w:pPr>
                  <w:r w:rsidRPr="002908CA">
                    <w:t>793.3</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Other transport equipment</w:t>
                  </w:r>
                </w:p>
              </w:tc>
              <w:tc>
                <w:tcPr>
                  <w:tcW w:w="501" w:type="pct"/>
                </w:tcPr>
                <w:p w:rsidR="007544CA" w:rsidRPr="002908CA" w:rsidRDefault="007544CA" w:rsidP="00133508">
                  <w:pPr>
                    <w:pStyle w:val="TableBodyText"/>
                    <w:spacing w:after="0"/>
                    <w:ind w:left="0" w:right="57"/>
                  </w:pPr>
                  <w:r w:rsidRPr="002908CA">
                    <w:t>43.2</w:t>
                  </w:r>
                </w:p>
              </w:tc>
              <w:tc>
                <w:tcPr>
                  <w:tcW w:w="501" w:type="pct"/>
                </w:tcPr>
                <w:p w:rsidR="007544CA" w:rsidRPr="002908CA" w:rsidRDefault="007544CA" w:rsidP="00133508">
                  <w:pPr>
                    <w:pStyle w:val="TableBodyText"/>
                    <w:spacing w:after="0"/>
                    <w:ind w:left="0" w:right="57"/>
                  </w:pPr>
                  <w:r w:rsidRPr="002908CA">
                    <w:t>37.4</w:t>
                  </w:r>
                </w:p>
              </w:tc>
              <w:tc>
                <w:tcPr>
                  <w:tcW w:w="501" w:type="pct"/>
                </w:tcPr>
                <w:p w:rsidR="007544CA" w:rsidRPr="002908CA" w:rsidRDefault="007544CA" w:rsidP="00133508">
                  <w:pPr>
                    <w:pStyle w:val="TableBodyText"/>
                    <w:spacing w:after="0"/>
                    <w:ind w:left="0" w:right="57"/>
                  </w:pPr>
                  <w:r w:rsidRPr="002908CA">
                    <w:t>30.5</w:t>
                  </w:r>
                </w:p>
              </w:tc>
              <w:tc>
                <w:tcPr>
                  <w:tcW w:w="501" w:type="pct"/>
                </w:tcPr>
                <w:p w:rsidR="007544CA" w:rsidRPr="002908CA" w:rsidRDefault="007544CA" w:rsidP="00133508">
                  <w:pPr>
                    <w:pStyle w:val="TableBodyText"/>
                    <w:spacing w:after="0"/>
                    <w:ind w:left="0" w:right="57"/>
                  </w:pPr>
                  <w:r w:rsidRPr="002908CA">
                    <w:t>29.2</w:t>
                  </w:r>
                </w:p>
              </w:tc>
              <w:tc>
                <w:tcPr>
                  <w:tcW w:w="501" w:type="pct"/>
                  <w:shd w:val="clear" w:color="auto" w:fill="auto"/>
                </w:tcPr>
                <w:p w:rsidR="007544CA" w:rsidRPr="002908CA" w:rsidRDefault="007544CA" w:rsidP="00133508">
                  <w:pPr>
                    <w:pStyle w:val="TableBodyText"/>
                    <w:spacing w:after="0"/>
                    <w:ind w:left="0" w:right="57"/>
                  </w:pPr>
                  <w:r w:rsidRPr="002908CA">
                    <w:t>36.0</w:t>
                  </w:r>
                </w:p>
              </w:tc>
              <w:tc>
                <w:tcPr>
                  <w:tcW w:w="502" w:type="pct"/>
                  <w:shd w:val="clear" w:color="auto" w:fill="auto"/>
                </w:tcPr>
                <w:p w:rsidR="007544CA" w:rsidRPr="002908CA" w:rsidRDefault="007544CA" w:rsidP="00133508">
                  <w:pPr>
                    <w:pStyle w:val="TableBodyText"/>
                    <w:spacing w:after="0"/>
                    <w:ind w:left="0" w:right="57"/>
                  </w:pPr>
                  <w:r w:rsidRPr="002908CA">
                    <w:t>25.8</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Machinery &amp; equipment manufacturing</w:t>
                  </w:r>
                </w:p>
              </w:tc>
              <w:tc>
                <w:tcPr>
                  <w:tcW w:w="501" w:type="pct"/>
                </w:tcPr>
                <w:p w:rsidR="007544CA" w:rsidRPr="002908CA" w:rsidRDefault="007544CA" w:rsidP="00133508">
                  <w:pPr>
                    <w:pStyle w:val="TableBodyText"/>
                    <w:spacing w:after="0"/>
                    <w:ind w:left="0" w:right="57"/>
                  </w:pPr>
                  <w:r w:rsidRPr="002908CA">
                    <w:t>653.4</w:t>
                  </w:r>
                </w:p>
              </w:tc>
              <w:tc>
                <w:tcPr>
                  <w:tcW w:w="501" w:type="pct"/>
                </w:tcPr>
                <w:p w:rsidR="007544CA" w:rsidRPr="002908CA" w:rsidRDefault="007544CA" w:rsidP="00133508">
                  <w:pPr>
                    <w:pStyle w:val="TableBodyText"/>
                    <w:spacing w:after="0"/>
                    <w:ind w:left="0" w:right="57"/>
                  </w:pPr>
                  <w:r w:rsidRPr="002908CA">
                    <w:t>592.1</w:t>
                  </w:r>
                </w:p>
              </w:tc>
              <w:tc>
                <w:tcPr>
                  <w:tcW w:w="501" w:type="pct"/>
                </w:tcPr>
                <w:p w:rsidR="007544CA" w:rsidRPr="002908CA" w:rsidRDefault="007544CA" w:rsidP="00133508">
                  <w:pPr>
                    <w:pStyle w:val="TableBodyText"/>
                    <w:spacing w:after="0"/>
                    <w:ind w:left="0" w:right="57"/>
                  </w:pPr>
                  <w:r w:rsidRPr="002908CA">
                    <w:t>600.5</w:t>
                  </w:r>
                </w:p>
              </w:tc>
              <w:tc>
                <w:tcPr>
                  <w:tcW w:w="501" w:type="pct"/>
                </w:tcPr>
                <w:p w:rsidR="007544CA" w:rsidRPr="002908CA" w:rsidRDefault="007544CA" w:rsidP="00133508">
                  <w:pPr>
                    <w:pStyle w:val="TableBodyText"/>
                    <w:spacing w:after="0"/>
                    <w:ind w:left="0" w:right="57"/>
                  </w:pPr>
                  <w:r w:rsidRPr="002908CA">
                    <w:t>576.7</w:t>
                  </w:r>
                </w:p>
              </w:tc>
              <w:tc>
                <w:tcPr>
                  <w:tcW w:w="501" w:type="pct"/>
                  <w:shd w:val="clear" w:color="auto" w:fill="auto"/>
                </w:tcPr>
                <w:p w:rsidR="007544CA" w:rsidRPr="002908CA" w:rsidRDefault="007544CA" w:rsidP="00133508">
                  <w:pPr>
                    <w:pStyle w:val="TableBodyText"/>
                    <w:spacing w:after="0"/>
                    <w:ind w:left="0" w:right="57"/>
                  </w:pPr>
                  <w:r w:rsidRPr="002908CA">
                    <w:t>561.7</w:t>
                  </w:r>
                </w:p>
              </w:tc>
              <w:tc>
                <w:tcPr>
                  <w:tcW w:w="502" w:type="pct"/>
                  <w:shd w:val="clear" w:color="auto" w:fill="auto"/>
                </w:tcPr>
                <w:p w:rsidR="007544CA" w:rsidRPr="002908CA" w:rsidRDefault="007544CA" w:rsidP="00133508">
                  <w:pPr>
                    <w:pStyle w:val="TableBodyText"/>
                    <w:spacing w:after="0"/>
                    <w:ind w:left="0" w:right="57"/>
                  </w:pPr>
                  <w:r w:rsidRPr="002908CA">
                    <w:t>520.7</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Furniture and other manufacturing</w:t>
                  </w:r>
                </w:p>
              </w:tc>
              <w:tc>
                <w:tcPr>
                  <w:tcW w:w="501" w:type="pct"/>
                </w:tcPr>
                <w:p w:rsidR="007544CA" w:rsidRPr="002908CA" w:rsidRDefault="007544CA" w:rsidP="00133508">
                  <w:pPr>
                    <w:pStyle w:val="TableBodyText"/>
                    <w:spacing w:after="0"/>
                    <w:ind w:left="0" w:right="57"/>
                  </w:pPr>
                  <w:r w:rsidRPr="002908CA">
                    <w:t>185.5</w:t>
                  </w:r>
                </w:p>
              </w:tc>
              <w:tc>
                <w:tcPr>
                  <w:tcW w:w="501" w:type="pct"/>
                </w:tcPr>
                <w:p w:rsidR="007544CA" w:rsidRPr="002908CA" w:rsidRDefault="007544CA" w:rsidP="00133508">
                  <w:pPr>
                    <w:pStyle w:val="TableBodyText"/>
                    <w:spacing w:after="0"/>
                    <w:ind w:left="0" w:right="57"/>
                  </w:pPr>
                  <w:r w:rsidRPr="002908CA">
                    <w:t>179.1</w:t>
                  </w:r>
                </w:p>
              </w:tc>
              <w:tc>
                <w:tcPr>
                  <w:tcW w:w="501" w:type="pct"/>
                </w:tcPr>
                <w:p w:rsidR="007544CA" w:rsidRPr="002908CA" w:rsidRDefault="007544CA" w:rsidP="00133508">
                  <w:pPr>
                    <w:pStyle w:val="TableBodyText"/>
                    <w:spacing w:after="0"/>
                    <w:ind w:left="0" w:right="57"/>
                  </w:pPr>
                  <w:r w:rsidRPr="002908CA">
                    <w:t>193.3</w:t>
                  </w:r>
                </w:p>
              </w:tc>
              <w:tc>
                <w:tcPr>
                  <w:tcW w:w="501" w:type="pct"/>
                </w:tcPr>
                <w:p w:rsidR="007544CA" w:rsidRPr="002908CA" w:rsidRDefault="007544CA" w:rsidP="00133508">
                  <w:pPr>
                    <w:pStyle w:val="TableBodyText"/>
                    <w:spacing w:after="0"/>
                    <w:ind w:left="0" w:right="57"/>
                  </w:pPr>
                  <w:r w:rsidRPr="002908CA">
                    <w:t>183.9</w:t>
                  </w:r>
                </w:p>
              </w:tc>
              <w:tc>
                <w:tcPr>
                  <w:tcW w:w="501" w:type="pct"/>
                  <w:shd w:val="clear" w:color="auto" w:fill="auto"/>
                </w:tcPr>
                <w:p w:rsidR="007544CA" w:rsidRPr="002908CA" w:rsidRDefault="007544CA" w:rsidP="00133508">
                  <w:pPr>
                    <w:pStyle w:val="TableBodyText"/>
                    <w:spacing w:after="0"/>
                    <w:ind w:left="0" w:right="57"/>
                  </w:pPr>
                  <w:r w:rsidRPr="002908CA">
                    <w:t>167.6</w:t>
                  </w:r>
                </w:p>
              </w:tc>
              <w:tc>
                <w:tcPr>
                  <w:tcW w:w="502" w:type="pct"/>
                  <w:shd w:val="clear" w:color="auto" w:fill="auto"/>
                </w:tcPr>
                <w:p w:rsidR="007544CA" w:rsidRPr="002908CA" w:rsidRDefault="007544CA" w:rsidP="00133508">
                  <w:pPr>
                    <w:pStyle w:val="TableBodyText"/>
                    <w:spacing w:after="0"/>
                    <w:ind w:left="0" w:right="57"/>
                  </w:pPr>
                  <w:r w:rsidRPr="002908CA">
                    <w:t>158.0</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Unallocated manufacturing</w:t>
                  </w:r>
                  <w:r w:rsidRPr="008405D4">
                    <w:rPr>
                      <w:rStyle w:val="NoteLabel"/>
                    </w:rPr>
                    <w:t>b</w:t>
                  </w:r>
                </w:p>
              </w:tc>
              <w:tc>
                <w:tcPr>
                  <w:tcW w:w="501" w:type="pct"/>
                </w:tcPr>
                <w:p w:rsidR="007544CA" w:rsidRPr="002908CA" w:rsidRDefault="007544CA" w:rsidP="00133508">
                  <w:pPr>
                    <w:pStyle w:val="TableBodyText"/>
                    <w:spacing w:after="0"/>
                    <w:ind w:left="0" w:right="57"/>
                  </w:pPr>
                  <w:r w:rsidRPr="002908CA">
                    <w:t>271.4</w:t>
                  </w:r>
                </w:p>
              </w:tc>
              <w:tc>
                <w:tcPr>
                  <w:tcW w:w="501" w:type="pct"/>
                </w:tcPr>
                <w:p w:rsidR="007544CA" w:rsidRPr="002908CA" w:rsidRDefault="007544CA" w:rsidP="00133508">
                  <w:pPr>
                    <w:pStyle w:val="TableBodyText"/>
                    <w:spacing w:after="0"/>
                    <w:ind w:left="0" w:right="57"/>
                  </w:pPr>
                  <w:r w:rsidRPr="002908CA">
                    <w:t>236.8</w:t>
                  </w:r>
                </w:p>
              </w:tc>
              <w:tc>
                <w:tcPr>
                  <w:tcW w:w="501" w:type="pct"/>
                </w:tcPr>
                <w:p w:rsidR="007544CA" w:rsidRPr="002908CA" w:rsidRDefault="007544CA" w:rsidP="00133508">
                  <w:pPr>
                    <w:pStyle w:val="TableBodyText"/>
                    <w:spacing w:after="0"/>
                    <w:ind w:left="0" w:right="57"/>
                  </w:pPr>
                  <w:r w:rsidRPr="002908CA">
                    <w:t>230.0</w:t>
                  </w:r>
                </w:p>
              </w:tc>
              <w:tc>
                <w:tcPr>
                  <w:tcW w:w="501" w:type="pct"/>
                </w:tcPr>
                <w:p w:rsidR="007544CA" w:rsidRPr="002908CA" w:rsidRDefault="007544CA" w:rsidP="00133508">
                  <w:pPr>
                    <w:pStyle w:val="TableBodyText"/>
                    <w:spacing w:after="0"/>
                    <w:ind w:left="0" w:right="57"/>
                  </w:pPr>
                  <w:r w:rsidRPr="002908CA">
                    <w:t>203.2</w:t>
                  </w:r>
                </w:p>
              </w:tc>
              <w:tc>
                <w:tcPr>
                  <w:tcW w:w="501" w:type="pct"/>
                  <w:shd w:val="clear" w:color="auto" w:fill="auto"/>
                </w:tcPr>
                <w:p w:rsidR="007544CA" w:rsidRPr="002908CA" w:rsidRDefault="007544CA" w:rsidP="00133508">
                  <w:pPr>
                    <w:pStyle w:val="TableBodyText"/>
                    <w:spacing w:after="0"/>
                    <w:ind w:left="0" w:right="57"/>
                  </w:pPr>
                  <w:r w:rsidRPr="002908CA">
                    <w:t>197.7</w:t>
                  </w:r>
                </w:p>
              </w:tc>
              <w:tc>
                <w:tcPr>
                  <w:tcW w:w="502" w:type="pct"/>
                  <w:shd w:val="clear" w:color="auto" w:fill="auto"/>
                </w:tcPr>
                <w:p w:rsidR="007544CA" w:rsidRPr="002908CA" w:rsidRDefault="007544CA" w:rsidP="00133508">
                  <w:pPr>
                    <w:pStyle w:val="TableBodyText"/>
                    <w:spacing w:after="0"/>
                    <w:ind w:left="0" w:right="57"/>
                  </w:pPr>
                  <w:r w:rsidRPr="002908CA">
                    <w:t>235.8</w:t>
                  </w:r>
                </w:p>
              </w:tc>
            </w:tr>
            <w:tr w:rsidR="007544CA" w:rsidRPr="00DE108F" w:rsidTr="00133508">
              <w:tc>
                <w:tcPr>
                  <w:tcW w:w="1992" w:type="pct"/>
                  <w:shd w:val="clear" w:color="auto" w:fill="auto"/>
                  <w:vAlign w:val="bottom"/>
                </w:tcPr>
                <w:p w:rsidR="007544CA" w:rsidRPr="00DE108F" w:rsidRDefault="007544CA" w:rsidP="00133508">
                  <w:pPr>
                    <w:rPr>
                      <w:rFonts w:ascii="Arial" w:hAnsi="Arial" w:cs="Arial"/>
                      <w:b/>
                      <w:bCs/>
                      <w:sz w:val="18"/>
                      <w:szCs w:val="18"/>
                    </w:rPr>
                  </w:pPr>
                  <w:r w:rsidRPr="00DE108F">
                    <w:rPr>
                      <w:rFonts w:ascii="Arial" w:hAnsi="Arial" w:cs="Arial"/>
                      <w:b/>
                      <w:bCs/>
                      <w:sz w:val="18"/>
                      <w:szCs w:val="18"/>
                    </w:rPr>
                    <w:t>Services</w:t>
                  </w:r>
                </w:p>
              </w:tc>
              <w:tc>
                <w:tcPr>
                  <w:tcW w:w="501" w:type="pct"/>
                </w:tcPr>
                <w:p w:rsidR="007544CA" w:rsidRPr="00DE108F" w:rsidRDefault="007544CA" w:rsidP="00133508">
                  <w:pPr>
                    <w:pStyle w:val="TableBodyText"/>
                    <w:spacing w:after="0"/>
                    <w:ind w:left="0" w:right="57"/>
                    <w:rPr>
                      <w:b/>
                    </w:rPr>
                  </w:pPr>
                  <w:r w:rsidRPr="00DE108F">
                    <w:rPr>
                      <w:b/>
                    </w:rPr>
                    <w:t>326.1</w:t>
                  </w:r>
                </w:p>
              </w:tc>
              <w:tc>
                <w:tcPr>
                  <w:tcW w:w="501" w:type="pct"/>
                </w:tcPr>
                <w:p w:rsidR="007544CA" w:rsidRPr="00DE108F" w:rsidRDefault="007544CA" w:rsidP="00133508">
                  <w:pPr>
                    <w:pStyle w:val="TableBodyText"/>
                    <w:spacing w:after="0"/>
                    <w:ind w:left="0" w:right="57"/>
                    <w:rPr>
                      <w:b/>
                    </w:rPr>
                  </w:pPr>
                  <w:r w:rsidRPr="00DE108F">
                    <w:rPr>
                      <w:b/>
                    </w:rPr>
                    <w:t>232.7</w:t>
                  </w:r>
                </w:p>
              </w:tc>
              <w:tc>
                <w:tcPr>
                  <w:tcW w:w="501" w:type="pct"/>
                </w:tcPr>
                <w:p w:rsidR="007544CA" w:rsidRPr="00DE108F" w:rsidRDefault="007544CA" w:rsidP="00133508">
                  <w:pPr>
                    <w:pStyle w:val="TableBodyText"/>
                    <w:spacing w:after="0"/>
                    <w:ind w:left="0" w:right="57"/>
                    <w:rPr>
                      <w:b/>
                    </w:rPr>
                  </w:pPr>
                  <w:r w:rsidRPr="00DE108F">
                    <w:rPr>
                      <w:b/>
                    </w:rPr>
                    <w:t>437.7</w:t>
                  </w:r>
                </w:p>
              </w:tc>
              <w:tc>
                <w:tcPr>
                  <w:tcW w:w="501" w:type="pct"/>
                </w:tcPr>
                <w:p w:rsidR="007544CA" w:rsidRPr="00DE108F" w:rsidRDefault="007544CA" w:rsidP="00133508">
                  <w:pPr>
                    <w:pStyle w:val="TableBodyText"/>
                    <w:spacing w:after="0"/>
                    <w:ind w:left="0" w:right="57"/>
                    <w:rPr>
                      <w:b/>
                    </w:rPr>
                  </w:pPr>
                  <w:r>
                    <w:rPr>
                      <w:b/>
                    </w:rPr>
                    <w:noBreakHyphen/>
                  </w:r>
                  <w:r w:rsidRPr="00DE108F">
                    <w:rPr>
                      <w:b/>
                    </w:rPr>
                    <w:t>1115.1</w:t>
                  </w:r>
                </w:p>
              </w:tc>
              <w:tc>
                <w:tcPr>
                  <w:tcW w:w="501" w:type="pct"/>
                  <w:shd w:val="clear" w:color="auto" w:fill="auto"/>
                </w:tcPr>
                <w:p w:rsidR="007544CA" w:rsidRPr="00DE108F" w:rsidRDefault="007544CA" w:rsidP="00133508">
                  <w:pPr>
                    <w:pStyle w:val="TableBodyText"/>
                    <w:spacing w:after="0"/>
                    <w:ind w:left="0" w:right="57"/>
                    <w:rPr>
                      <w:b/>
                    </w:rPr>
                  </w:pPr>
                  <w:r>
                    <w:rPr>
                      <w:b/>
                    </w:rPr>
                    <w:noBreakHyphen/>
                  </w:r>
                  <w:r w:rsidRPr="00DE108F">
                    <w:rPr>
                      <w:b/>
                    </w:rPr>
                    <w:t>1435.4</w:t>
                  </w:r>
                </w:p>
              </w:tc>
              <w:tc>
                <w:tcPr>
                  <w:tcW w:w="502" w:type="pct"/>
                  <w:shd w:val="clear" w:color="auto" w:fill="auto"/>
                </w:tcPr>
                <w:p w:rsidR="007544CA" w:rsidRPr="00DE108F" w:rsidRDefault="007544CA" w:rsidP="00133508">
                  <w:pPr>
                    <w:pStyle w:val="TableBodyText"/>
                    <w:spacing w:after="0"/>
                    <w:ind w:left="0" w:right="57"/>
                    <w:rPr>
                      <w:b/>
                    </w:rPr>
                  </w:pPr>
                  <w:r>
                    <w:rPr>
                      <w:b/>
                    </w:rPr>
                    <w:noBreakHyphen/>
                  </w:r>
                  <w:r w:rsidRPr="00DE108F">
                    <w:rPr>
                      <w:b/>
                    </w:rPr>
                    <w:t>1693.6</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Electricity, gas, water &amp; waste services</w:t>
                  </w:r>
                </w:p>
              </w:tc>
              <w:tc>
                <w:tcPr>
                  <w:tcW w:w="501" w:type="pct"/>
                </w:tcPr>
                <w:p w:rsidR="007544CA" w:rsidRPr="002908CA" w:rsidRDefault="007544CA" w:rsidP="00133508">
                  <w:pPr>
                    <w:pStyle w:val="TableBodyText"/>
                    <w:spacing w:after="0"/>
                    <w:ind w:left="0" w:right="57"/>
                  </w:pPr>
                  <w:r w:rsidRPr="002908CA">
                    <w:t>103.1</w:t>
                  </w:r>
                </w:p>
              </w:tc>
              <w:tc>
                <w:tcPr>
                  <w:tcW w:w="501" w:type="pct"/>
                </w:tcPr>
                <w:p w:rsidR="007544CA" w:rsidRPr="002908CA" w:rsidRDefault="007544CA" w:rsidP="00133508">
                  <w:pPr>
                    <w:pStyle w:val="TableBodyText"/>
                    <w:spacing w:after="0"/>
                    <w:ind w:left="0" w:right="57"/>
                  </w:pPr>
                  <w:r w:rsidRPr="002908CA">
                    <w:t>386.3</w:t>
                  </w:r>
                </w:p>
              </w:tc>
              <w:tc>
                <w:tcPr>
                  <w:tcW w:w="501" w:type="pct"/>
                </w:tcPr>
                <w:p w:rsidR="007544CA" w:rsidRPr="002908CA" w:rsidRDefault="007544CA" w:rsidP="00133508">
                  <w:pPr>
                    <w:pStyle w:val="TableBodyText"/>
                    <w:spacing w:after="0"/>
                    <w:ind w:left="0" w:right="57"/>
                  </w:pPr>
                  <w:r w:rsidRPr="002908CA">
                    <w:t>1022.4</w:t>
                  </w:r>
                </w:p>
              </w:tc>
              <w:tc>
                <w:tcPr>
                  <w:tcW w:w="501" w:type="pct"/>
                </w:tcPr>
                <w:p w:rsidR="007544CA" w:rsidRPr="002908CA" w:rsidRDefault="007544CA" w:rsidP="00133508">
                  <w:pPr>
                    <w:pStyle w:val="TableBodyText"/>
                    <w:spacing w:after="0"/>
                    <w:ind w:left="0" w:right="57"/>
                  </w:pPr>
                  <w:r w:rsidRPr="002908CA">
                    <w:t>23.0</w:t>
                  </w:r>
                </w:p>
              </w:tc>
              <w:tc>
                <w:tcPr>
                  <w:tcW w:w="501" w:type="pct"/>
                  <w:shd w:val="clear" w:color="auto" w:fill="auto"/>
                </w:tcPr>
                <w:p w:rsidR="007544CA" w:rsidRPr="002908CA" w:rsidRDefault="007544CA" w:rsidP="00133508">
                  <w:pPr>
                    <w:pStyle w:val="TableBodyText"/>
                    <w:spacing w:after="0"/>
                    <w:ind w:left="0" w:right="57"/>
                  </w:pPr>
                  <w:r w:rsidRPr="002908CA">
                    <w:t>47.3</w:t>
                  </w:r>
                </w:p>
              </w:tc>
              <w:tc>
                <w:tcPr>
                  <w:tcW w:w="502" w:type="pct"/>
                  <w:shd w:val="clear" w:color="auto" w:fill="auto"/>
                </w:tcPr>
                <w:p w:rsidR="007544CA" w:rsidRPr="002908CA" w:rsidRDefault="007544CA" w:rsidP="00133508">
                  <w:pPr>
                    <w:pStyle w:val="TableBodyText"/>
                    <w:spacing w:after="0"/>
                    <w:ind w:left="0" w:right="57"/>
                  </w:pPr>
                  <w:r w:rsidRPr="002908CA">
                    <w:t>124.9</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Construction</w:t>
                  </w:r>
                </w:p>
              </w:tc>
              <w:tc>
                <w:tcPr>
                  <w:tcW w:w="501" w:type="pct"/>
                </w:tcPr>
                <w:p w:rsidR="007544CA" w:rsidRPr="002908CA" w:rsidRDefault="007544CA" w:rsidP="00133508">
                  <w:pPr>
                    <w:pStyle w:val="TableBodyText"/>
                    <w:spacing w:after="0"/>
                    <w:ind w:left="0" w:right="57"/>
                  </w:pPr>
                  <w:r>
                    <w:noBreakHyphen/>
                  </w:r>
                  <w:r w:rsidRPr="002908CA">
                    <w:t>1128.4</w:t>
                  </w:r>
                </w:p>
              </w:tc>
              <w:tc>
                <w:tcPr>
                  <w:tcW w:w="501" w:type="pct"/>
                </w:tcPr>
                <w:p w:rsidR="007544CA" w:rsidRPr="002908CA" w:rsidRDefault="007544CA" w:rsidP="00133508">
                  <w:pPr>
                    <w:pStyle w:val="TableBodyText"/>
                    <w:spacing w:after="0"/>
                    <w:ind w:left="0" w:right="57"/>
                  </w:pPr>
                  <w:r>
                    <w:noBreakHyphen/>
                  </w:r>
                  <w:r w:rsidRPr="002908CA">
                    <w:t>1300.8</w:t>
                  </w:r>
                </w:p>
              </w:tc>
              <w:tc>
                <w:tcPr>
                  <w:tcW w:w="501" w:type="pct"/>
                </w:tcPr>
                <w:p w:rsidR="007544CA" w:rsidRPr="002908CA" w:rsidRDefault="007544CA" w:rsidP="00133508">
                  <w:pPr>
                    <w:pStyle w:val="TableBodyText"/>
                    <w:spacing w:after="0"/>
                    <w:ind w:left="0" w:right="57"/>
                  </w:pPr>
                  <w:r>
                    <w:noBreakHyphen/>
                  </w:r>
                  <w:r w:rsidRPr="002908CA">
                    <w:t>1452.2</w:t>
                  </w:r>
                </w:p>
              </w:tc>
              <w:tc>
                <w:tcPr>
                  <w:tcW w:w="501" w:type="pct"/>
                </w:tcPr>
                <w:p w:rsidR="007544CA" w:rsidRPr="002908CA" w:rsidRDefault="007544CA" w:rsidP="00133508">
                  <w:pPr>
                    <w:pStyle w:val="TableBodyText"/>
                    <w:spacing w:after="0"/>
                    <w:ind w:left="0" w:right="57"/>
                  </w:pPr>
                  <w:r>
                    <w:noBreakHyphen/>
                  </w:r>
                  <w:r w:rsidRPr="002908CA">
                    <w:t>1576.1</w:t>
                  </w:r>
                </w:p>
              </w:tc>
              <w:tc>
                <w:tcPr>
                  <w:tcW w:w="501" w:type="pct"/>
                  <w:shd w:val="clear" w:color="auto" w:fill="auto"/>
                </w:tcPr>
                <w:p w:rsidR="007544CA" w:rsidRPr="002908CA" w:rsidRDefault="007544CA" w:rsidP="00133508">
                  <w:pPr>
                    <w:pStyle w:val="TableBodyText"/>
                    <w:spacing w:after="0"/>
                    <w:ind w:left="0" w:right="57"/>
                  </w:pPr>
                  <w:r>
                    <w:noBreakHyphen/>
                  </w:r>
                  <w:r w:rsidRPr="002908CA">
                    <w:t>1665.1</w:t>
                  </w:r>
                </w:p>
              </w:tc>
              <w:tc>
                <w:tcPr>
                  <w:tcW w:w="502" w:type="pct"/>
                  <w:shd w:val="clear" w:color="auto" w:fill="auto"/>
                </w:tcPr>
                <w:p w:rsidR="007544CA" w:rsidRPr="002908CA" w:rsidRDefault="007544CA" w:rsidP="00133508">
                  <w:pPr>
                    <w:pStyle w:val="TableBodyText"/>
                    <w:spacing w:after="0"/>
                    <w:ind w:left="0" w:right="57"/>
                  </w:pPr>
                  <w:r>
                    <w:noBreakHyphen/>
                  </w:r>
                  <w:r w:rsidRPr="002908CA">
                    <w:t>1838.2</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Wholesale trade</w:t>
                  </w:r>
                </w:p>
              </w:tc>
              <w:tc>
                <w:tcPr>
                  <w:tcW w:w="501" w:type="pct"/>
                </w:tcPr>
                <w:p w:rsidR="007544CA" w:rsidRPr="002908CA" w:rsidRDefault="007544CA" w:rsidP="00133508">
                  <w:pPr>
                    <w:pStyle w:val="TableBodyText"/>
                    <w:spacing w:after="0"/>
                    <w:ind w:left="0" w:right="57"/>
                  </w:pPr>
                  <w:r w:rsidRPr="002908CA">
                    <w:t>79.7</w:t>
                  </w:r>
                </w:p>
              </w:tc>
              <w:tc>
                <w:tcPr>
                  <w:tcW w:w="501" w:type="pct"/>
                </w:tcPr>
                <w:p w:rsidR="007544CA" w:rsidRPr="002908CA" w:rsidRDefault="007544CA" w:rsidP="00133508">
                  <w:pPr>
                    <w:pStyle w:val="TableBodyText"/>
                    <w:spacing w:after="0"/>
                    <w:ind w:left="0" w:right="57"/>
                  </w:pPr>
                  <w:r w:rsidRPr="002908CA">
                    <w:t>188.4</w:t>
                  </w:r>
                </w:p>
              </w:tc>
              <w:tc>
                <w:tcPr>
                  <w:tcW w:w="501" w:type="pct"/>
                </w:tcPr>
                <w:p w:rsidR="007544CA" w:rsidRPr="002908CA" w:rsidRDefault="007544CA" w:rsidP="00133508">
                  <w:pPr>
                    <w:pStyle w:val="TableBodyText"/>
                    <w:spacing w:after="0"/>
                    <w:ind w:left="0" w:right="57"/>
                  </w:pPr>
                  <w:r w:rsidRPr="002908CA">
                    <w:t>21.5</w:t>
                  </w:r>
                </w:p>
              </w:tc>
              <w:tc>
                <w:tcPr>
                  <w:tcW w:w="501" w:type="pct"/>
                </w:tcPr>
                <w:p w:rsidR="007544CA" w:rsidRPr="002908CA" w:rsidRDefault="007544CA" w:rsidP="00133508">
                  <w:pPr>
                    <w:pStyle w:val="TableBodyText"/>
                    <w:spacing w:after="0"/>
                    <w:ind w:left="0" w:right="57"/>
                  </w:pPr>
                  <w:r>
                    <w:noBreakHyphen/>
                  </w:r>
                  <w:r w:rsidRPr="002908CA">
                    <w:t>55.7</w:t>
                  </w:r>
                </w:p>
              </w:tc>
              <w:tc>
                <w:tcPr>
                  <w:tcW w:w="501" w:type="pct"/>
                  <w:shd w:val="clear" w:color="auto" w:fill="auto"/>
                </w:tcPr>
                <w:p w:rsidR="007544CA" w:rsidRPr="002908CA" w:rsidRDefault="007544CA" w:rsidP="00133508">
                  <w:pPr>
                    <w:pStyle w:val="TableBodyText"/>
                    <w:spacing w:after="0"/>
                    <w:ind w:left="0" w:right="57"/>
                  </w:pPr>
                  <w:r>
                    <w:noBreakHyphen/>
                  </w:r>
                  <w:r w:rsidRPr="002908CA">
                    <w:t>88.8</w:t>
                  </w:r>
                </w:p>
              </w:tc>
              <w:tc>
                <w:tcPr>
                  <w:tcW w:w="502" w:type="pct"/>
                  <w:shd w:val="clear" w:color="auto" w:fill="auto"/>
                </w:tcPr>
                <w:p w:rsidR="007544CA" w:rsidRPr="002908CA" w:rsidRDefault="007544CA" w:rsidP="00133508">
                  <w:pPr>
                    <w:pStyle w:val="TableBodyText"/>
                    <w:spacing w:after="0"/>
                    <w:ind w:left="0" w:right="57"/>
                  </w:pPr>
                  <w:r>
                    <w:noBreakHyphen/>
                  </w:r>
                  <w:r w:rsidRPr="002908CA">
                    <w:t>130.3</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Retail trade</w:t>
                  </w:r>
                </w:p>
              </w:tc>
              <w:tc>
                <w:tcPr>
                  <w:tcW w:w="501" w:type="pct"/>
                </w:tcPr>
                <w:p w:rsidR="007544CA" w:rsidRPr="002908CA" w:rsidRDefault="007544CA" w:rsidP="00133508">
                  <w:pPr>
                    <w:pStyle w:val="TableBodyText"/>
                    <w:spacing w:after="0"/>
                    <w:ind w:left="0" w:right="57"/>
                  </w:pPr>
                  <w:r w:rsidRPr="002908CA">
                    <w:t>97.9</w:t>
                  </w:r>
                </w:p>
              </w:tc>
              <w:tc>
                <w:tcPr>
                  <w:tcW w:w="501" w:type="pct"/>
                </w:tcPr>
                <w:p w:rsidR="007544CA" w:rsidRPr="002908CA" w:rsidRDefault="007544CA" w:rsidP="00133508">
                  <w:pPr>
                    <w:pStyle w:val="TableBodyText"/>
                    <w:spacing w:after="0"/>
                    <w:ind w:left="0" w:right="57"/>
                  </w:pPr>
                  <w:r w:rsidRPr="002908CA">
                    <w:t>27.9</w:t>
                  </w:r>
                </w:p>
              </w:tc>
              <w:tc>
                <w:tcPr>
                  <w:tcW w:w="501" w:type="pct"/>
                </w:tcPr>
                <w:p w:rsidR="007544CA" w:rsidRPr="002908CA" w:rsidRDefault="007544CA" w:rsidP="00133508">
                  <w:pPr>
                    <w:pStyle w:val="TableBodyText"/>
                    <w:spacing w:after="0"/>
                    <w:ind w:left="0" w:right="57"/>
                  </w:pPr>
                  <w:r>
                    <w:noBreakHyphen/>
                  </w:r>
                  <w:r w:rsidRPr="002908CA">
                    <w:t>45.9</w:t>
                  </w:r>
                </w:p>
              </w:tc>
              <w:tc>
                <w:tcPr>
                  <w:tcW w:w="501" w:type="pct"/>
                </w:tcPr>
                <w:p w:rsidR="007544CA" w:rsidRPr="002908CA" w:rsidRDefault="007544CA" w:rsidP="00133508">
                  <w:pPr>
                    <w:pStyle w:val="TableBodyText"/>
                    <w:spacing w:after="0"/>
                    <w:ind w:left="0" w:right="57"/>
                  </w:pPr>
                  <w:r>
                    <w:noBreakHyphen/>
                  </w:r>
                  <w:r w:rsidRPr="002908CA">
                    <w:t>78.8</w:t>
                  </w:r>
                </w:p>
              </w:tc>
              <w:tc>
                <w:tcPr>
                  <w:tcW w:w="501" w:type="pct"/>
                  <w:shd w:val="clear" w:color="auto" w:fill="auto"/>
                </w:tcPr>
                <w:p w:rsidR="007544CA" w:rsidRPr="002908CA" w:rsidRDefault="007544CA" w:rsidP="00133508">
                  <w:pPr>
                    <w:pStyle w:val="TableBodyText"/>
                    <w:spacing w:after="0"/>
                    <w:ind w:left="0" w:right="57"/>
                  </w:pPr>
                  <w:r>
                    <w:noBreakHyphen/>
                  </w:r>
                  <w:r w:rsidRPr="002908CA">
                    <w:t>84.5</w:t>
                  </w:r>
                </w:p>
              </w:tc>
              <w:tc>
                <w:tcPr>
                  <w:tcW w:w="502" w:type="pct"/>
                  <w:shd w:val="clear" w:color="auto" w:fill="auto"/>
                </w:tcPr>
                <w:p w:rsidR="007544CA" w:rsidRPr="002908CA" w:rsidRDefault="007544CA" w:rsidP="00133508">
                  <w:pPr>
                    <w:pStyle w:val="TableBodyText"/>
                    <w:spacing w:after="0"/>
                    <w:ind w:left="0" w:right="57"/>
                  </w:pPr>
                  <w:r>
                    <w:noBreakHyphen/>
                  </w:r>
                  <w:r w:rsidRPr="002908CA">
                    <w:t>99.9</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Accommodation &amp; food services</w:t>
                  </w:r>
                </w:p>
              </w:tc>
              <w:tc>
                <w:tcPr>
                  <w:tcW w:w="501" w:type="pct"/>
                </w:tcPr>
                <w:p w:rsidR="007544CA" w:rsidRPr="002908CA" w:rsidRDefault="007544CA" w:rsidP="00133508">
                  <w:pPr>
                    <w:pStyle w:val="TableBodyText"/>
                    <w:spacing w:after="0"/>
                    <w:ind w:left="0" w:right="57"/>
                  </w:pPr>
                  <w:r>
                    <w:noBreakHyphen/>
                  </w:r>
                  <w:r w:rsidRPr="002908CA">
                    <w:t>383.8</w:t>
                  </w:r>
                </w:p>
              </w:tc>
              <w:tc>
                <w:tcPr>
                  <w:tcW w:w="501" w:type="pct"/>
                </w:tcPr>
                <w:p w:rsidR="007544CA" w:rsidRPr="002908CA" w:rsidRDefault="007544CA" w:rsidP="00133508">
                  <w:pPr>
                    <w:pStyle w:val="TableBodyText"/>
                    <w:spacing w:after="0"/>
                    <w:ind w:left="0" w:right="57"/>
                  </w:pPr>
                  <w:r>
                    <w:noBreakHyphen/>
                  </w:r>
                  <w:r w:rsidRPr="002908CA">
                    <w:t>422.5</w:t>
                  </w:r>
                </w:p>
              </w:tc>
              <w:tc>
                <w:tcPr>
                  <w:tcW w:w="501" w:type="pct"/>
                </w:tcPr>
                <w:p w:rsidR="007544CA" w:rsidRPr="002908CA" w:rsidRDefault="007544CA" w:rsidP="00133508">
                  <w:pPr>
                    <w:pStyle w:val="TableBodyText"/>
                    <w:spacing w:after="0"/>
                    <w:ind w:left="0" w:right="57"/>
                  </w:pPr>
                  <w:r>
                    <w:noBreakHyphen/>
                  </w:r>
                  <w:r w:rsidRPr="002908CA">
                    <w:t>459.6</w:t>
                  </w:r>
                </w:p>
              </w:tc>
              <w:tc>
                <w:tcPr>
                  <w:tcW w:w="501" w:type="pct"/>
                </w:tcPr>
                <w:p w:rsidR="007544CA" w:rsidRPr="002908CA" w:rsidRDefault="007544CA" w:rsidP="00133508">
                  <w:pPr>
                    <w:pStyle w:val="TableBodyText"/>
                    <w:spacing w:after="0"/>
                    <w:ind w:left="0" w:right="57"/>
                  </w:pPr>
                  <w:r>
                    <w:noBreakHyphen/>
                  </w:r>
                  <w:r w:rsidRPr="002908CA">
                    <w:t>477.9</w:t>
                  </w:r>
                </w:p>
              </w:tc>
              <w:tc>
                <w:tcPr>
                  <w:tcW w:w="501" w:type="pct"/>
                  <w:shd w:val="clear" w:color="auto" w:fill="auto"/>
                </w:tcPr>
                <w:p w:rsidR="007544CA" w:rsidRPr="002908CA" w:rsidRDefault="007544CA" w:rsidP="00133508">
                  <w:pPr>
                    <w:pStyle w:val="TableBodyText"/>
                    <w:spacing w:after="0"/>
                    <w:ind w:left="0" w:right="57"/>
                  </w:pPr>
                  <w:r>
                    <w:noBreakHyphen/>
                  </w:r>
                  <w:r w:rsidRPr="002908CA">
                    <w:t>469.0</w:t>
                  </w:r>
                </w:p>
              </w:tc>
              <w:tc>
                <w:tcPr>
                  <w:tcW w:w="502" w:type="pct"/>
                  <w:shd w:val="clear" w:color="auto" w:fill="auto"/>
                </w:tcPr>
                <w:p w:rsidR="007544CA" w:rsidRPr="002908CA" w:rsidRDefault="007544CA" w:rsidP="00133508">
                  <w:pPr>
                    <w:pStyle w:val="TableBodyText"/>
                    <w:spacing w:after="0"/>
                    <w:ind w:left="0" w:right="57"/>
                  </w:pPr>
                  <w:r>
                    <w:noBreakHyphen/>
                  </w:r>
                  <w:r w:rsidRPr="002908CA">
                    <w:t>525.0</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Transport, postal &amp; warehousing</w:t>
                  </w:r>
                </w:p>
              </w:tc>
              <w:tc>
                <w:tcPr>
                  <w:tcW w:w="501" w:type="pct"/>
                </w:tcPr>
                <w:p w:rsidR="007544CA" w:rsidRPr="002908CA" w:rsidRDefault="007544CA" w:rsidP="00133508">
                  <w:pPr>
                    <w:pStyle w:val="TableBodyText"/>
                    <w:spacing w:after="0"/>
                    <w:ind w:left="0" w:right="57"/>
                  </w:pPr>
                  <w:r w:rsidRPr="002908CA">
                    <w:t>72.6</w:t>
                  </w:r>
                </w:p>
              </w:tc>
              <w:tc>
                <w:tcPr>
                  <w:tcW w:w="501" w:type="pct"/>
                </w:tcPr>
                <w:p w:rsidR="007544CA" w:rsidRPr="002908CA" w:rsidRDefault="007544CA" w:rsidP="00133508">
                  <w:pPr>
                    <w:pStyle w:val="TableBodyText"/>
                    <w:spacing w:after="0"/>
                    <w:ind w:left="0" w:right="57"/>
                  </w:pPr>
                  <w:r w:rsidRPr="002908CA">
                    <w:t>78.8</w:t>
                  </w:r>
                </w:p>
              </w:tc>
              <w:tc>
                <w:tcPr>
                  <w:tcW w:w="501" w:type="pct"/>
                </w:tcPr>
                <w:p w:rsidR="007544CA" w:rsidRPr="002908CA" w:rsidRDefault="007544CA" w:rsidP="00133508">
                  <w:pPr>
                    <w:pStyle w:val="TableBodyText"/>
                    <w:spacing w:after="0"/>
                    <w:ind w:left="0" w:right="57"/>
                  </w:pPr>
                  <w:r w:rsidRPr="002908CA">
                    <w:t>40.1</w:t>
                  </w:r>
                </w:p>
              </w:tc>
              <w:tc>
                <w:tcPr>
                  <w:tcW w:w="501" w:type="pct"/>
                </w:tcPr>
                <w:p w:rsidR="007544CA" w:rsidRPr="002908CA" w:rsidRDefault="007544CA" w:rsidP="00133508">
                  <w:pPr>
                    <w:pStyle w:val="TableBodyText"/>
                    <w:spacing w:after="0"/>
                    <w:ind w:left="0" w:right="57"/>
                  </w:pPr>
                  <w:r>
                    <w:noBreakHyphen/>
                  </w:r>
                  <w:r w:rsidRPr="002908CA">
                    <w:t>44.4</w:t>
                  </w:r>
                </w:p>
              </w:tc>
              <w:tc>
                <w:tcPr>
                  <w:tcW w:w="501" w:type="pct"/>
                  <w:shd w:val="clear" w:color="auto" w:fill="auto"/>
                </w:tcPr>
                <w:p w:rsidR="007544CA" w:rsidRPr="002908CA" w:rsidRDefault="007544CA" w:rsidP="00133508">
                  <w:pPr>
                    <w:pStyle w:val="TableBodyText"/>
                    <w:spacing w:after="0"/>
                    <w:ind w:left="0" w:right="57"/>
                  </w:pPr>
                  <w:r>
                    <w:noBreakHyphen/>
                  </w:r>
                  <w:r w:rsidRPr="002908CA">
                    <w:t>106.4</w:t>
                  </w:r>
                </w:p>
              </w:tc>
              <w:tc>
                <w:tcPr>
                  <w:tcW w:w="502" w:type="pct"/>
                  <w:shd w:val="clear" w:color="auto" w:fill="auto"/>
                </w:tcPr>
                <w:p w:rsidR="007544CA" w:rsidRPr="002908CA" w:rsidRDefault="007544CA" w:rsidP="00133508">
                  <w:pPr>
                    <w:pStyle w:val="TableBodyText"/>
                    <w:spacing w:after="0"/>
                    <w:ind w:left="0" w:right="57"/>
                  </w:pPr>
                  <w:r>
                    <w:noBreakHyphen/>
                  </w:r>
                  <w:r w:rsidRPr="002908CA">
                    <w:t>124.8</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Information &amp; telecommunications</w:t>
                  </w:r>
                </w:p>
              </w:tc>
              <w:tc>
                <w:tcPr>
                  <w:tcW w:w="501" w:type="pct"/>
                </w:tcPr>
                <w:p w:rsidR="007544CA" w:rsidRPr="002908CA" w:rsidRDefault="007544CA" w:rsidP="00133508">
                  <w:pPr>
                    <w:pStyle w:val="TableBodyText"/>
                    <w:spacing w:after="0"/>
                    <w:ind w:left="0" w:right="57"/>
                  </w:pPr>
                  <w:r w:rsidRPr="002908CA">
                    <w:t>58.8</w:t>
                  </w:r>
                </w:p>
              </w:tc>
              <w:tc>
                <w:tcPr>
                  <w:tcW w:w="501" w:type="pct"/>
                </w:tcPr>
                <w:p w:rsidR="007544CA" w:rsidRPr="002908CA" w:rsidRDefault="007544CA" w:rsidP="00133508">
                  <w:pPr>
                    <w:pStyle w:val="TableBodyText"/>
                    <w:spacing w:after="0"/>
                    <w:ind w:left="0" w:right="57"/>
                  </w:pPr>
                  <w:r w:rsidRPr="002908CA">
                    <w:t>119.6</w:t>
                  </w:r>
                </w:p>
              </w:tc>
              <w:tc>
                <w:tcPr>
                  <w:tcW w:w="501" w:type="pct"/>
                </w:tcPr>
                <w:p w:rsidR="007544CA" w:rsidRPr="002908CA" w:rsidRDefault="007544CA" w:rsidP="00133508">
                  <w:pPr>
                    <w:pStyle w:val="TableBodyText"/>
                    <w:spacing w:after="0"/>
                    <w:ind w:left="0" w:right="57"/>
                  </w:pPr>
                  <w:r w:rsidRPr="002908CA">
                    <w:t>147.4</w:t>
                  </w:r>
                </w:p>
              </w:tc>
              <w:tc>
                <w:tcPr>
                  <w:tcW w:w="501" w:type="pct"/>
                </w:tcPr>
                <w:p w:rsidR="007544CA" w:rsidRPr="002908CA" w:rsidRDefault="007544CA" w:rsidP="00133508">
                  <w:pPr>
                    <w:pStyle w:val="TableBodyText"/>
                    <w:spacing w:after="0"/>
                    <w:ind w:left="0" w:right="57"/>
                  </w:pPr>
                  <w:r w:rsidRPr="002908CA">
                    <w:t>207.4</w:t>
                  </w:r>
                </w:p>
              </w:tc>
              <w:tc>
                <w:tcPr>
                  <w:tcW w:w="501" w:type="pct"/>
                  <w:shd w:val="clear" w:color="auto" w:fill="auto"/>
                </w:tcPr>
                <w:p w:rsidR="007544CA" w:rsidRPr="002908CA" w:rsidRDefault="007544CA" w:rsidP="00133508">
                  <w:pPr>
                    <w:pStyle w:val="TableBodyText"/>
                    <w:spacing w:after="0"/>
                    <w:ind w:left="0" w:right="57"/>
                  </w:pPr>
                  <w:r w:rsidRPr="002908CA">
                    <w:t>21.8</w:t>
                  </w:r>
                </w:p>
              </w:tc>
              <w:tc>
                <w:tcPr>
                  <w:tcW w:w="502" w:type="pct"/>
                  <w:shd w:val="clear" w:color="auto" w:fill="auto"/>
                </w:tcPr>
                <w:p w:rsidR="007544CA" w:rsidRPr="002908CA" w:rsidRDefault="007544CA" w:rsidP="00133508">
                  <w:pPr>
                    <w:pStyle w:val="TableBodyText"/>
                    <w:spacing w:after="0"/>
                    <w:ind w:left="0" w:right="57"/>
                  </w:pPr>
                  <w:r>
                    <w:noBreakHyphen/>
                  </w:r>
                  <w:r w:rsidRPr="002908CA">
                    <w:t>27.5</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Financial and insurance services</w:t>
                  </w:r>
                </w:p>
              </w:tc>
              <w:tc>
                <w:tcPr>
                  <w:tcW w:w="501" w:type="pct"/>
                </w:tcPr>
                <w:p w:rsidR="007544CA" w:rsidRPr="002908CA" w:rsidRDefault="007544CA" w:rsidP="00133508">
                  <w:pPr>
                    <w:pStyle w:val="TableBodyText"/>
                    <w:spacing w:after="0"/>
                    <w:ind w:left="0" w:right="57"/>
                  </w:pPr>
                  <w:r w:rsidRPr="002908CA">
                    <w:t>995.0</w:t>
                  </w:r>
                </w:p>
              </w:tc>
              <w:tc>
                <w:tcPr>
                  <w:tcW w:w="501" w:type="pct"/>
                </w:tcPr>
                <w:p w:rsidR="007544CA" w:rsidRPr="002908CA" w:rsidRDefault="007544CA" w:rsidP="00133508">
                  <w:pPr>
                    <w:pStyle w:val="TableBodyText"/>
                    <w:spacing w:after="0"/>
                    <w:ind w:left="0" w:right="57"/>
                  </w:pPr>
                  <w:r w:rsidRPr="002908CA">
                    <w:t>892.2</w:t>
                  </w:r>
                </w:p>
              </w:tc>
              <w:tc>
                <w:tcPr>
                  <w:tcW w:w="501" w:type="pct"/>
                </w:tcPr>
                <w:p w:rsidR="007544CA" w:rsidRPr="002908CA" w:rsidRDefault="007544CA" w:rsidP="00133508">
                  <w:pPr>
                    <w:pStyle w:val="TableBodyText"/>
                    <w:spacing w:after="0"/>
                    <w:ind w:left="0" w:right="57"/>
                  </w:pPr>
                  <w:r w:rsidRPr="002908CA">
                    <w:t>1027.1</w:t>
                  </w:r>
                </w:p>
              </w:tc>
              <w:tc>
                <w:tcPr>
                  <w:tcW w:w="501" w:type="pct"/>
                </w:tcPr>
                <w:p w:rsidR="007544CA" w:rsidRPr="002908CA" w:rsidRDefault="007544CA" w:rsidP="00133508">
                  <w:pPr>
                    <w:pStyle w:val="TableBodyText"/>
                    <w:spacing w:after="0"/>
                    <w:ind w:left="0" w:right="57"/>
                  </w:pPr>
                  <w:r w:rsidRPr="002908CA">
                    <w:t>928.3</w:t>
                  </w:r>
                </w:p>
              </w:tc>
              <w:tc>
                <w:tcPr>
                  <w:tcW w:w="501" w:type="pct"/>
                  <w:shd w:val="clear" w:color="auto" w:fill="auto"/>
                </w:tcPr>
                <w:p w:rsidR="007544CA" w:rsidRPr="002908CA" w:rsidRDefault="007544CA" w:rsidP="00133508">
                  <w:pPr>
                    <w:pStyle w:val="TableBodyText"/>
                    <w:spacing w:after="0"/>
                    <w:ind w:left="0" w:right="57"/>
                  </w:pPr>
                  <w:r w:rsidRPr="002908CA">
                    <w:t>1002.9</w:t>
                  </w:r>
                </w:p>
              </w:tc>
              <w:tc>
                <w:tcPr>
                  <w:tcW w:w="502" w:type="pct"/>
                  <w:shd w:val="clear" w:color="auto" w:fill="auto"/>
                </w:tcPr>
                <w:p w:rsidR="007544CA" w:rsidRPr="002908CA" w:rsidRDefault="007544CA" w:rsidP="00133508">
                  <w:pPr>
                    <w:pStyle w:val="TableBodyText"/>
                    <w:spacing w:after="0"/>
                    <w:ind w:left="0" w:right="57"/>
                  </w:pPr>
                  <w:r w:rsidRPr="002908CA">
                    <w:t>1204.7</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Property, professional &amp; admin.</w:t>
                  </w:r>
                </w:p>
              </w:tc>
              <w:tc>
                <w:tcPr>
                  <w:tcW w:w="501" w:type="pct"/>
                </w:tcPr>
                <w:p w:rsidR="007544CA" w:rsidRPr="002908CA" w:rsidRDefault="007544CA" w:rsidP="00133508">
                  <w:pPr>
                    <w:pStyle w:val="TableBodyText"/>
                    <w:spacing w:after="0"/>
                    <w:ind w:left="0" w:right="57"/>
                  </w:pPr>
                  <w:r w:rsidRPr="002908CA">
                    <w:t>380.1</w:t>
                  </w:r>
                </w:p>
              </w:tc>
              <w:tc>
                <w:tcPr>
                  <w:tcW w:w="501" w:type="pct"/>
                </w:tcPr>
                <w:p w:rsidR="007544CA" w:rsidRPr="002908CA" w:rsidRDefault="007544CA" w:rsidP="00133508">
                  <w:pPr>
                    <w:pStyle w:val="TableBodyText"/>
                    <w:spacing w:after="0"/>
                    <w:ind w:left="0" w:right="57"/>
                  </w:pPr>
                  <w:r w:rsidRPr="002908CA">
                    <w:t>392.9</w:t>
                  </w:r>
                </w:p>
              </w:tc>
              <w:tc>
                <w:tcPr>
                  <w:tcW w:w="501" w:type="pct"/>
                </w:tcPr>
                <w:p w:rsidR="007544CA" w:rsidRPr="002908CA" w:rsidRDefault="007544CA" w:rsidP="00133508">
                  <w:pPr>
                    <w:pStyle w:val="TableBodyText"/>
                    <w:spacing w:after="0"/>
                    <w:ind w:left="0" w:right="57"/>
                  </w:pPr>
                  <w:r w:rsidRPr="002908CA">
                    <w:t>270.2</w:t>
                  </w:r>
                </w:p>
              </w:tc>
              <w:tc>
                <w:tcPr>
                  <w:tcW w:w="501" w:type="pct"/>
                </w:tcPr>
                <w:p w:rsidR="007544CA" w:rsidRPr="002908CA" w:rsidRDefault="007544CA" w:rsidP="00133508">
                  <w:pPr>
                    <w:pStyle w:val="TableBodyText"/>
                    <w:spacing w:after="0"/>
                    <w:ind w:left="0" w:right="57"/>
                  </w:pPr>
                  <w:r w:rsidRPr="002908CA">
                    <w:t>94.7</w:t>
                  </w:r>
                </w:p>
              </w:tc>
              <w:tc>
                <w:tcPr>
                  <w:tcW w:w="501" w:type="pct"/>
                  <w:shd w:val="clear" w:color="auto" w:fill="auto"/>
                </w:tcPr>
                <w:p w:rsidR="007544CA" w:rsidRPr="002908CA" w:rsidRDefault="007544CA" w:rsidP="00133508">
                  <w:pPr>
                    <w:pStyle w:val="TableBodyText"/>
                    <w:spacing w:after="0"/>
                    <w:ind w:left="0" w:right="57"/>
                  </w:pPr>
                  <w:r w:rsidRPr="002908CA">
                    <w:t>67.9</w:t>
                  </w:r>
                </w:p>
              </w:tc>
              <w:tc>
                <w:tcPr>
                  <w:tcW w:w="502" w:type="pct"/>
                  <w:shd w:val="clear" w:color="auto" w:fill="auto"/>
                </w:tcPr>
                <w:p w:rsidR="007544CA" w:rsidRPr="002908CA" w:rsidRDefault="007544CA" w:rsidP="00133508">
                  <w:pPr>
                    <w:pStyle w:val="TableBodyText"/>
                    <w:spacing w:after="0"/>
                    <w:ind w:left="0" w:right="57"/>
                  </w:pPr>
                  <w:r w:rsidRPr="002908CA">
                    <w:t>80.0</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Public administration and safety</w:t>
                  </w:r>
                </w:p>
              </w:tc>
              <w:tc>
                <w:tcPr>
                  <w:tcW w:w="501" w:type="pct"/>
                </w:tcPr>
                <w:p w:rsidR="007544CA" w:rsidRPr="002908CA" w:rsidRDefault="007544CA" w:rsidP="00133508">
                  <w:pPr>
                    <w:pStyle w:val="TableBodyText"/>
                    <w:spacing w:after="0"/>
                    <w:ind w:left="0" w:right="57"/>
                  </w:pPr>
                  <w:r>
                    <w:noBreakHyphen/>
                  </w:r>
                  <w:r w:rsidRPr="002908CA">
                    <w:t>174.7</w:t>
                  </w:r>
                </w:p>
              </w:tc>
              <w:tc>
                <w:tcPr>
                  <w:tcW w:w="501" w:type="pct"/>
                </w:tcPr>
                <w:p w:rsidR="007544CA" w:rsidRPr="002908CA" w:rsidRDefault="007544CA" w:rsidP="00133508">
                  <w:pPr>
                    <w:pStyle w:val="TableBodyText"/>
                    <w:spacing w:after="0"/>
                    <w:ind w:left="0" w:right="57"/>
                  </w:pPr>
                  <w:r>
                    <w:noBreakHyphen/>
                  </w:r>
                  <w:r w:rsidRPr="002908CA">
                    <w:t>179.5</w:t>
                  </w:r>
                </w:p>
              </w:tc>
              <w:tc>
                <w:tcPr>
                  <w:tcW w:w="501" w:type="pct"/>
                </w:tcPr>
                <w:p w:rsidR="007544CA" w:rsidRPr="002908CA" w:rsidRDefault="007544CA" w:rsidP="00133508">
                  <w:pPr>
                    <w:pStyle w:val="TableBodyText"/>
                    <w:spacing w:after="0"/>
                    <w:ind w:left="0" w:right="57"/>
                  </w:pPr>
                  <w:r>
                    <w:noBreakHyphen/>
                  </w:r>
                  <w:r w:rsidRPr="002908CA">
                    <w:t>198.2</w:t>
                  </w:r>
                </w:p>
              </w:tc>
              <w:tc>
                <w:tcPr>
                  <w:tcW w:w="501" w:type="pct"/>
                </w:tcPr>
                <w:p w:rsidR="007544CA" w:rsidRPr="002908CA" w:rsidRDefault="007544CA" w:rsidP="00133508">
                  <w:pPr>
                    <w:pStyle w:val="TableBodyText"/>
                    <w:spacing w:after="0"/>
                    <w:ind w:left="0" w:right="57"/>
                  </w:pPr>
                  <w:r>
                    <w:noBreakHyphen/>
                  </w:r>
                  <w:r w:rsidRPr="002908CA">
                    <w:t>206.7</w:t>
                  </w:r>
                </w:p>
              </w:tc>
              <w:tc>
                <w:tcPr>
                  <w:tcW w:w="501" w:type="pct"/>
                  <w:shd w:val="clear" w:color="auto" w:fill="auto"/>
                </w:tcPr>
                <w:p w:rsidR="007544CA" w:rsidRPr="002908CA" w:rsidRDefault="007544CA" w:rsidP="00133508">
                  <w:pPr>
                    <w:pStyle w:val="TableBodyText"/>
                    <w:spacing w:after="0"/>
                    <w:ind w:left="0" w:right="57"/>
                  </w:pPr>
                  <w:r>
                    <w:noBreakHyphen/>
                  </w:r>
                  <w:r w:rsidRPr="002908CA">
                    <w:t>217.5</w:t>
                  </w:r>
                </w:p>
              </w:tc>
              <w:tc>
                <w:tcPr>
                  <w:tcW w:w="502" w:type="pct"/>
                  <w:shd w:val="clear" w:color="auto" w:fill="auto"/>
                </w:tcPr>
                <w:p w:rsidR="007544CA" w:rsidRPr="002908CA" w:rsidRDefault="007544CA" w:rsidP="00133508">
                  <w:pPr>
                    <w:pStyle w:val="TableBodyText"/>
                    <w:spacing w:after="0"/>
                    <w:ind w:left="0" w:right="57"/>
                  </w:pPr>
                  <w:r>
                    <w:noBreakHyphen/>
                  </w:r>
                  <w:r w:rsidRPr="002908CA">
                    <w:t>214.6</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Education and training</w:t>
                  </w:r>
                </w:p>
              </w:tc>
              <w:tc>
                <w:tcPr>
                  <w:tcW w:w="501" w:type="pct"/>
                </w:tcPr>
                <w:p w:rsidR="007544CA" w:rsidRPr="002908CA" w:rsidRDefault="007544CA" w:rsidP="00133508">
                  <w:pPr>
                    <w:pStyle w:val="TableBodyText"/>
                    <w:spacing w:after="0"/>
                    <w:ind w:left="0" w:right="57"/>
                  </w:pPr>
                  <w:r>
                    <w:noBreakHyphen/>
                  </w:r>
                  <w:r w:rsidRPr="002908CA">
                    <w:t>63.3</w:t>
                  </w:r>
                </w:p>
              </w:tc>
              <w:tc>
                <w:tcPr>
                  <w:tcW w:w="501" w:type="pct"/>
                </w:tcPr>
                <w:p w:rsidR="007544CA" w:rsidRPr="002908CA" w:rsidRDefault="007544CA" w:rsidP="00133508">
                  <w:pPr>
                    <w:pStyle w:val="TableBodyText"/>
                    <w:spacing w:after="0"/>
                    <w:ind w:left="0" w:right="57"/>
                  </w:pPr>
                  <w:r>
                    <w:noBreakHyphen/>
                  </w:r>
                  <w:r w:rsidRPr="002908CA">
                    <w:t>75.6</w:t>
                  </w:r>
                </w:p>
              </w:tc>
              <w:tc>
                <w:tcPr>
                  <w:tcW w:w="501" w:type="pct"/>
                </w:tcPr>
                <w:p w:rsidR="007544CA" w:rsidRPr="002908CA" w:rsidRDefault="007544CA" w:rsidP="00133508">
                  <w:pPr>
                    <w:pStyle w:val="TableBodyText"/>
                    <w:spacing w:after="0"/>
                    <w:ind w:left="0" w:right="57"/>
                  </w:pPr>
                  <w:r>
                    <w:noBreakHyphen/>
                  </w:r>
                  <w:r w:rsidRPr="002908CA">
                    <w:t>82.5</w:t>
                  </w:r>
                </w:p>
              </w:tc>
              <w:tc>
                <w:tcPr>
                  <w:tcW w:w="501" w:type="pct"/>
                </w:tcPr>
                <w:p w:rsidR="007544CA" w:rsidRPr="002908CA" w:rsidRDefault="007544CA" w:rsidP="00133508">
                  <w:pPr>
                    <w:pStyle w:val="TableBodyText"/>
                    <w:spacing w:after="0"/>
                    <w:ind w:left="0" w:right="57"/>
                  </w:pPr>
                  <w:r>
                    <w:noBreakHyphen/>
                  </w:r>
                  <w:r w:rsidRPr="002908CA">
                    <w:t>93.5</w:t>
                  </w:r>
                </w:p>
              </w:tc>
              <w:tc>
                <w:tcPr>
                  <w:tcW w:w="501" w:type="pct"/>
                  <w:shd w:val="clear" w:color="auto" w:fill="auto"/>
                </w:tcPr>
                <w:p w:rsidR="007544CA" w:rsidRPr="002908CA" w:rsidRDefault="007544CA" w:rsidP="00133508">
                  <w:pPr>
                    <w:pStyle w:val="TableBodyText"/>
                    <w:spacing w:after="0"/>
                    <w:ind w:left="0" w:right="57"/>
                  </w:pPr>
                  <w:r>
                    <w:noBreakHyphen/>
                  </w:r>
                  <w:r w:rsidRPr="002908CA">
                    <w:t>103.5</w:t>
                  </w:r>
                </w:p>
              </w:tc>
              <w:tc>
                <w:tcPr>
                  <w:tcW w:w="502" w:type="pct"/>
                  <w:shd w:val="clear" w:color="auto" w:fill="auto"/>
                </w:tcPr>
                <w:p w:rsidR="007544CA" w:rsidRPr="002908CA" w:rsidRDefault="007544CA" w:rsidP="00133508">
                  <w:pPr>
                    <w:pStyle w:val="TableBodyText"/>
                    <w:spacing w:after="0"/>
                    <w:ind w:left="0" w:right="57"/>
                  </w:pPr>
                  <w:r>
                    <w:noBreakHyphen/>
                  </w:r>
                  <w:r w:rsidRPr="002908CA">
                    <w:t>107.2</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Health care and social assistance</w:t>
                  </w:r>
                </w:p>
              </w:tc>
              <w:tc>
                <w:tcPr>
                  <w:tcW w:w="501" w:type="pct"/>
                </w:tcPr>
                <w:p w:rsidR="007544CA" w:rsidRPr="002908CA" w:rsidRDefault="007544CA" w:rsidP="00133508">
                  <w:pPr>
                    <w:pStyle w:val="TableBodyText"/>
                    <w:spacing w:after="0"/>
                    <w:ind w:left="0" w:right="57"/>
                  </w:pPr>
                  <w:r>
                    <w:noBreakHyphen/>
                  </w:r>
                  <w:r w:rsidRPr="002908CA">
                    <w:t>25.3</w:t>
                  </w:r>
                </w:p>
              </w:tc>
              <w:tc>
                <w:tcPr>
                  <w:tcW w:w="501" w:type="pct"/>
                </w:tcPr>
                <w:p w:rsidR="007544CA" w:rsidRPr="002908CA" w:rsidRDefault="007544CA" w:rsidP="00133508">
                  <w:pPr>
                    <w:pStyle w:val="TableBodyText"/>
                    <w:spacing w:after="0"/>
                    <w:ind w:left="0" w:right="57"/>
                  </w:pPr>
                  <w:r>
                    <w:noBreakHyphen/>
                  </w:r>
                  <w:r w:rsidRPr="002908CA">
                    <w:t>65.3</w:t>
                  </w:r>
                </w:p>
              </w:tc>
              <w:tc>
                <w:tcPr>
                  <w:tcW w:w="501" w:type="pct"/>
                </w:tcPr>
                <w:p w:rsidR="007544CA" w:rsidRPr="002908CA" w:rsidRDefault="007544CA" w:rsidP="00133508">
                  <w:pPr>
                    <w:pStyle w:val="TableBodyText"/>
                    <w:spacing w:after="0"/>
                    <w:ind w:left="0" w:right="57"/>
                  </w:pPr>
                  <w:r>
                    <w:noBreakHyphen/>
                  </w:r>
                  <w:r w:rsidRPr="002908CA">
                    <w:t>71.9</w:t>
                  </w:r>
                </w:p>
              </w:tc>
              <w:tc>
                <w:tcPr>
                  <w:tcW w:w="501" w:type="pct"/>
                </w:tcPr>
                <w:p w:rsidR="007544CA" w:rsidRPr="002908CA" w:rsidRDefault="007544CA" w:rsidP="00133508">
                  <w:pPr>
                    <w:pStyle w:val="TableBodyText"/>
                    <w:spacing w:after="0"/>
                    <w:ind w:left="0" w:right="57"/>
                  </w:pPr>
                  <w:r>
                    <w:noBreakHyphen/>
                  </w:r>
                  <w:r w:rsidRPr="002908CA">
                    <w:t>97.6</w:t>
                  </w:r>
                </w:p>
              </w:tc>
              <w:tc>
                <w:tcPr>
                  <w:tcW w:w="501" w:type="pct"/>
                  <w:shd w:val="clear" w:color="auto" w:fill="auto"/>
                </w:tcPr>
                <w:p w:rsidR="007544CA" w:rsidRPr="002908CA" w:rsidRDefault="007544CA" w:rsidP="00133508">
                  <w:pPr>
                    <w:pStyle w:val="TableBodyText"/>
                    <w:spacing w:after="0"/>
                    <w:ind w:left="0" w:right="57"/>
                  </w:pPr>
                  <w:r>
                    <w:noBreakHyphen/>
                  </w:r>
                  <w:r w:rsidRPr="002908CA">
                    <w:t>98.0</w:t>
                  </w:r>
                </w:p>
              </w:tc>
              <w:tc>
                <w:tcPr>
                  <w:tcW w:w="502" w:type="pct"/>
                  <w:shd w:val="clear" w:color="auto" w:fill="auto"/>
                </w:tcPr>
                <w:p w:rsidR="007544CA" w:rsidRPr="002908CA" w:rsidRDefault="007544CA" w:rsidP="00133508">
                  <w:pPr>
                    <w:pStyle w:val="TableBodyText"/>
                    <w:spacing w:after="0"/>
                    <w:ind w:left="0" w:right="57"/>
                  </w:pPr>
                  <w:r>
                    <w:noBreakHyphen/>
                  </w:r>
                  <w:r w:rsidRPr="002908CA">
                    <w:t>108.3</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Arts and recreation services</w:t>
                  </w:r>
                </w:p>
              </w:tc>
              <w:tc>
                <w:tcPr>
                  <w:tcW w:w="501" w:type="pct"/>
                </w:tcPr>
                <w:p w:rsidR="007544CA" w:rsidRPr="002908CA" w:rsidRDefault="007544CA" w:rsidP="00133508">
                  <w:pPr>
                    <w:pStyle w:val="TableBodyText"/>
                    <w:spacing w:after="0"/>
                    <w:ind w:left="0" w:right="57"/>
                  </w:pPr>
                  <w:r w:rsidRPr="002908CA">
                    <w:t>331.5</w:t>
                  </w:r>
                </w:p>
              </w:tc>
              <w:tc>
                <w:tcPr>
                  <w:tcW w:w="501" w:type="pct"/>
                </w:tcPr>
                <w:p w:rsidR="007544CA" w:rsidRPr="002908CA" w:rsidRDefault="007544CA" w:rsidP="00133508">
                  <w:pPr>
                    <w:pStyle w:val="TableBodyText"/>
                    <w:spacing w:after="0"/>
                    <w:ind w:left="0" w:right="57"/>
                  </w:pPr>
                  <w:r w:rsidRPr="002908CA">
                    <w:t>227.9</w:t>
                  </w:r>
                </w:p>
              </w:tc>
              <w:tc>
                <w:tcPr>
                  <w:tcW w:w="501" w:type="pct"/>
                </w:tcPr>
                <w:p w:rsidR="007544CA" w:rsidRPr="002908CA" w:rsidRDefault="007544CA" w:rsidP="00133508">
                  <w:pPr>
                    <w:pStyle w:val="TableBodyText"/>
                    <w:spacing w:after="0"/>
                    <w:ind w:left="0" w:right="57"/>
                  </w:pPr>
                  <w:r w:rsidRPr="002908CA">
                    <w:t>272.1</w:t>
                  </w:r>
                </w:p>
              </w:tc>
              <w:tc>
                <w:tcPr>
                  <w:tcW w:w="501" w:type="pct"/>
                </w:tcPr>
                <w:p w:rsidR="007544CA" w:rsidRPr="002908CA" w:rsidRDefault="007544CA" w:rsidP="00133508">
                  <w:pPr>
                    <w:pStyle w:val="TableBodyText"/>
                    <w:spacing w:after="0"/>
                    <w:ind w:left="0" w:right="57"/>
                  </w:pPr>
                  <w:r w:rsidRPr="002908CA">
                    <w:t>328.7</w:t>
                  </w:r>
                </w:p>
              </w:tc>
              <w:tc>
                <w:tcPr>
                  <w:tcW w:w="501" w:type="pct"/>
                  <w:shd w:val="clear" w:color="auto" w:fill="auto"/>
                </w:tcPr>
                <w:p w:rsidR="007544CA" w:rsidRPr="002908CA" w:rsidRDefault="007544CA" w:rsidP="00133508">
                  <w:pPr>
                    <w:pStyle w:val="TableBodyText"/>
                    <w:spacing w:after="0"/>
                    <w:ind w:left="0" w:right="57"/>
                  </w:pPr>
                  <w:r w:rsidRPr="002908CA">
                    <w:t>363.9</w:t>
                  </w:r>
                </w:p>
              </w:tc>
              <w:tc>
                <w:tcPr>
                  <w:tcW w:w="502" w:type="pct"/>
                  <w:shd w:val="clear" w:color="auto" w:fill="auto"/>
                </w:tcPr>
                <w:p w:rsidR="007544CA" w:rsidRPr="002908CA" w:rsidRDefault="007544CA" w:rsidP="00133508">
                  <w:pPr>
                    <w:pStyle w:val="TableBodyText"/>
                    <w:spacing w:after="0"/>
                    <w:ind w:left="0" w:right="57"/>
                  </w:pPr>
                  <w:r w:rsidRPr="002908CA">
                    <w:t>227.8</w:t>
                  </w:r>
                </w:p>
              </w:tc>
            </w:tr>
            <w:tr w:rsidR="007544CA" w:rsidTr="00133508">
              <w:tc>
                <w:tcPr>
                  <w:tcW w:w="1992" w:type="pct"/>
                  <w:shd w:val="clear" w:color="auto" w:fill="auto"/>
                  <w:vAlign w:val="center"/>
                </w:tcPr>
                <w:p w:rsidR="007544CA" w:rsidRPr="00BE7B87" w:rsidRDefault="007544CA" w:rsidP="00133508">
                  <w:pPr>
                    <w:rPr>
                      <w:rFonts w:ascii="Arial" w:hAnsi="Arial" w:cs="Arial"/>
                      <w:sz w:val="18"/>
                      <w:szCs w:val="18"/>
                    </w:rPr>
                  </w:pPr>
                  <w:r w:rsidRPr="00BE7B87">
                    <w:rPr>
                      <w:rFonts w:ascii="Arial" w:hAnsi="Arial" w:cs="Arial"/>
                      <w:sz w:val="18"/>
                      <w:szCs w:val="18"/>
                    </w:rPr>
                    <w:t>Other services</w:t>
                  </w:r>
                </w:p>
              </w:tc>
              <w:tc>
                <w:tcPr>
                  <w:tcW w:w="501" w:type="pct"/>
                </w:tcPr>
                <w:p w:rsidR="007544CA" w:rsidRPr="002908CA" w:rsidRDefault="007544CA" w:rsidP="00133508">
                  <w:pPr>
                    <w:pStyle w:val="TableBodyText"/>
                    <w:spacing w:after="0"/>
                    <w:ind w:left="0" w:right="57"/>
                  </w:pPr>
                  <w:r>
                    <w:noBreakHyphen/>
                  </w:r>
                  <w:r w:rsidRPr="002908CA">
                    <w:t>212.0</w:t>
                  </w:r>
                </w:p>
              </w:tc>
              <w:tc>
                <w:tcPr>
                  <w:tcW w:w="501" w:type="pct"/>
                </w:tcPr>
                <w:p w:rsidR="007544CA" w:rsidRPr="002908CA" w:rsidRDefault="007544CA" w:rsidP="00133508">
                  <w:pPr>
                    <w:pStyle w:val="TableBodyText"/>
                    <w:spacing w:after="0"/>
                    <w:ind w:left="0" w:right="57"/>
                  </w:pPr>
                  <w:r>
                    <w:noBreakHyphen/>
                  </w:r>
                  <w:r w:rsidRPr="002908CA">
                    <w:t>207.0</w:t>
                  </w:r>
                </w:p>
              </w:tc>
              <w:tc>
                <w:tcPr>
                  <w:tcW w:w="501" w:type="pct"/>
                </w:tcPr>
                <w:p w:rsidR="007544CA" w:rsidRPr="002908CA" w:rsidRDefault="007544CA" w:rsidP="00133508">
                  <w:pPr>
                    <w:pStyle w:val="TableBodyText"/>
                    <w:spacing w:after="0"/>
                    <w:ind w:left="0" w:right="57"/>
                  </w:pPr>
                  <w:r>
                    <w:noBreakHyphen/>
                  </w:r>
                  <w:r w:rsidRPr="002908CA">
                    <w:t>231.8</w:t>
                  </w:r>
                </w:p>
              </w:tc>
              <w:tc>
                <w:tcPr>
                  <w:tcW w:w="501" w:type="pct"/>
                </w:tcPr>
                <w:p w:rsidR="007544CA" w:rsidRPr="002908CA" w:rsidRDefault="007544CA" w:rsidP="00133508">
                  <w:pPr>
                    <w:pStyle w:val="TableBodyText"/>
                    <w:spacing w:after="0"/>
                    <w:ind w:left="0" w:right="57"/>
                  </w:pPr>
                  <w:r>
                    <w:noBreakHyphen/>
                  </w:r>
                  <w:r w:rsidRPr="002908CA">
                    <w:t>237.3</w:t>
                  </w:r>
                </w:p>
              </w:tc>
              <w:tc>
                <w:tcPr>
                  <w:tcW w:w="501" w:type="pct"/>
                  <w:shd w:val="clear" w:color="auto" w:fill="auto"/>
                </w:tcPr>
                <w:p w:rsidR="007544CA" w:rsidRPr="002908CA" w:rsidRDefault="007544CA" w:rsidP="00133508">
                  <w:pPr>
                    <w:pStyle w:val="TableBodyText"/>
                    <w:spacing w:after="0"/>
                    <w:ind w:left="0" w:right="57"/>
                  </w:pPr>
                  <w:r>
                    <w:noBreakHyphen/>
                  </w:r>
                  <w:r w:rsidRPr="002908CA">
                    <w:t>263.1</w:t>
                  </w:r>
                </w:p>
              </w:tc>
              <w:tc>
                <w:tcPr>
                  <w:tcW w:w="502" w:type="pct"/>
                  <w:shd w:val="clear" w:color="auto" w:fill="auto"/>
                </w:tcPr>
                <w:p w:rsidR="007544CA" w:rsidRPr="002908CA" w:rsidRDefault="007544CA" w:rsidP="00133508">
                  <w:pPr>
                    <w:pStyle w:val="TableBodyText"/>
                    <w:spacing w:after="0"/>
                    <w:ind w:left="0" w:right="57"/>
                  </w:pPr>
                  <w:r>
                    <w:noBreakHyphen/>
                  </w:r>
                  <w:r w:rsidRPr="002908CA">
                    <w:t>294.1</w:t>
                  </w:r>
                </w:p>
              </w:tc>
            </w:tr>
            <w:tr w:rsidR="007544CA" w:rsidTr="00133508">
              <w:tc>
                <w:tcPr>
                  <w:tcW w:w="1992" w:type="pct"/>
                  <w:shd w:val="clear" w:color="auto" w:fill="auto"/>
                  <w:vAlign w:val="center"/>
                </w:tcPr>
                <w:p w:rsidR="007544CA" w:rsidRPr="008405D4" w:rsidRDefault="007544CA" w:rsidP="00133508">
                  <w:pPr>
                    <w:rPr>
                      <w:rFonts w:ascii="Arial" w:hAnsi="Arial" w:cs="Arial"/>
                      <w:sz w:val="18"/>
                      <w:szCs w:val="18"/>
                    </w:rPr>
                  </w:pPr>
                  <w:r w:rsidRPr="008405D4">
                    <w:rPr>
                      <w:rFonts w:ascii="Arial" w:hAnsi="Arial" w:cs="Arial"/>
                      <w:sz w:val="18"/>
                      <w:szCs w:val="18"/>
                    </w:rPr>
                    <w:t>Unallocated services</w:t>
                  </w:r>
                  <w:r w:rsidRPr="008405D4">
                    <w:rPr>
                      <w:rStyle w:val="NoteLabel"/>
                    </w:rPr>
                    <w:t>b</w:t>
                  </w:r>
                </w:p>
              </w:tc>
              <w:tc>
                <w:tcPr>
                  <w:tcW w:w="501" w:type="pct"/>
                </w:tcPr>
                <w:p w:rsidR="007544CA" w:rsidRPr="002908CA" w:rsidRDefault="007544CA" w:rsidP="00133508">
                  <w:pPr>
                    <w:pStyle w:val="TableBodyText"/>
                    <w:spacing w:after="0"/>
                    <w:ind w:left="0" w:right="57"/>
                  </w:pPr>
                  <w:r w:rsidRPr="002908CA">
                    <w:t>194.7</w:t>
                  </w:r>
                </w:p>
              </w:tc>
              <w:tc>
                <w:tcPr>
                  <w:tcW w:w="501" w:type="pct"/>
                </w:tcPr>
                <w:p w:rsidR="007544CA" w:rsidRPr="002908CA" w:rsidRDefault="007544CA" w:rsidP="00133508">
                  <w:pPr>
                    <w:pStyle w:val="TableBodyText"/>
                    <w:spacing w:after="0"/>
                    <w:ind w:left="0" w:right="57"/>
                  </w:pPr>
                  <w:r w:rsidRPr="002908CA">
                    <w:t>169.3</w:t>
                  </w:r>
                </w:p>
              </w:tc>
              <w:tc>
                <w:tcPr>
                  <w:tcW w:w="501" w:type="pct"/>
                </w:tcPr>
                <w:p w:rsidR="007544CA" w:rsidRPr="002908CA" w:rsidRDefault="007544CA" w:rsidP="00133508">
                  <w:pPr>
                    <w:pStyle w:val="TableBodyText"/>
                    <w:spacing w:after="0"/>
                    <w:ind w:left="0" w:right="57"/>
                  </w:pPr>
                  <w:r w:rsidRPr="002908CA">
                    <w:t>179.0</w:t>
                  </w:r>
                </w:p>
              </w:tc>
              <w:tc>
                <w:tcPr>
                  <w:tcW w:w="501" w:type="pct"/>
                </w:tcPr>
                <w:p w:rsidR="007544CA" w:rsidRPr="002908CA" w:rsidRDefault="007544CA" w:rsidP="00133508">
                  <w:pPr>
                    <w:pStyle w:val="TableBodyText"/>
                    <w:spacing w:after="0"/>
                    <w:ind w:left="0" w:right="57"/>
                  </w:pPr>
                  <w:r w:rsidRPr="002908CA">
                    <w:t>170.8</w:t>
                  </w:r>
                </w:p>
              </w:tc>
              <w:tc>
                <w:tcPr>
                  <w:tcW w:w="501" w:type="pct"/>
                  <w:shd w:val="clear" w:color="auto" w:fill="auto"/>
                </w:tcPr>
                <w:p w:rsidR="007544CA" w:rsidRPr="002908CA" w:rsidRDefault="007544CA" w:rsidP="00133508">
                  <w:pPr>
                    <w:pStyle w:val="TableBodyText"/>
                    <w:spacing w:after="0"/>
                    <w:ind w:left="0" w:right="57"/>
                  </w:pPr>
                  <w:r w:rsidRPr="002908CA">
                    <w:t>156.8</w:t>
                  </w:r>
                </w:p>
              </w:tc>
              <w:tc>
                <w:tcPr>
                  <w:tcW w:w="502" w:type="pct"/>
                  <w:shd w:val="clear" w:color="auto" w:fill="auto"/>
                </w:tcPr>
                <w:p w:rsidR="007544CA" w:rsidRPr="002908CA" w:rsidRDefault="007544CA" w:rsidP="00133508">
                  <w:pPr>
                    <w:pStyle w:val="TableBodyText"/>
                    <w:spacing w:after="0"/>
                    <w:ind w:left="0" w:right="57"/>
                  </w:pPr>
                  <w:r w:rsidRPr="002908CA">
                    <w:t>138.9</w:t>
                  </w:r>
                </w:p>
              </w:tc>
            </w:tr>
            <w:tr w:rsidR="007544CA" w:rsidRPr="00013DC6" w:rsidTr="00133508">
              <w:tc>
                <w:tcPr>
                  <w:tcW w:w="1992" w:type="pct"/>
                  <w:shd w:val="clear" w:color="auto" w:fill="auto"/>
                  <w:vAlign w:val="center"/>
                </w:tcPr>
                <w:p w:rsidR="007544CA" w:rsidRPr="00013DC6" w:rsidRDefault="007544CA" w:rsidP="00133508">
                  <w:pPr>
                    <w:rPr>
                      <w:rFonts w:ascii="Arial" w:hAnsi="Arial" w:cs="Arial"/>
                      <w:b/>
                      <w:bCs/>
                      <w:sz w:val="18"/>
                      <w:szCs w:val="18"/>
                    </w:rPr>
                  </w:pPr>
                  <w:r w:rsidRPr="00013DC6">
                    <w:rPr>
                      <w:rFonts w:ascii="Arial" w:hAnsi="Arial" w:cs="Arial"/>
                      <w:b/>
                      <w:bCs/>
                      <w:sz w:val="18"/>
                      <w:szCs w:val="18"/>
                    </w:rPr>
                    <w:t>Unallocated other</w:t>
                  </w:r>
                  <w:r w:rsidRPr="008405D4">
                    <w:rPr>
                      <w:rStyle w:val="NoteLabel"/>
                    </w:rPr>
                    <w:t>b</w:t>
                  </w:r>
                </w:p>
              </w:tc>
              <w:tc>
                <w:tcPr>
                  <w:tcW w:w="501" w:type="pct"/>
                </w:tcPr>
                <w:p w:rsidR="007544CA" w:rsidRPr="001D2C31" w:rsidRDefault="007544CA" w:rsidP="00133508">
                  <w:pPr>
                    <w:pStyle w:val="TableBodyText"/>
                    <w:spacing w:after="0"/>
                    <w:ind w:left="0" w:right="57"/>
                    <w:rPr>
                      <w:b/>
                    </w:rPr>
                  </w:pPr>
                  <w:r w:rsidRPr="001D2C31">
                    <w:rPr>
                      <w:b/>
                    </w:rPr>
                    <w:t>721.8</w:t>
                  </w:r>
                </w:p>
              </w:tc>
              <w:tc>
                <w:tcPr>
                  <w:tcW w:w="501" w:type="pct"/>
                </w:tcPr>
                <w:p w:rsidR="007544CA" w:rsidRPr="001D2C31" w:rsidRDefault="007544CA" w:rsidP="00133508">
                  <w:pPr>
                    <w:pStyle w:val="TableBodyText"/>
                    <w:spacing w:after="0"/>
                    <w:ind w:left="0" w:right="57"/>
                    <w:rPr>
                      <w:b/>
                    </w:rPr>
                  </w:pPr>
                  <w:r w:rsidRPr="001D2C31">
                    <w:rPr>
                      <w:b/>
                    </w:rPr>
                    <w:t>929.1</w:t>
                  </w:r>
                </w:p>
              </w:tc>
              <w:tc>
                <w:tcPr>
                  <w:tcW w:w="501" w:type="pct"/>
                </w:tcPr>
                <w:p w:rsidR="007544CA" w:rsidRPr="001D2C31" w:rsidRDefault="007544CA" w:rsidP="00133508">
                  <w:pPr>
                    <w:pStyle w:val="TableBodyText"/>
                    <w:spacing w:after="0"/>
                    <w:ind w:left="0" w:right="57"/>
                    <w:rPr>
                      <w:b/>
                    </w:rPr>
                  </w:pPr>
                  <w:r w:rsidRPr="001D2C31">
                    <w:rPr>
                      <w:b/>
                    </w:rPr>
                    <w:t>972.5</w:t>
                  </w:r>
                </w:p>
              </w:tc>
              <w:tc>
                <w:tcPr>
                  <w:tcW w:w="501" w:type="pct"/>
                </w:tcPr>
                <w:p w:rsidR="007544CA" w:rsidRPr="001D2C31" w:rsidRDefault="007544CA" w:rsidP="00133508">
                  <w:pPr>
                    <w:pStyle w:val="TableBodyText"/>
                    <w:spacing w:after="0"/>
                    <w:ind w:left="0" w:right="57"/>
                    <w:rPr>
                      <w:b/>
                    </w:rPr>
                  </w:pPr>
                  <w:r w:rsidRPr="001D2C31">
                    <w:rPr>
                      <w:b/>
                    </w:rPr>
                    <w:t>784.2</w:t>
                  </w:r>
                </w:p>
              </w:tc>
              <w:tc>
                <w:tcPr>
                  <w:tcW w:w="501" w:type="pct"/>
                  <w:shd w:val="clear" w:color="auto" w:fill="auto"/>
                </w:tcPr>
                <w:p w:rsidR="007544CA" w:rsidRPr="001D2C31" w:rsidRDefault="007544CA" w:rsidP="00133508">
                  <w:pPr>
                    <w:pStyle w:val="TableBodyText"/>
                    <w:spacing w:after="0"/>
                    <w:ind w:left="0" w:right="57"/>
                    <w:rPr>
                      <w:b/>
                    </w:rPr>
                  </w:pPr>
                  <w:r w:rsidRPr="001D2C31">
                    <w:rPr>
                      <w:b/>
                    </w:rPr>
                    <w:t>1129.5</w:t>
                  </w:r>
                </w:p>
              </w:tc>
              <w:tc>
                <w:tcPr>
                  <w:tcW w:w="502" w:type="pct"/>
                  <w:shd w:val="clear" w:color="auto" w:fill="auto"/>
                </w:tcPr>
                <w:p w:rsidR="007544CA" w:rsidRPr="001D2C31" w:rsidRDefault="007544CA" w:rsidP="00133508">
                  <w:pPr>
                    <w:pStyle w:val="TableBodyText"/>
                    <w:spacing w:after="0"/>
                    <w:ind w:left="0" w:right="57"/>
                    <w:rPr>
                      <w:b/>
                    </w:rPr>
                  </w:pPr>
                  <w:r w:rsidRPr="001D2C31">
                    <w:rPr>
                      <w:b/>
                    </w:rPr>
                    <w:t>670.2</w:t>
                  </w:r>
                </w:p>
              </w:tc>
            </w:tr>
            <w:tr w:rsidR="007544CA" w:rsidRPr="00013DC6" w:rsidTr="00133508">
              <w:tc>
                <w:tcPr>
                  <w:tcW w:w="1992" w:type="pct"/>
                  <w:tcBorders>
                    <w:bottom w:val="single" w:sz="6" w:space="0" w:color="BFBFBF"/>
                  </w:tcBorders>
                  <w:shd w:val="clear" w:color="auto" w:fill="auto"/>
                  <w:vAlign w:val="center"/>
                </w:tcPr>
                <w:p w:rsidR="007544CA" w:rsidRPr="00013DC6" w:rsidRDefault="007544CA" w:rsidP="00133508">
                  <w:pPr>
                    <w:rPr>
                      <w:rFonts w:ascii="Arial" w:hAnsi="Arial" w:cs="Arial"/>
                      <w:b/>
                      <w:bCs/>
                      <w:sz w:val="18"/>
                      <w:szCs w:val="18"/>
                    </w:rPr>
                  </w:pPr>
                  <w:r w:rsidRPr="00013DC6">
                    <w:rPr>
                      <w:rFonts w:ascii="Arial" w:hAnsi="Arial" w:cs="Arial"/>
                      <w:b/>
                      <w:bCs/>
                      <w:sz w:val="18"/>
                      <w:szCs w:val="18"/>
                    </w:rPr>
                    <w:t>Total</w:t>
                  </w:r>
                </w:p>
              </w:tc>
              <w:tc>
                <w:tcPr>
                  <w:tcW w:w="501" w:type="pct"/>
                  <w:tcBorders>
                    <w:bottom w:val="single" w:sz="6" w:space="0" w:color="BFBFBF"/>
                  </w:tcBorders>
                </w:tcPr>
                <w:p w:rsidR="007544CA" w:rsidRPr="001D2C31" w:rsidRDefault="007544CA" w:rsidP="00133508">
                  <w:pPr>
                    <w:pStyle w:val="TableBodyText"/>
                    <w:spacing w:after="0"/>
                    <w:ind w:left="0" w:right="57"/>
                    <w:rPr>
                      <w:b/>
                    </w:rPr>
                  </w:pPr>
                  <w:r w:rsidRPr="001D2C31">
                    <w:rPr>
                      <w:b/>
                    </w:rPr>
                    <w:t>11525.3</w:t>
                  </w:r>
                </w:p>
              </w:tc>
              <w:tc>
                <w:tcPr>
                  <w:tcW w:w="501" w:type="pct"/>
                  <w:tcBorders>
                    <w:bottom w:val="single" w:sz="6" w:space="0" w:color="BFBFBF"/>
                  </w:tcBorders>
                </w:tcPr>
                <w:p w:rsidR="007544CA" w:rsidRPr="001D2C31" w:rsidRDefault="007544CA" w:rsidP="00133508">
                  <w:pPr>
                    <w:pStyle w:val="TableBodyText"/>
                    <w:spacing w:after="0"/>
                    <w:ind w:left="0" w:right="57"/>
                    <w:rPr>
                      <w:b/>
                    </w:rPr>
                  </w:pPr>
                  <w:r w:rsidRPr="001D2C31">
                    <w:rPr>
                      <w:b/>
                    </w:rPr>
                    <w:t>11464.8</w:t>
                  </w:r>
                </w:p>
              </w:tc>
              <w:tc>
                <w:tcPr>
                  <w:tcW w:w="501" w:type="pct"/>
                  <w:tcBorders>
                    <w:bottom w:val="single" w:sz="6" w:space="0" w:color="BFBFBF"/>
                  </w:tcBorders>
                </w:tcPr>
                <w:p w:rsidR="007544CA" w:rsidRPr="001D2C31" w:rsidRDefault="007544CA" w:rsidP="00133508">
                  <w:pPr>
                    <w:pStyle w:val="TableBodyText"/>
                    <w:spacing w:after="0"/>
                    <w:ind w:left="0" w:right="57"/>
                    <w:rPr>
                      <w:b/>
                    </w:rPr>
                  </w:pPr>
                  <w:r w:rsidRPr="001D2C31">
                    <w:rPr>
                      <w:b/>
                    </w:rPr>
                    <w:t>11295.5</w:t>
                  </w:r>
                </w:p>
              </w:tc>
              <w:tc>
                <w:tcPr>
                  <w:tcW w:w="501" w:type="pct"/>
                  <w:tcBorders>
                    <w:bottom w:val="single" w:sz="6" w:space="0" w:color="BFBFBF"/>
                  </w:tcBorders>
                </w:tcPr>
                <w:p w:rsidR="007544CA" w:rsidRPr="001D2C31" w:rsidRDefault="007544CA" w:rsidP="00133508">
                  <w:pPr>
                    <w:pStyle w:val="TableBodyText"/>
                    <w:spacing w:after="0"/>
                    <w:ind w:left="0" w:right="57"/>
                    <w:rPr>
                      <w:b/>
                    </w:rPr>
                  </w:pPr>
                  <w:r w:rsidRPr="001D2C31">
                    <w:rPr>
                      <w:b/>
                    </w:rPr>
                    <w:t>8464.7</w:t>
                  </w:r>
                </w:p>
              </w:tc>
              <w:tc>
                <w:tcPr>
                  <w:tcW w:w="501" w:type="pct"/>
                  <w:tcBorders>
                    <w:bottom w:val="single" w:sz="6" w:space="0" w:color="BFBFBF"/>
                  </w:tcBorders>
                  <w:shd w:val="clear" w:color="auto" w:fill="auto"/>
                </w:tcPr>
                <w:p w:rsidR="007544CA" w:rsidRPr="001D2C31" w:rsidRDefault="007544CA" w:rsidP="00133508">
                  <w:pPr>
                    <w:pStyle w:val="TableBodyText"/>
                    <w:spacing w:after="0"/>
                    <w:ind w:left="0" w:right="57"/>
                    <w:rPr>
                      <w:b/>
                    </w:rPr>
                  </w:pPr>
                  <w:r w:rsidRPr="001D2C31">
                    <w:rPr>
                      <w:b/>
                    </w:rPr>
                    <w:t>8425.7</w:t>
                  </w:r>
                </w:p>
              </w:tc>
              <w:tc>
                <w:tcPr>
                  <w:tcW w:w="502" w:type="pct"/>
                  <w:tcBorders>
                    <w:bottom w:val="single" w:sz="6" w:space="0" w:color="BFBFBF"/>
                  </w:tcBorders>
                  <w:shd w:val="clear" w:color="auto" w:fill="auto"/>
                </w:tcPr>
                <w:p w:rsidR="007544CA" w:rsidRPr="001D2C31" w:rsidRDefault="007544CA" w:rsidP="00133508">
                  <w:pPr>
                    <w:pStyle w:val="TableBodyText"/>
                    <w:spacing w:after="0"/>
                    <w:ind w:left="0" w:right="57"/>
                    <w:rPr>
                      <w:b/>
                    </w:rPr>
                  </w:pPr>
                  <w:r w:rsidRPr="001D2C31">
                    <w:rPr>
                      <w:b/>
                    </w:rPr>
                    <w:t>7638.3</w:t>
                  </w:r>
                </w:p>
              </w:tc>
            </w:tr>
          </w:tbl>
          <w:p w:rsidR="007544CA" w:rsidRDefault="007544CA" w:rsidP="00133508">
            <w:pPr>
              <w:pStyle w:val="Box"/>
            </w:pP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Note"/>
              <w:rPr>
                <w:i/>
              </w:rPr>
            </w:pPr>
            <w:r>
              <w:rPr>
                <w:rFonts w:cs="Arial"/>
                <w:szCs w:val="18"/>
              </w:rPr>
              <w:t xml:space="preserve">– Nil. </w:t>
            </w:r>
            <w:r w:rsidRPr="00C74A79">
              <w:rPr>
                <w:rFonts w:cs="Arial"/>
                <w:szCs w:val="18"/>
              </w:rPr>
              <w:t>Figures may not add to totals due to rounding.</w:t>
            </w:r>
            <w:r>
              <w:rPr>
                <w:rFonts w:cs="Arial"/>
                <w:szCs w:val="18"/>
              </w:rPr>
              <w:t xml:space="preserve"> </w:t>
            </w:r>
            <w:r w:rsidRPr="008E77FE">
              <w:rPr>
                <w:rStyle w:val="NoteLabel"/>
              </w:rPr>
              <w:t>a</w:t>
            </w:r>
            <w:r>
              <w:t> </w:t>
            </w:r>
            <w:r w:rsidRPr="008405D4">
              <w:t>Tariff assistance estimates are derived using ABS Industry Gross Value Added and other supporting data.</w:t>
            </w:r>
            <w:r>
              <w:t xml:space="preserve"> </w:t>
            </w:r>
            <w:r>
              <w:rPr>
                <w:rStyle w:val="NoteLabel"/>
              </w:rPr>
              <w:t>b</w:t>
            </w:r>
            <w:r>
              <w:t> </w:t>
            </w:r>
            <w:r w:rsidRPr="008405D4">
              <w:t>Unallocated includes budgetary measures where details of beneficiaries are unknown.</w:t>
            </w:r>
            <w:r>
              <w:t xml:space="preserve"> </w:t>
            </w: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Source"/>
            </w:pPr>
            <w:r>
              <w:rPr>
                <w:i/>
              </w:rPr>
              <w:t>Source</w:t>
            </w:r>
            <w:r w:rsidRPr="00167F06">
              <w:t xml:space="preserve">: </w:t>
            </w:r>
            <w:r>
              <w:t>Commission estimates.</w:t>
            </w:r>
          </w:p>
        </w:tc>
      </w:tr>
      <w:tr w:rsidR="007544CA" w:rsidTr="00133508">
        <w:trPr>
          <w:cantSplit/>
        </w:trPr>
        <w:tc>
          <w:tcPr>
            <w:tcW w:w="8771" w:type="dxa"/>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9"/>
      </w:tblGrid>
      <w:tr w:rsidR="007544CA" w:rsidTr="00133508">
        <w:tc>
          <w:tcPr>
            <w:tcW w:w="8771" w:type="dxa"/>
            <w:tcBorders>
              <w:top w:val="single" w:sz="6" w:space="0" w:color="78A22F"/>
              <w:left w:val="nil"/>
              <w:bottom w:val="nil"/>
              <w:right w:val="nil"/>
            </w:tcBorders>
            <w:shd w:val="clear" w:color="auto" w:fill="auto"/>
          </w:tcPr>
          <w:p w:rsidR="007544CA" w:rsidRDefault="007544CA" w:rsidP="00133508">
            <w:pPr>
              <w:pStyle w:val="TableTitle"/>
            </w:pPr>
            <w:r>
              <w:rPr>
                <w:b w:val="0"/>
              </w:rPr>
              <w:t xml:space="preserve">Table </w:t>
            </w:r>
            <w:r>
              <w:rPr>
                <w:b w:val="0"/>
              </w:rPr>
              <w:fldChar w:fldCharType="begin" w:fldLock="1"/>
            </w:r>
            <w:r>
              <w:rPr>
                <w:b w:val="0"/>
              </w:rPr>
              <w:instrText xml:space="preserve"> COMMENTS  \* MERGEFORMAT </w:instrText>
            </w:r>
            <w:r>
              <w:rPr>
                <w:b w:val="0"/>
              </w:rPr>
              <w:fldChar w:fldCharType="separate"/>
            </w:r>
            <w:proofErr w:type="spellStart"/>
            <w:r>
              <w:rPr>
                <w:b w:val="0"/>
              </w:rPr>
              <w:t>A.</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4</w:t>
            </w:r>
            <w:proofErr w:type="spellEnd"/>
            <w:r>
              <w:rPr>
                <w:b w:val="0"/>
              </w:rPr>
              <w:fldChar w:fldCharType="end"/>
            </w:r>
            <w:r>
              <w:tab/>
            </w:r>
            <w:r w:rsidRPr="00D55602">
              <w:t xml:space="preserve">Output tariff assistance by industry grouping, </w:t>
            </w:r>
            <w:r>
              <w:br/>
            </w:r>
            <w:r w:rsidRPr="00D55602">
              <w:t>200</w:t>
            </w:r>
            <w:r>
              <w:t>9</w:t>
            </w:r>
            <w:r>
              <w:noBreakHyphen/>
              <w:t>10</w:t>
            </w:r>
            <w:r w:rsidRPr="00D55602">
              <w:t xml:space="preserve"> to 201</w:t>
            </w:r>
            <w:r>
              <w:t>4</w:t>
            </w:r>
            <w:r>
              <w:noBreakHyphen/>
            </w:r>
            <w:r w:rsidRPr="00D55602">
              <w:t>1</w:t>
            </w:r>
            <w:r>
              <w:t>5</w:t>
            </w:r>
            <w:r w:rsidRPr="00F74259">
              <w:rPr>
                <w:rStyle w:val="NoteLabel"/>
                <w:rFonts w:ascii="Arial Bold" w:hAnsi="Arial Bold"/>
                <w:b/>
                <w:position w:val="10"/>
              </w:rPr>
              <w:t>a</w:t>
            </w:r>
          </w:p>
          <w:p w:rsidR="007544CA" w:rsidRPr="00784A05" w:rsidRDefault="007544CA" w:rsidP="00133508">
            <w:pPr>
              <w:pStyle w:val="Subtitle"/>
            </w:pPr>
            <w:r w:rsidRPr="00D55602">
              <w:t>$ million (nominal)</w:t>
            </w:r>
          </w:p>
        </w:tc>
      </w:tr>
      <w:tr w:rsidR="007544CA" w:rsidTr="00133508">
        <w:trPr>
          <w:cantSplit/>
        </w:trPr>
        <w:tc>
          <w:tcPr>
            <w:tcW w:w="8771" w:type="dxa"/>
            <w:tcBorders>
              <w:top w:val="nil"/>
              <w:left w:val="nil"/>
              <w:bottom w:val="nil"/>
              <w:right w:val="nil"/>
            </w:tcBorders>
            <w:shd w:val="clear" w:color="auto" w:fill="auto"/>
          </w:tcPr>
          <w:tbl>
            <w:tblPr>
              <w:tblW w:w="8495" w:type="dxa"/>
              <w:tblCellMar>
                <w:top w:w="28" w:type="dxa"/>
                <w:left w:w="0" w:type="dxa"/>
                <w:right w:w="0" w:type="dxa"/>
              </w:tblCellMar>
              <w:tblLook w:val="0000" w:firstRow="0" w:lastRow="0" w:firstColumn="0" w:lastColumn="0" w:noHBand="0" w:noVBand="0"/>
            </w:tblPr>
            <w:tblGrid>
              <w:gridCol w:w="3401"/>
              <w:gridCol w:w="853"/>
              <w:gridCol w:w="851"/>
              <w:gridCol w:w="851"/>
              <w:gridCol w:w="848"/>
              <w:gridCol w:w="848"/>
              <w:gridCol w:w="843"/>
            </w:tblGrid>
            <w:tr w:rsidR="007544CA" w:rsidTr="00133508">
              <w:tc>
                <w:tcPr>
                  <w:tcW w:w="2002" w:type="pct"/>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r>
                    <w:t>Industry grouping</w:t>
                  </w:r>
                </w:p>
              </w:tc>
              <w:tc>
                <w:tcPr>
                  <w:tcW w:w="502"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2009</w:t>
                  </w:r>
                  <w:r>
                    <w:rPr>
                      <w:szCs w:val="18"/>
                    </w:rPr>
                    <w:noBreakHyphen/>
                  </w:r>
                  <w:r w:rsidRPr="00AB1D7C">
                    <w:rPr>
                      <w:szCs w:val="18"/>
                    </w:rPr>
                    <w:t>10</w:t>
                  </w:r>
                </w:p>
              </w:tc>
              <w:tc>
                <w:tcPr>
                  <w:tcW w:w="501"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2010</w:t>
                  </w:r>
                  <w:r>
                    <w:rPr>
                      <w:szCs w:val="18"/>
                    </w:rPr>
                    <w:noBreakHyphen/>
                  </w:r>
                  <w:r w:rsidRPr="00AB1D7C">
                    <w:rPr>
                      <w:szCs w:val="18"/>
                    </w:rPr>
                    <w:t>11</w:t>
                  </w:r>
                </w:p>
              </w:tc>
              <w:tc>
                <w:tcPr>
                  <w:tcW w:w="501"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2011</w:t>
                  </w:r>
                  <w:r>
                    <w:rPr>
                      <w:szCs w:val="18"/>
                    </w:rPr>
                    <w:noBreakHyphen/>
                  </w:r>
                  <w:r w:rsidRPr="00AB1D7C">
                    <w:rPr>
                      <w:szCs w:val="18"/>
                    </w:rPr>
                    <w:t>12</w:t>
                  </w:r>
                </w:p>
              </w:tc>
              <w:tc>
                <w:tcPr>
                  <w:tcW w:w="499"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2012</w:t>
                  </w:r>
                  <w:r>
                    <w:rPr>
                      <w:szCs w:val="18"/>
                    </w:rPr>
                    <w:noBreakHyphen/>
                  </w:r>
                  <w:r w:rsidRPr="00AB1D7C">
                    <w:rPr>
                      <w:szCs w:val="18"/>
                    </w:rPr>
                    <w:t>13</w:t>
                  </w:r>
                </w:p>
              </w:tc>
              <w:tc>
                <w:tcPr>
                  <w:tcW w:w="499" w:type="pct"/>
                  <w:tcBorders>
                    <w:top w:val="single" w:sz="6" w:space="0" w:color="BFBFBF"/>
                    <w:bottom w:val="single" w:sz="6" w:space="0" w:color="BFBFBF"/>
                  </w:tcBorders>
                  <w:shd w:val="clear" w:color="auto" w:fill="auto"/>
                  <w:tcMar>
                    <w:top w:w="28" w:type="dxa"/>
                  </w:tcMar>
                </w:tcPr>
                <w:p w:rsidR="007544CA" w:rsidRPr="00AB1D7C" w:rsidRDefault="007544CA" w:rsidP="00133508">
                  <w:pPr>
                    <w:pStyle w:val="TableColumnHeading"/>
                    <w:ind w:left="0" w:right="57"/>
                    <w:rPr>
                      <w:szCs w:val="18"/>
                    </w:rPr>
                  </w:pPr>
                  <w:r w:rsidRPr="00AB1D7C">
                    <w:rPr>
                      <w:szCs w:val="18"/>
                    </w:rPr>
                    <w:t>2013</w:t>
                  </w:r>
                  <w:r>
                    <w:rPr>
                      <w:szCs w:val="18"/>
                    </w:rPr>
                    <w:noBreakHyphen/>
                  </w:r>
                  <w:r w:rsidRPr="00AB1D7C">
                    <w:rPr>
                      <w:szCs w:val="18"/>
                    </w:rPr>
                    <w:t>14</w:t>
                  </w:r>
                </w:p>
              </w:tc>
              <w:tc>
                <w:tcPr>
                  <w:tcW w:w="496" w:type="pct"/>
                  <w:tcBorders>
                    <w:top w:val="single" w:sz="6" w:space="0" w:color="BFBFBF"/>
                    <w:bottom w:val="single" w:sz="6" w:space="0" w:color="BFBFBF"/>
                  </w:tcBorders>
                  <w:shd w:val="clear" w:color="auto" w:fill="auto"/>
                  <w:tcMar>
                    <w:top w:w="28" w:type="dxa"/>
                  </w:tcMar>
                </w:tcPr>
                <w:p w:rsidR="007544CA" w:rsidRPr="00AB1D7C" w:rsidRDefault="007544CA" w:rsidP="00133508">
                  <w:pPr>
                    <w:pStyle w:val="TableColumnHeading"/>
                    <w:ind w:left="0" w:right="57"/>
                    <w:rPr>
                      <w:szCs w:val="18"/>
                    </w:rPr>
                  </w:pPr>
                  <w:r w:rsidRPr="00AB1D7C">
                    <w:rPr>
                      <w:szCs w:val="18"/>
                    </w:rPr>
                    <w:t>201</w:t>
                  </w:r>
                  <w:r>
                    <w:rPr>
                      <w:szCs w:val="18"/>
                    </w:rPr>
                    <w:t>4</w:t>
                  </w:r>
                  <w:r>
                    <w:rPr>
                      <w:szCs w:val="18"/>
                    </w:rPr>
                    <w:noBreakHyphen/>
                  </w:r>
                  <w:r w:rsidRPr="00AB1D7C">
                    <w:rPr>
                      <w:szCs w:val="18"/>
                    </w:rPr>
                    <w:t>1</w:t>
                  </w:r>
                  <w:r>
                    <w:rPr>
                      <w:szCs w:val="18"/>
                    </w:rPr>
                    <w:t>5</w:t>
                  </w:r>
                </w:p>
              </w:tc>
            </w:tr>
            <w:tr w:rsidR="007544CA" w:rsidRPr="00D156AF" w:rsidTr="00133508">
              <w:tc>
                <w:tcPr>
                  <w:tcW w:w="2002" w:type="pct"/>
                  <w:tcBorders>
                    <w:top w:val="single" w:sz="6" w:space="0" w:color="BFBFBF"/>
                  </w:tcBorders>
                  <w:vAlign w:val="bottom"/>
                </w:tcPr>
                <w:p w:rsidR="007544CA" w:rsidRPr="00D156AF" w:rsidRDefault="007544CA" w:rsidP="00133508">
                  <w:pPr>
                    <w:rPr>
                      <w:rFonts w:ascii="Arial" w:hAnsi="Arial" w:cs="Arial"/>
                      <w:b/>
                      <w:bCs/>
                      <w:sz w:val="18"/>
                      <w:szCs w:val="18"/>
                    </w:rPr>
                  </w:pPr>
                  <w:r w:rsidRPr="00D156AF">
                    <w:rPr>
                      <w:rFonts w:ascii="Arial" w:hAnsi="Arial" w:cs="Arial"/>
                      <w:b/>
                      <w:bCs/>
                      <w:sz w:val="18"/>
                      <w:szCs w:val="18"/>
                    </w:rPr>
                    <w:t>Primary production</w:t>
                  </w:r>
                </w:p>
              </w:tc>
              <w:tc>
                <w:tcPr>
                  <w:tcW w:w="502" w:type="pct"/>
                  <w:tcBorders>
                    <w:top w:val="single" w:sz="6" w:space="0" w:color="BFBFBF"/>
                  </w:tcBorders>
                  <w:vAlign w:val="bottom"/>
                </w:tcPr>
                <w:p w:rsidR="007544CA" w:rsidRPr="00E16C0F" w:rsidRDefault="007544CA" w:rsidP="00133508">
                  <w:pPr>
                    <w:pStyle w:val="TableBodyText"/>
                    <w:spacing w:after="0"/>
                    <w:ind w:left="0" w:right="57"/>
                    <w:rPr>
                      <w:b/>
                    </w:rPr>
                  </w:pPr>
                  <w:r w:rsidRPr="00E16C0F">
                    <w:rPr>
                      <w:b/>
                    </w:rPr>
                    <w:t>215.0</w:t>
                  </w:r>
                </w:p>
              </w:tc>
              <w:tc>
                <w:tcPr>
                  <w:tcW w:w="501" w:type="pct"/>
                  <w:tcBorders>
                    <w:top w:val="single" w:sz="6" w:space="0" w:color="BFBFBF"/>
                  </w:tcBorders>
                  <w:vAlign w:val="bottom"/>
                </w:tcPr>
                <w:p w:rsidR="007544CA" w:rsidRPr="00E16C0F" w:rsidRDefault="007544CA" w:rsidP="00133508">
                  <w:pPr>
                    <w:pStyle w:val="TableBodyText"/>
                    <w:spacing w:after="0"/>
                    <w:ind w:left="0" w:right="57"/>
                    <w:rPr>
                      <w:b/>
                    </w:rPr>
                  </w:pPr>
                  <w:r w:rsidRPr="00E16C0F">
                    <w:rPr>
                      <w:b/>
                    </w:rPr>
                    <w:t>235.2</w:t>
                  </w:r>
                </w:p>
              </w:tc>
              <w:tc>
                <w:tcPr>
                  <w:tcW w:w="501" w:type="pct"/>
                  <w:tcBorders>
                    <w:top w:val="single" w:sz="6" w:space="0" w:color="BFBFBF"/>
                  </w:tcBorders>
                  <w:vAlign w:val="bottom"/>
                </w:tcPr>
                <w:p w:rsidR="007544CA" w:rsidRPr="00E16C0F" w:rsidRDefault="007544CA" w:rsidP="00133508">
                  <w:pPr>
                    <w:pStyle w:val="TableBodyText"/>
                    <w:spacing w:after="0"/>
                    <w:ind w:left="0" w:right="57"/>
                    <w:rPr>
                      <w:b/>
                    </w:rPr>
                  </w:pPr>
                  <w:r w:rsidRPr="00E16C0F">
                    <w:rPr>
                      <w:b/>
                    </w:rPr>
                    <w:t>246.5</w:t>
                  </w:r>
                </w:p>
              </w:tc>
              <w:tc>
                <w:tcPr>
                  <w:tcW w:w="499" w:type="pct"/>
                  <w:tcBorders>
                    <w:top w:val="single" w:sz="6" w:space="0" w:color="BFBFBF"/>
                  </w:tcBorders>
                  <w:vAlign w:val="bottom"/>
                </w:tcPr>
                <w:p w:rsidR="007544CA" w:rsidRPr="00E16C0F" w:rsidRDefault="007544CA" w:rsidP="00133508">
                  <w:pPr>
                    <w:pStyle w:val="TableBodyText"/>
                    <w:spacing w:after="0"/>
                    <w:ind w:left="0" w:right="57"/>
                    <w:rPr>
                      <w:b/>
                    </w:rPr>
                  </w:pPr>
                  <w:r w:rsidRPr="00E16C0F">
                    <w:rPr>
                      <w:b/>
                    </w:rPr>
                    <w:t>257.2</w:t>
                  </w:r>
                </w:p>
              </w:tc>
              <w:tc>
                <w:tcPr>
                  <w:tcW w:w="499" w:type="pct"/>
                  <w:tcBorders>
                    <w:top w:val="single" w:sz="6" w:space="0" w:color="BFBFBF"/>
                  </w:tcBorders>
                  <w:vAlign w:val="bottom"/>
                </w:tcPr>
                <w:p w:rsidR="007544CA" w:rsidRPr="00E16C0F" w:rsidRDefault="007544CA" w:rsidP="00133508">
                  <w:pPr>
                    <w:pStyle w:val="TableBodyText"/>
                    <w:spacing w:after="0"/>
                    <w:ind w:left="0" w:right="57"/>
                    <w:rPr>
                      <w:b/>
                    </w:rPr>
                  </w:pPr>
                  <w:r w:rsidRPr="00E16C0F">
                    <w:rPr>
                      <w:b/>
                    </w:rPr>
                    <w:t>226.0</w:t>
                  </w:r>
                </w:p>
              </w:tc>
              <w:tc>
                <w:tcPr>
                  <w:tcW w:w="496" w:type="pct"/>
                  <w:tcBorders>
                    <w:top w:val="single" w:sz="6" w:space="0" w:color="BFBFBF"/>
                  </w:tcBorders>
                  <w:vAlign w:val="bottom"/>
                </w:tcPr>
                <w:p w:rsidR="007544CA" w:rsidRPr="00E16C0F" w:rsidRDefault="007544CA" w:rsidP="00133508">
                  <w:pPr>
                    <w:pStyle w:val="TableBodyText"/>
                    <w:spacing w:after="0"/>
                    <w:ind w:left="0" w:right="57"/>
                    <w:rPr>
                      <w:b/>
                    </w:rPr>
                  </w:pPr>
                  <w:r w:rsidRPr="00E16C0F">
                    <w:rPr>
                      <w:b/>
                    </w:rPr>
                    <w:t>208.9</w:t>
                  </w:r>
                </w:p>
              </w:tc>
            </w:tr>
            <w:tr w:rsidR="007544CA" w:rsidTr="00133508">
              <w:tc>
                <w:tcPr>
                  <w:tcW w:w="2002" w:type="pct"/>
                  <w:vAlign w:val="center"/>
                </w:tcPr>
                <w:p w:rsidR="007544CA" w:rsidRPr="00EB5BB7" w:rsidRDefault="007544CA" w:rsidP="00133508">
                  <w:pPr>
                    <w:rPr>
                      <w:rFonts w:ascii="Arial" w:hAnsi="Arial" w:cs="Arial"/>
                      <w:sz w:val="18"/>
                      <w:szCs w:val="18"/>
                    </w:rPr>
                  </w:pPr>
                  <w:r w:rsidRPr="00EB5BB7">
                    <w:rPr>
                      <w:rFonts w:ascii="Arial" w:hAnsi="Arial" w:cs="Arial"/>
                      <w:sz w:val="18"/>
                      <w:szCs w:val="18"/>
                    </w:rPr>
                    <w:t>Horticulture and fruit growing</w:t>
                  </w:r>
                </w:p>
              </w:tc>
              <w:tc>
                <w:tcPr>
                  <w:tcW w:w="502" w:type="pct"/>
                  <w:vAlign w:val="bottom"/>
                </w:tcPr>
                <w:p w:rsidR="007544CA" w:rsidRDefault="007544CA" w:rsidP="00133508">
                  <w:pPr>
                    <w:pStyle w:val="TableBodyText"/>
                    <w:spacing w:after="0"/>
                    <w:ind w:left="0" w:right="57"/>
                  </w:pPr>
                  <w:r>
                    <w:t>154.3</w:t>
                  </w:r>
                </w:p>
              </w:tc>
              <w:tc>
                <w:tcPr>
                  <w:tcW w:w="501" w:type="pct"/>
                  <w:vAlign w:val="bottom"/>
                </w:tcPr>
                <w:p w:rsidR="007544CA" w:rsidRDefault="007544CA" w:rsidP="00133508">
                  <w:pPr>
                    <w:pStyle w:val="TableBodyText"/>
                    <w:spacing w:after="0"/>
                    <w:ind w:left="0" w:right="57"/>
                  </w:pPr>
                  <w:r>
                    <w:t>173.9</w:t>
                  </w:r>
                </w:p>
              </w:tc>
              <w:tc>
                <w:tcPr>
                  <w:tcW w:w="501" w:type="pct"/>
                  <w:vAlign w:val="bottom"/>
                </w:tcPr>
                <w:p w:rsidR="007544CA" w:rsidRDefault="007544CA" w:rsidP="00133508">
                  <w:pPr>
                    <w:pStyle w:val="TableBodyText"/>
                    <w:spacing w:after="0"/>
                    <w:ind w:left="0" w:right="57"/>
                  </w:pPr>
                  <w:r>
                    <w:t>180.9</w:t>
                  </w:r>
                </w:p>
              </w:tc>
              <w:tc>
                <w:tcPr>
                  <w:tcW w:w="499" w:type="pct"/>
                  <w:vAlign w:val="bottom"/>
                </w:tcPr>
                <w:p w:rsidR="007544CA" w:rsidRDefault="007544CA" w:rsidP="00133508">
                  <w:pPr>
                    <w:pStyle w:val="TableBodyText"/>
                    <w:spacing w:after="0"/>
                    <w:ind w:left="0" w:right="57"/>
                  </w:pPr>
                  <w:r>
                    <w:t>192.0</w:t>
                  </w:r>
                </w:p>
              </w:tc>
              <w:tc>
                <w:tcPr>
                  <w:tcW w:w="499" w:type="pct"/>
                  <w:vAlign w:val="bottom"/>
                </w:tcPr>
                <w:p w:rsidR="007544CA" w:rsidRDefault="007544CA" w:rsidP="00133508">
                  <w:pPr>
                    <w:pStyle w:val="TableBodyText"/>
                    <w:spacing w:after="0"/>
                    <w:ind w:left="0" w:right="57"/>
                  </w:pPr>
                  <w:r>
                    <w:t>160.4</w:t>
                  </w:r>
                </w:p>
              </w:tc>
              <w:tc>
                <w:tcPr>
                  <w:tcW w:w="496" w:type="pct"/>
                  <w:vAlign w:val="bottom"/>
                </w:tcPr>
                <w:p w:rsidR="007544CA" w:rsidRDefault="007544CA" w:rsidP="00133508">
                  <w:pPr>
                    <w:pStyle w:val="TableBodyText"/>
                    <w:spacing w:after="0"/>
                    <w:ind w:left="0" w:right="57"/>
                  </w:pPr>
                  <w:r>
                    <w:t>138.2</w:t>
                  </w:r>
                </w:p>
              </w:tc>
            </w:tr>
            <w:tr w:rsidR="007544CA" w:rsidTr="00133508">
              <w:tc>
                <w:tcPr>
                  <w:tcW w:w="2002" w:type="pct"/>
                  <w:shd w:val="clear" w:color="auto" w:fill="auto"/>
                  <w:vAlign w:val="center"/>
                </w:tcPr>
                <w:p w:rsidR="007544CA" w:rsidRPr="00EB5BB7" w:rsidRDefault="007544CA" w:rsidP="00133508">
                  <w:pPr>
                    <w:rPr>
                      <w:rFonts w:ascii="Arial" w:hAnsi="Arial" w:cs="Arial"/>
                      <w:sz w:val="18"/>
                      <w:szCs w:val="18"/>
                    </w:rPr>
                  </w:pPr>
                  <w:r w:rsidRPr="00EB5BB7">
                    <w:rPr>
                      <w:rFonts w:ascii="Arial" w:hAnsi="Arial" w:cs="Arial"/>
                      <w:sz w:val="18"/>
                      <w:szCs w:val="18"/>
                    </w:rPr>
                    <w:t>Sheep, beef cattle and grain farming</w:t>
                  </w:r>
                </w:p>
              </w:tc>
              <w:tc>
                <w:tcPr>
                  <w:tcW w:w="502" w:type="pct"/>
                  <w:vAlign w:val="bottom"/>
                </w:tcPr>
                <w:p w:rsidR="007544CA" w:rsidRDefault="007544CA" w:rsidP="00133508">
                  <w:pPr>
                    <w:pStyle w:val="TableBodyText"/>
                    <w:spacing w:after="0"/>
                    <w:ind w:left="0" w:right="57"/>
                  </w:pPr>
                  <w:r>
                    <w:t>0.1</w:t>
                  </w:r>
                </w:p>
              </w:tc>
              <w:tc>
                <w:tcPr>
                  <w:tcW w:w="501" w:type="pct"/>
                  <w:vAlign w:val="bottom"/>
                </w:tcPr>
                <w:p w:rsidR="007544CA" w:rsidRDefault="007544CA" w:rsidP="00133508">
                  <w:pPr>
                    <w:pStyle w:val="TableBodyText"/>
                    <w:spacing w:after="0"/>
                    <w:ind w:left="0" w:right="57"/>
                  </w:pPr>
                  <w:r>
                    <w:t>0.1</w:t>
                  </w:r>
                </w:p>
              </w:tc>
              <w:tc>
                <w:tcPr>
                  <w:tcW w:w="501" w:type="pct"/>
                  <w:vAlign w:val="bottom"/>
                </w:tcPr>
                <w:p w:rsidR="007544CA" w:rsidRDefault="007544CA" w:rsidP="00133508">
                  <w:pPr>
                    <w:pStyle w:val="TableBodyText"/>
                    <w:spacing w:after="0"/>
                    <w:ind w:left="0" w:right="57"/>
                  </w:pPr>
                  <w:r>
                    <w:t>0.2</w:t>
                  </w:r>
                </w:p>
              </w:tc>
              <w:tc>
                <w:tcPr>
                  <w:tcW w:w="499" w:type="pct"/>
                  <w:vAlign w:val="bottom"/>
                </w:tcPr>
                <w:p w:rsidR="007544CA" w:rsidRDefault="007544CA" w:rsidP="00133508">
                  <w:pPr>
                    <w:pStyle w:val="TableBodyText"/>
                    <w:spacing w:after="0"/>
                    <w:ind w:left="0" w:right="57"/>
                  </w:pPr>
                  <w:r>
                    <w:t>0.2</w:t>
                  </w:r>
                </w:p>
              </w:tc>
              <w:tc>
                <w:tcPr>
                  <w:tcW w:w="499" w:type="pct"/>
                  <w:shd w:val="clear" w:color="auto" w:fill="auto"/>
                  <w:vAlign w:val="bottom"/>
                </w:tcPr>
                <w:p w:rsidR="007544CA" w:rsidRDefault="007544CA" w:rsidP="00133508">
                  <w:pPr>
                    <w:pStyle w:val="TableBodyText"/>
                    <w:spacing w:after="0"/>
                    <w:ind w:left="0" w:right="57"/>
                  </w:pPr>
                  <w:r>
                    <w:t>0.2</w:t>
                  </w:r>
                </w:p>
              </w:tc>
              <w:tc>
                <w:tcPr>
                  <w:tcW w:w="496" w:type="pct"/>
                  <w:shd w:val="clear" w:color="auto" w:fill="auto"/>
                  <w:vAlign w:val="bottom"/>
                </w:tcPr>
                <w:p w:rsidR="007544CA" w:rsidRDefault="007544CA" w:rsidP="00133508">
                  <w:pPr>
                    <w:pStyle w:val="TableBodyText"/>
                    <w:spacing w:after="0"/>
                    <w:ind w:left="0" w:right="57"/>
                  </w:pPr>
                  <w:r>
                    <w:t>0.2</w:t>
                  </w:r>
                </w:p>
              </w:tc>
            </w:tr>
            <w:tr w:rsidR="007544CA" w:rsidTr="00133508">
              <w:tc>
                <w:tcPr>
                  <w:tcW w:w="2002" w:type="pct"/>
                  <w:shd w:val="clear" w:color="auto" w:fill="auto"/>
                  <w:vAlign w:val="center"/>
                </w:tcPr>
                <w:p w:rsidR="007544CA" w:rsidRPr="00EB5BB7" w:rsidRDefault="007544CA" w:rsidP="00133508">
                  <w:pPr>
                    <w:rPr>
                      <w:rFonts w:ascii="Arial" w:hAnsi="Arial" w:cs="Arial"/>
                      <w:sz w:val="18"/>
                      <w:szCs w:val="18"/>
                    </w:rPr>
                  </w:pPr>
                  <w:r w:rsidRPr="00EB5BB7">
                    <w:rPr>
                      <w:rFonts w:ascii="Arial" w:hAnsi="Arial" w:cs="Arial"/>
                      <w:sz w:val="18"/>
                      <w:szCs w:val="18"/>
                    </w:rPr>
                    <w:t>Other crop growing</w:t>
                  </w:r>
                </w:p>
              </w:tc>
              <w:tc>
                <w:tcPr>
                  <w:tcW w:w="502" w:type="pct"/>
                  <w:vAlign w:val="bottom"/>
                </w:tcPr>
                <w:p w:rsidR="007544CA" w:rsidRDefault="007544CA" w:rsidP="00133508">
                  <w:pPr>
                    <w:pStyle w:val="TableBodyText"/>
                    <w:spacing w:after="0"/>
                    <w:ind w:left="0" w:right="57"/>
                  </w:pPr>
                  <w:r>
                    <w:t>2.2</w:t>
                  </w:r>
                </w:p>
              </w:tc>
              <w:tc>
                <w:tcPr>
                  <w:tcW w:w="501" w:type="pct"/>
                  <w:vAlign w:val="bottom"/>
                </w:tcPr>
                <w:p w:rsidR="007544CA" w:rsidRDefault="007544CA" w:rsidP="00133508">
                  <w:pPr>
                    <w:pStyle w:val="TableBodyText"/>
                    <w:spacing w:after="0"/>
                    <w:ind w:left="0" w:right="57"/>
                  </w:pPr>
                  <w:r>
                    <w:t>2.4</w:t>
                  </w:r>
                </w:p>
              </w:tc>
              <w:tc>
                <w:tcPr>
                  <w:tcW w:w="501" w:type="pct"/>
                  <w:vAlign w:val="bottom"/>
                </w:tcPr>
                <w:p w:rsidR="007544CA" w:rsidRDefault="007544CA" w:rsidP="00133508">
                  <w:pPr>
                    <w:pStyle w:val="TableBodyText"/>
                    <w:spacing w:after="0"/>
                    <w:ind w:left="0" w:right="57"/>
                  </w:pPr>
                  <w:r>
                    <w:t>2.5</w:t>
                  </w:r>
                </w:p>
              </w:tc>
              <w:tc>
                <w:tcPr>
                  <w:tcW w:w="499" w:type="pct"/>
                  <w:vAlign w:val="bottom"/>
                </w:tcPr>
                <w:p w:rsidR="007544CA" w:rsidRDefault="007544CA" w:rsidP="00133508">
                  <w:pPr>
                    <w:pStyle w:val="TableBodyText"/>
                    <w:spacing w:after="0"/>
                    <w:ind w:left="0" w:right="57"/>
                  </w:pPr>
                  <w:r>
                    <w:t>2.6</w:t>
                  </w:r>
                </w:p>
              </w:tc>
              <w:tc>
                <w:tcPr>
                  <w:tcW w:w="499" w:type="pct"/>
                  <w:shd w:val="clear" w:color="auto" w:fill="auto"/>
                  <w:vAlign w:val="bottom"/>
                </w:tcPr>
                <w:p w:rsidR="007544CA" w:rsidRDefault="007544CA" w:rsidP="00133508">
                  <w:pPr>
                    <w:pStyle w:val="TableBodyText"/>
                    <w:spacing w:after="0"/>
                    <w:ind w:left="0" w:right="57"/>
                  </w:pPr>
                  <w:r>
                    <w:t>2.6</w:t>
                  </w:r>
                </w:p>
              </w:tc>
              <w:tc>
                <w:tcPr>
                  <w:tcW w:w="496" w:type="pct"/>
                  <w:shd w:val="clear" w:color="auto" w:fill="auto"/>
                  <w:vAlign w:val="bottom"/>
                </w:tcPr>
                <w:p w:rsidR="007544CA" w:rsidRDefault="007544CA" w:rsidP="00133508">
                  <w:pPr>
                    <w:pStyle w:val="TableBodyText"/>
                    <w:spacing w:after="0"/>
                    <w:ind w:left="0" w:right="57"/>
                  </w:pPr>
                  <w:r>
                    <w:t>2.7</w:t>
                  </w:r>
                </w:p>
              </w:tc>
            </w:tr>
            <w:tr w:rsidR="007544CA" w:rsidTr="00133508">
              <w:tc>
                <w:tcPr>
                  <w:tcW w:w="2002" w:type="pct"/>
                  <w:shd w:val="clear" w:color="auto" w:fill="auto"/>
                  <w:vAlign w:val="center"/>
                </w:tcPr>
                <w:p w:rsidR="007544CA" w:rsidRPr="00EB5BB7" w:rsidRDefault="007544CA" w:rsidP="00133508">
                  <w:pPr>
                    <w:rPr>
                      <w:rFonts w:ascii="Arial" w:hAnsi="Arial" w:cs="Arial"/>
                      <w:sz w:val="18"/>
                      <w:szCs w:val="18"/>
                    </w:rPr>
                  </w:pPr>
                  <w:r w:rsidRPr="00EB5BB7">
                    <w:rPr>
                      <w:rFonts w:ascii="Arial" w:hAnsi="Arial" w:cs="Arial"/>
                      <w:sz w:val="18"/>
                      <w:szCs w:val="18"/>
                    </w:rPr>
                    <w:t>Dairy cattle farming</w:t>
                  </w:r>
                </w:p>
              </w:tc>
              <w:tc>
                <w:tcPr>
                  <w:tcW w:w="502"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6"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r>
            <w:tr w:rsidR="007544CA" w:rsidTr="00133508">
              <w:tc>
                <w:tcPr>
                  <w:tcW w:w="2002" w:type="pct"/>
                  <w:shd w:val="clear" w:color="auto" w:fill="auto"/>
                  <w:vAlign w:val="center"/>
                </w:tcPr>
                <w:p w:rsidR="007544CA" w:rsidRPr="00EB5BB7" w:rsidRDefault="007544CA" w:rsidP="00133508">
                  <w:pPr>
                    <w:rPr>
                      <w:rFonts w:ascii="Arial" w:hAnsi="Arial" w:cs="Arial"/>
                      <w:sz w:val="18"/>
                      <w:szCs w:val="18"/>
                    </w:rPr>
                  </w:pPr>
                  <w:r w:rsidRPr="00EB5BB7">
                    <w:rPr>
                      <w:rFonts w:ascii="Arial" w:hAnsi="Arial" w:cs="Arial"/>
                      <w:sz w:val="18"/>
                      <w:szCs w:val="18"/>
                    </w:rPr>
                    <w:t>Other livestock farming</w:t>
                  </w:r>
                </w:p>
              </w:tc>
              <w:tc>
                <w:tcPr>
                  <w:tcW w:w="502"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6"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r>
            <w:tr w:rsidR="007544CA" w:rsidTr="00133508">
              <w:tc>
                <w:tcPr>
                  <w:tcW w:w="2002" w:type="pct"/>
                  <w:shd w:val="clear" w:color="auto" w:fill="auto"/>
                  <w:vAlign w:val="center"/>
                </w:tcPr>
                <w:p w:rsidR="007544CA" w:rsidRPr="00EB5BB7" w:rsidRDefault="007544CA" w:rsidP="00133508">
                  <w:pPr>
                    <w:rPr>
                      <w:rFonts w:ascii="Arial" w:hAnsi="Arial" w:cs="Arial"/>
                      <w:sz w:val="18"/>
                      <w:szCs w:val="18"/>
                    </w:rPr>
                  </w:pPr>
                  <w:r w:rsidRPr="00EB5BB7">
                    <w:rPr>
                      <w:rFonts w:ascii="Arial" w:hAnsi="Arial" w:cs="Arial"/>
                      <w:sz w:val="18"/>
                      <w:szCs w:val="18"/>
                    </w:rPr>
                    <w:t>Aquaculture and fishing</w:t>
                  </w:r>
                </w:p>
              </w:tc>
              <w:tc>
                <w:tcPr>
                  <w:tcW w:w="502" w:type="pct"/>
                  <w:vAlign w:val="bottom"/>
                </w:tcPr>
                <w:p w:rsidR="007544CA" w:rsidRDefault="007544CA" w:rsidP="00133508">
                  <w:pPr>
                    <w:pStyle w:val="TableBodyText"/>
                    <w:spacing w:after="0"/>
                    <w:ind w:left="0" w:right="57"/>
                  </w:pPr>
                  <w:r>
                    <w:t>0.9</w:t>
                  </w:r>
                </w:p>
              </w:tc>
              <w:tc>
                <w:tcPr>
                  <w:tcW w:w="501" w:type="pct"/>
                  <w:vAlign w:val="bottom"/>
                </w:tcPr>
                <w:p w:rsidR="007544CA" w:rsidRDefault="007544CA" w:rsidP="00133508">
                  <w:pPr>
                    <w:pStyle w:val="TableBodyText"/>
                    <w:spacing w:after="0"/>
                    <w:ind w:left="0" w:right="57"/>
                  </w:pPr>
                  <w:r>
                    <w:t>0.9</w:t>
                  </w:r>
                </w:p>
              </w:tc>
              <w:tc>
                <w:tcPr>
                  <w:tcW w:w="501" w:type="pct"/>
                  <w:vAlign w:val="bottom"/>
                </w:tcPr>
                <w:p w:rsidR="007544CA" w:rsidRDefault="007544CA" w:rsidP="00133508">
                  <w:pPr>
                    <w:pStyle w:val="TableBodyText"/>
                    <w:spacing w:after="0"/>
                    <w:ind w:left="0" w:right="57"/>
                  </w:pPr>
                  <w:r>
                    <w:t>1.0</w:t>
                  </w:r>
                </w:p>
              </w:tc>
              <w:tc>
                <w:tcPr>
                  <w:tcW w:w="499" w:type="pct"/>
                  <w:vAlign w:val="bottom"/>
                </w:tcPr>
                <w:p w:rsidR="007544CA" w:rsidRDefault="007544CA" w:rsidP="00133508">
                  <w:pPr>
                    <w:pStyle w:val="TableBodyText"/>
                    <w:spacing w:after="0"/>
                    <w:ind w:left="0" w:right="57"/>
                  </w:pPr>
                  <w:r>
                    <w:t>1.3</w:t>
                  </w:r>
                </w:p>
              </w:tc>
              <w:tc>
                <w:tcPr>
                  <w:tcW w:w="499" w:type="pct"/>
                  <w:shd w:val="clear" w:color="auto" w:fill="auto"/>
                  <w:vAlign w:val="bottom"/>
                </w:tcPr>
                <w:p w:rsidR="007544CA" w:rsidRDefault="007544CA" w:rsidP="00133508">
                  <w:pPr>
                    <w:pStyle w:val="TableBodyText"/>
                    <w:spacing w:after="0"/>
                    <w:ind w:left="0" w:right="57"/>
                  </w:pPr>
                  <w:r>
                    <w:t>1.3</w:t>
                  </w:r>
                </w:p>
              </w:tc>
              <w:tc>
                <w:tcPr>
                  <w:tcW w:w="496" w:type="pct"/>
                  <w:shd w:val="clear" w:color="auto" w:fill="auto"/>
                  <w:vAlign w:val="bottom"/>
                </w:tcPr>
                <w:p w:rsidR="007544CA" w:rsidRDefault="007544CA" w:rsidP="00133508">
                  <w:pPr>
                    <w:pStyle w:val="TableBodyText"/>
                    <w:spacing w:after="0"/>
                    <w:ind w:left="0" w:right="57"/>
                  </w:pPr>
                  <w:r>
                    <w:t>1.4</w:t>
                  </w:r>
                </w:p>
              </w:tc>
            </w:tr>
            <w:tr w:rsidR="007544CA" w:rsidTr="00133508">
              <w:tc>
                <w:tcPr>
                  <w:tcW w:w="2002" w:type="pct"/>
                  <w:shd w:val="clear" w:color="auto" w:fill="auto"/>
                  <w:vAlign w:val="center"/>
                </w:tcPr>
                <w:p w:rsidR="007544CA" w:rsidRPr="00EB5BB7" w:rsidRDefault="007544CA" w:rsidP="00133508">
                  <w:pPr>
                    <w:rPr>
                      <w:rFonts w:ascii="Arial" w:hAnsi="Arial" w:cs="Arial"/>
                      <w:sz w:val="18"/>
                      <w:szCs w:val="18"/>
                    </w:rPr>
                  </w:pPr>
                  <w:r w:rsidRPr="00EB5BB7">
                    <w:rPr>
                      <w:rFonts w:ascii="Arial" w:hAnsi="Arial" w:cs="Arial"/>
                      <w:sz w:val="18"/>
                      <w:szCs w:val="18"/>
                    </w:rPr>
                    <w:t>Forestry and logging</w:t>
                  </w:r>
                </w:p>
              </w:tc>
              <w:tc>
                <w:tcPr>
                  <w:tcW w:w="502" w:type="pct"/>
                  <w:vAlign w:val="bottom"/>
                </w:tcPr>
                <w:p w:rsidR="007544CA" w:rsidRDefault="007544CA" w:rsidP="00133508">
                  <w:pPr>
                    <w:pStyle w:val="TableBodyText"/>
                    <w:spacing w:after="0"/>
                    <w:ind w:left="0" w:right="57"/>
                  </w:pPr>
                  <w:r>
                    <w:t>57.5</w:t>
                  </w:r>
                </w:p>
              </w:tc>
              <w:tc>
                <w:tcPr>
                  <w:tcW w:w="501" w:type="pct"/>
                  <w:vAlign w:val="bottom"/>
                </w:tcPr>
                <w:p w:rsidR="007544CA" w:rsidRDefault="007544CA" w:rsidP="00133508">
                  <w:pPr>
                    <w:pStyle w:val="TableBodyText"/>
                    <w:spacing w:after="0"/>
                    <w:ind w:left="0" w:right="57"/>
                  </w:pPr>
                  <w:r>
                    <w:t>57.9</w:t>
                  </w:r>
                </w:p>
              </w:tc>
              <w:tc>
                <w:tcPr>
                  <w:tcW w:w="501" w:type="pct"/>
                  <w:vAlign w:val="bottom"/>
                </w:tcPr>
                <w:p w:rsidR="007544CA" w:rsidRDefault="007544CA" w:rsidP="00133508">
                  <w:pPr>
                    <w:pStyle w:val="TableBodyText"/>
                    <w:spacing w:after="0"/>
                    <w:ind w:left="0" w:right="57"/>
                  </w:pPr>
                  <w:r>
                    <w:t>62.0</w:t>
                  </w:r>
                </w:p>
              </w:tc>
              <w:tc>
                <w:tcPr>
                  <w:tcW w:w="499" w:type="pct"/>
                  <w:vAlign w:val="bottom"/>
                </w:tcPr>
                <w:p w:rsidR="007544CA" w:rsidRDefault="007544CA" w:rsidP="00133508">
                  <w:pPr>
                    <w:pStyle w:val="TableBodyText"/>
                    <w:spacing w:after="0"/>
                    <w:ind w:left="0" w:right="57"/>
                  </w:pPr>
                  <w:r>
                    <w:t>61.1</w:t>
                  </w:r>
                </w:p>
              </w:tc>
              <w:tc>
                <w:tcPr>
                  <w:tcW w:w="499" w:type="pct"/>
                  <w:shd w:val="clear" w:color="auto" w:fill="auto"/>
                  <w:vAlign w:val="bottom"/>
                </w:tcPr>
                <w:p w:rsidR="007544CA" w:rsidRDefault="007544CA" w:rsidP="00133508">
                  <w:pPr>
                    <w:pStyle w:val="TableBodyText"/>
                    <w:spacing w:after="0"/>
                    <w:ind w:left="0" w:right="57"/>
                  </w:pPr>
                  <w:r>
                    <w:t>61.6</w:t>
                  </w:r>
                </w:p>
              </w:tc>
              <w:tc>
                <w:tcPr>
                  <w:tcW w:w="496" w:type="pct"/>
                  <w:shd w:val="clear" w:color="auto" w:fill="auto"/>
                  <w:vAlign w:val="bottom"/>
                </w:tcPr>
                <w:p w:rsidR="007544CA" w:rsidRDefault="007544CA" w:rsidP="00133508">
                  <w:pPr>
                    <w:pStyle w:val="TableBodyText"/>
                    <w:spacing w:after="0"/>
                    <w:ind w:left="0" w:right="57"/>
                  </w:pPr>
                  <w:r>
                    <w:t>66.4</w:t>
                  </w:r>
                </w:p>
              </w:tc>
            </w:tr>
            <w:tr w:rsidR="007544CA" w:rsidTr="00133508">
              <w:tc>
                <w:tcPr>
                  <w:tcW w:w="2002" w:type="pct"/>
                  <w:shd w:val="clear" w:color="auto" w:fill="auto"/>
                  <w:vAlign w:val="center"/>
                </w:tcPr>
                <w:p w:rsidR="007544CA" w:rsidRPr="00EB5BB7" w:rsidRDefault="007544CA" w:rsidP="00133508">
                  <w:pPr>
                    <w:rPr>
                      <w:rFonts w:ascii="Arial" w:hAnsi="Arial" w:cs="Arial"/>
                      <w:sz w:val="18"/>
                      <w:szCs w:val="18"/>
                    </w:rPr>
                  </w:pPr>
                  <w:r w:rsidRPr="00EB5BB7">
                    <w:rPr>
                      <w:rFonts w:ascii="Arial" w:hAnsi="Arial" w:cs="Arial"/>
                      <w:sz w:val="18"/>
                      <w:szCs w:val="18"/>
                    </w:rPr>
                    <w:t>Primary production support services</w:t>
                  </w:r>
                </w:p>
              </w:tc>
              <w:tc>
                <w:tcPr>
                  <w:tcW w:w="502"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6"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r>
            <w:tr w:rsidR="007544CA" w:rsidTr="00133508">
              <w:tc>
                <w:tcPr>
                  <w:tcW w:w="2002" w:type="pct"/>
                  <w:shd w:val="clear" w:color="auto" w:fill="auto"/>
                  <w:vAlign w:val="center"/>
                </w:tcPr>
                <w:p w:rsidR="007544CA" w:rsidRPr="00EB5BB7" w:rsidRDefault="007544CA" w:rsidP="00133508">
                  <w:pPr>
                    <w:rPr>
                      <w:rFonts w:ascii="Arial" w:hAnsi="Arial" w:cs="Arial"/>
                      <w:sz w:val="18"/>
                      <w:szCs w:val="18"/>
                    </w:rPr>
                  </w:pPr>
                  <w:r w:rsidRPr="00EB5BB7">
                    <w:rPr>
                      <w:rFonts w:ascii="Arial" w:hAnsi="Arial" w:cs="Arial"/>
                      <w:sz w:val="18"/>
                      <w:szCs w:val="18"/>
                    </w:rPr>
                    <w:t>Unallocated primary production</w:t>
                  </w:r>
                  <w:r w:rsidRPr="008405D4">
                    <w:rPr>
                      <w:rStyle w:val="NoteLabel"/>
                    </w:rPr>
                    <w:t>b</w:t>
                  </w:r>
                </w:p>
              </w:tc>
              <w:tc>
                <w:tcPr>
                  <w:tcW w:w="502"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6"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r>
            <w:tr w:rsidR="007544CA" w:rsidRPr="00D156AF" w:rsidTr="00133508">
              <w:tc>
                <w:tcPr>
                  <w:tcW w:w="2002" w:type="pct"/>
                  <w:shd w:val="clear" w:color="auto" w:fill="auto"/>
                  <w:vAlign w:val="bottom"/>
                </w:tcPr>
                <w:p w:rsidR="007544CA" w:rsidRPr="00D156AF" w:rsidRDefault="007544CA" w:rsidP="00133508">
                  <w:pPr>
                    <w:rPr>
                      <w:rFonts w:ascii="Arial" w:hAnsi="Arial" w:cs="Arial"/>
                      <w:b/>
                      <w:bCs/>
                      <w:sz w:val="18"/>
                      <w:szCs w:val="18"/>
                    </w:rPr>
                  </w:pPr>
                  <w:r w:rsidRPr="00D156AF">
                    <w:rPr>
                      <w:rFonts w:ascii="Arial" w:hAnsi="Arial" w:cs="Arial"/>
                      <w:b/>
                      <w:bCs/>
                      <w:sz w:val="18"/>
                      <w:szCs w:val="18"/>
                    </w:rPr>
                    <w:t>Mining</w:t>
                  </w:r>
                </w:p>
              </w:tc>
              <w:tc>
                <w:tcPr>
                  <w:tcW w:w="502" w:type="pct"/>
                  <w:vAlign w:val="bottom"/>
                </w:tcPr>
                <w:p w:rsidR="007544CA" w:rsidRPr="00E16C0F" w:rsidRDefault="007544CA" w:rsidP="00133508">
                  <w:pPr>
                    <w:pStyle w:val="TableBodyText"/>
                    <w:spacing w:after="0"/>
                    <w:ind w:left="0" w:right="57"/>
                    <w:rPr>
                      <w:b/>
                    </w:rPr>
                  </w:pPr>
                  <w:r w:rsidRPr="00E16C0F">
                    <w:rPr>
                      <w:b/>
                    </w:rPr>
                    <w:t>0.8</w:t>
                  </w:r>
                </w:p>
              </w:tc>
              <w:tc>
                <w:tcPr>
                  <w:tcW w:w="501" w:type="pct"/>
                  <w:vAlign w:val="bottom"/>
                </w:tcPr>
                <w:p w:rsidR="007544CA" w:rsidRPr="00E16C0F" w:rsidRDefault="007544CA" w:rsidP="00133508">
                  <w:pPr>
                    <w:pStyle w:val="TableBodyText"/>
                    <w:spacing w:after="0"/>
                    <w:ind w:left="0" w:right="57"/>
                    <w:rPr>
                      <w:b/>
                    </w:rPr>
                  </w:pPr>
                  <w:r w:rsidRPr="00E16C0F">
                    <w:rPr>
                      <w:b/>
                    </w:rPr>
                    <w:t>0.9</w:t>
                  </w:r>
                </w:p>
              </w:tc>
              <w:tc>
                <w:tcPr>
                  <w:tcW w:w="501" w:type="pct"/>
                  <w:vAlign w:val="bottom"/>
                </w:tcPr>
                <w:p w:rsidR="007544CA" w:rsidRPr="00E16C0F" w:rsidRDefault="007544CA" w:rsidP="00133508">
                  <w:pPr>
                    <w:pStyle w:val="TableBodyText"/>
                    <w:spacing w:after="0"/>
                    <w:ind w:left="0" w:right="57"/>
                    <w:rPr>
                      <w:b/>
                    </w:rPr>
                  </w:pPr>
                  <w:r w:rsidRPr="00E16C0F">
                    <w:rPr>
                      <w:b/>
                    </w:rPr>
                    <w:t>0.9</w:t>
                  </w:r>
                </w:p>
              </w:tc>
              <w:tc>
                <w:tcPr>
                  <w:tcW w:w="499" w:type="pct"/>
                  <w:vAlign w:val="bottom"/>
                </w:tcPr>
                <w:p w:rsidR="007544CA" w:rsidRPr="00E16C0F" w:rsidRDefault="007544CA" w:rsidP="00133508">
                  <w:pPr>
                    <w:pStyle w:val="TableBodyText"/>
                    <w:spacing w:after="0"/>
                    <w:ind w:left="0" w:right="57"/>
                    <w:rPr>
                      <w:b/>
                    </w:rPr>
                  </w:pPr>
                  <w:r w:rsidRPr="00E16C0F">
                    <w:rPr>
                      <w:b/>
                    </w:rPr>
                    <w:t>1.0</w:t>
                  </w:r>
                </w:p>
              </w:tc>
              <w:tc>
                <w:tcPr>
                  <w:tcW w:w="499" w:type="pct"/>
                  <w:shd w:val="clear" w:color="auto" w:fill="auto"/>
                  <w:vAlign w:val="bottom"/>
                </w:tcPr>
                <w:p w:rsidR="007544CA" w:rsidRPr="00E16C0F" w:rsidRDefault="007544CA" w:rsidP="00133508">
                  <w:pPr>
                    <w:pStyle w:val="TableBodyText"/>
                    <w:spacing w:after="0"/>
                    <w:ind w:left="0" w:right="57"/>
                    <w:rPr>
                      <w:b/>
                    </w:rPr>
                  </w:pPr>
                  <w:r w:rsidRPr="00E16C0F">
                    <w:rPr>
                      <w:b/>
                    </w:rPr>
                    <w:t>1.1</w:t>
                  </w:r>
                </w:p>
              </w:tc>
              <w:tc>
                <w:tcPr>
                  <w:tcW w:w="496" w:type="pct"/>
                  <w:shd w:val="clear" w:color="auto" w:fill="auto"/>
                  <w:vAlign w:val="bottom"/>
                </w:tcPr>
                <w:p w:rsidR="007544CA" w:rsidRPr="00E16C0F" w:rsidRDefault="007544CA" w:rsidP="00133508">
                  <w:pPr>
                    <w:pStyle w:val="TableBodyText"/>
                    <w:spacing w:after="0"/>
                    <w:ind w:left="0" w:right="57"/>
                    <w:rPr>
                      <w:b/>
                    </w:rPr>
                  </w:pPr>
                  <w:r w:rsidRPr="00E16C0F">
                    <w:rPr>
                      <w:b/>
                    </w:rPr>
                    <w:t>1.2</w:t>
                  </w:r>
                </w:p>
              </w:tc>
            </w:tr>
            <w:tr w:rsidR="007544CA" w:rsidRPr="00D156AF" w:rsidTr="00133508">
              <w:tc>
                <w:tcPr>
                  <w:tcW w:w="2002" w:type="pct"/>
                  <w:shd w:val="clear" w:color="auto" w:fill="auto"/>
                  <w:vAlign w:val="bottom"/>
                </w:tcPr>
                <w:p w:rsidR="007544CA" w:rsidRPr="00D156AF" w:rsidRDefault="007544CA" w:rsidP="00133508">
                  <w:pPr>
                    <w:rPr>
                      <w:rFonts w:ascii="Arial" w:hAnsi="Arial" w:cs="Arial"/>
                      <w:b/>
                      <w:bCs/>
                      <w:sz w:val="18"/>
                      <w:szCs w:val="18"/>
                    </w:rPr>
                  </w:pPr>
                  <w:r w:rsidRPr="00D156AF">
                    <w:rPr>
                      <w:rFonts w:ascii="Arial" w:hAnsi="Arial" w:cs="Arial"/>
                      <w:b/>
                      <w:bCs/>
                      <w:sz w:val="18"/>
                      <w:szCs w:val="18"/>
                    </w:rPr>
                    <w:t>Manufacturing</w:t>
                  </w:r>
                </w:p>
              </w:tc>
              <w:tc>
                <w:tcPr>
                  <w:tcW w:w="502" w:type="pct"/>
                  <w:vAlign w:val="bottom"/>
                </w:tcPr>
                <w:p w:rsidR="007544CA" w:rsidRPr="00E16C0F" w:rsidRDefault="007544CA" w:rsidP="00133508">
                  <w:pPr>
                    <w:pStyle w:val="TableBodyText"/>
                    <w:spacing w:after="0"/>
                    <w:ind w:left="0" w:right="57"/>
                    <w:rPr>
                      <w:b/>
                    </w:rPr>
                  </w:pPr>
                  <w:r w:rsidRPr="00E16C0F">
                    <w:rPr>
                      <w:b/>
                    </w:rPr>
                    <w:t>8166.2</w:t>
                  </w:r>
                </w:p>
              </w:tc>
              <w:tc>
                <w:tcPr>
                  <w:tcW w:w="501" w:type="pct"/>
                  <w:vAlign w:val="bottom"/>
                </w:tcPr>
                <w:p w:rsidR="007544CA" w:rsidRPr="00E16C0F" w:rsidRDefault="007544CA" w:rsidP="00133508">
                  <w:pPr>
                    <w:pStyle w:val="TableBodyText"/>
                    <w:spacing w:after="0"/>
                    <w:ind w:left="0" w:right="57"/>
                    <w:rPr>
                      <w:b/>
                    </w:rPr>
                  </w:pPr>
                  <w:r w:rsidRPr="00E16C0F">
                    <w:rPr>
                      <w:b/>
                    </w:rPr>
                    <w:t>7835.2</w:t>
                  </w:r>
                </w:p>
              </w:tc>
              <w:tc>
                <w:tcPr>
                  <w:tcW w:w="501" w:type="pct"/>
                  <w:vAlign w:val="bottom"/>
                </w:tcPr>
                <w:p w:rsidR="007544CA" w:rsidRPr="00E16C0F" w:rsidRDefault="007544CA" w:rsidP="00133508">
                  <w:pPr>
                    <w:pStyle w:val="TableBodyText"/>
                    <w:spacing w:after="0"/>
                    <w:ind w:left="0" w:right="57"/>
                    <w:rPr>
                      <w:b/>
                    </w:rPr>
                  </w:pPr>
                  <w:r w:rsidRPr="00E16C0F">
                    <w:rPr>
                      <w:b/>
                    </w:rPr>
                    <w:t>7933.7</w:t>
                  </w:r>
                </w:p>
              </w:tc>
              <w:tc>
                <w:tcPr>
                  <w:tcW w:w="499" w:type="pct"/>
                  <w:vAlign w:val="bottom"/>
                </w:tcPr>
                <w:p w:rsidR="007544CA" w:rsidRPr="00E16C0F" w:rsidRDefault="007544CA" w:rsidP="00133508">
                  <w:pPr>
                    <w:pStyle w:val="TableBodyText"/>
                    <w:spacing w:after="0"/>
                    <w:ind w:left="0" w:right="57"/>
                    <w:rPr>
                      <w:b/>
                    </w:rPr>
                  </w:pPr>
                  <w:r w:rsidRPr="00E16C0F">
                    <w:rPr>
                      <w:b/>
                    </w:rPr>
                    <w:t>7590.2</w:t>
                  </w:r>
                </w:p>
              </w:tc>
              <w:tc>
                <w:tcPr>
                  <w:tcW w:w="499" w:type="pct"/>
                  <w:shd w:val="clear" w:color="auto" w:fill="auto"/>
                  <w:vAlign w:val="bottom"/>
                </w:tcPr>
                <w:p w:rsidR="007544CA" w:rsidRPr="00E16C0F" w:rsidRDefault="007544CA" w:rsidP="00133508">
                  <w:pPr>
                    <w:pStyle w:val="TableBodyText"/>
                    <w:spacing w:after="0"/>
                    <w:ind w:left="0" w:right="57"/>
                    <w:rPr>
                      <w:b/>
                    </w:rPr>
                  </w:pPr>
                  <w:r w:rsidRPr="00E16C0F">
                    <w:rPr>
                      <w:b/>
                    </w:rPr>
                    <w:t>7625.6</w:t>
                  </w:r>
                </w:p>
              </w:tc>
              <w:tc>
                <w:tcPr>
                  <w:tcW w:w="496" w:type="pct"/>
                  <w:shd w:val="clear" w:color="auto" w:fill="auto"/>
                  <w:vAlign w:val="bottom"/>
                </w:tcPr>
                <w:p w:rsidR="007544CA" w:rsidRPr="00E16C0F" w:rsidRDefault="007544CA" w:rsidP="00133508">
                  <w:pPr>
                    <w:pStyle w:val="TableBodyText"/>
                    <w:spacing w:after="0"/>
                    <w:ind w:left="0" w:right="57"/>
                    <w:rPr>
                      <w:b/>
                    </w:rPr>
                  </w:pPr>
                  <w:r w:rsidRPr="00E16C0F">
                    <w:rPr>
                      <w:b/>
                    </w:rPr>
                    <w:t>7617.3</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Food, beverages and tobacco</w:t>
                  </w:r>
                </w:p>
              </w:tc>
              <w:tc>
                <w:tcPr>
                  <w:tcW w:w="502" w:type="pct"/>
                  <w:vAlign w:val="bottom"/>
                </w:tcPr>
                <w:p w:rsidR="007544CA" w:rsidRPr="00E16C0F" w:rsidRDefault="007544CA" w:rsidP="00133508">
                  <w:pPr>
                    <w:pStyle w:val="TableBodyText"/>
                    <w:spacing w:after="0"/>
                    <w:ind w:left="0" w:right="57"/>
                  </w:pPr>
                  <w:r w:rsidRPr="00E16C0F">
                    <w:t>1738.9</w:t>
                  </w:r>
                </w:p>
              </w:tc>
              <w:tc>
                <w:tcPr>
                  <w:tcW w:w="501" w:type="pct"/>
                  <w:vAlign w:val="bottom"/>
                </w:tcPr>
                <w:p w:rsidR="007544CA" w:rsidRPr="00E16C0F" w:rsidRDefault="007544CA" w:rsidP="00133508">
                  <w:pPr>
                    <w:pStyle w:val="TableBodyText"/>
                    <w:spacing w:after="0"/>
                    <w:ind w:left="0" w:right="57"/>
                  </w:pPr>
                  <w:r w:rsidRPr="00E16C0F">
                    <w:t>1753.4</w:t>
                  </w:r>
                </w:p>
              </w:tc>
              <w:tc>
                <w:tcPr>
                  <w:tcW w:w="501" w:type="pct"/>
                  <w:vAlign w:val="bottom"/>
                </w:tcPr>
                <w:p w:rsidR="007544CA" w:rsidRPr="00E16C0F" w:rsidRDefault="007544CA" w:rsidP="00133508">
                  <w:pPr>
                    <w:pStyle w:val="TableBodyText"/>
                    <w:spacing w:after="0"/>
                    <w:ind w:left="0" w:right="57"/>
                  </w:pPr>
                  <w:r w:rsidRPr="00E16C0F">
                    <w:t>1802.7</w:t>
                  </w:r>
                </w:p>
              </w:tc>
              <w:tc>
                <w:tcPr>
                  <w:tcW w:w="499" w:type="pct"/>
                  <w:vAlign w:val="bottom"/>
                </w:tcPr>
                <w:p w:rsidR="007544CA" w:rsidRPr="00E16C0F" w:rsidRDefault="007544CA" w:rsidP="00133508">
                  <w:pPr>
                    <w:pStyle w:val="TableBodyText"/>
                    <w:spacing w:after="0"/>
                    <w:ind w:left="0" w:right="57"/>
                  </w:pPr>
                  <w:r w:rsidRPr="00E16C0F">
                    <w:t>1820.1</w:t>
                  </w:r>
                </w:p>
              </w:tc>
              <w:tc>
                <w:tcPr>
                  <w:tcW w:w="499" w:type="pct"/>
                  <w:shd w:val="clear" w:color="auto" w:fill="auto"/>
                  <w:vAlign w:val="bottom"/>
                </w:tcPr>
                <w:p w:rsidR="007544CA" w:rsidRPr="00E16C0F" w:rsidRDefault="007544CA" w:rsidP="00133508">
                  <w:pPr>
                    <w:pStyle w:val="TableBodyText"/>
                    <w:spacing w:after="0"/>
                    <w:ind w:left="0" w:right="57"/>
                  </w:pPr>
                  <w:r w:rsidRPr="00E16C0F">
                    <w:t>1847.7</w:t>
                  </w:r>
                </w:p>
              </w:tc>
              <w:tc>
                <w:tcPr>
                  <w:tcW w:w="496" w:type="pct"/>
                  <w:shd w:val="clear" w:color="auto" w:fill="auto"/>
                  <w:vAlign w:val="bottom"/>
                </w:tcPr>
                <w:p w:rsidR="007544CA" w:rsidRPr="00E16C0F" w:rsidRDefault="007544CA" w:rsidP="00133508">
                  <w:pPr>
                    <w:pStyle w:val="TableBodyText"/>
                    <w:spacing w:after="0"/>
                    <w:ind w:left="0" w:right="57"/>
                  </w:pPr>
                  <w:r w:rsidRPr="00E16C0F">
                    <w:t>1871.7</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Textile</w:t>
                  </w:r>
                  <w:r>
                    <w:rPr>
                      <w:rFonts w:ascii="Arial" w:hAnsi="Arial" w:cs="Arial"/>
                      <w:sz w:val="18"/>
                      <w:szCs w:val="18"/>
                    </w:rPr>
                    <w:t>s</w:t>
                  </w:r>
                  <w:r w:rsidRPr="00E02BF0">
                    <w:rPr>
                      <w:rFonts w:ascii="Arial" w:hAnsi="Arial" w:cs="Arial"/>
                      <w:sz w:val="18"/>
                      <w:szCs w:val="18"/>
                    </w:rPr>
                    <w:t>, leather, clothing and footwear</w:t>
                  </w:r>
                </w:p>
              </w:tc>
              <w:tc>
                <w:tcPr>
                  <w:tcW w:w="502" w:type="pct"/>
                  <w:vAlign w:val="bottom"/>
                </w:tcPr>
                <w:p w:rsidR="007544CA" w:rsidRPr="00E16C0F" w:rsidRDefault="007544CA" w:rsidP="00133508">
                  <w:pPr>
                    <w:pStyle w:val="TableBodyText"/>
                    <w:spacing w:after="0"/>
                    <w:ind w:left="0" w:right="57"/>
                  </w:pPr>
                  <w:r w:rsidRPr="00E16C0F">
                    <w:t>457.6</w:t>
                  </w:r>
                </w:p>
              </w:tc>
              <w:tc>
                <w:tcPr>
                  <w:tcW w:w="501" w:type="pct"/>
                  <w:vAlign w:val="bottom"/>
                </w:tcPr>
                <w:p w:rsidR="007544CA" w:rsidRPr="00E16C0F" w:rsidRDefault="007544CA" w:rsidP="00133508">
                  <w:pPr>
                    <w:pStyle w:val="TableBodyText"/>
                    <w:spacing w:after="0"/>
                    <w:ind w:left="0" w:right="57"/>
                  </w:pPr>
                  <w:r w:rsidRPr="00E16C0F">
                    <w:t>326.8</w:t>
                  </w:r>
                </w:p>
              </w:tc>
              <w:tc>
                <w:tcPr>
                  <w:tcW w:w="501" w:type="pct"/>
                  <w:vAlign w:val="bottom"/>
                </w:tcPr>
                <w:p w:rsidR="007544CA" w:rsidRPr="00E16C0F" w:rsidRDefault="007544CA" w:rsidP="00133508">
                  <w:pPr>
                    <w:pStyle w:val="TableBodyText"/>
                    <w:spacing w:after="0"/>
                    <w:ind w:left="0" w:right="57"/>
                  </w:pPr>
                  <w:r w:rsidRPr="00E16C0F">
                    <w:t>315.0</w:t>
                  </w:r>
                </w:p>
              </w:tc>
              <w:tc>
                <w:tcPr>
                  <w:tcW w:w="499" w:type="pct"/>
                  <w:vAlign w:val="bottom"/>
                </w:tcPr>
                <w:p w:rsidR="007544CA" w:rsidRPr="00E16C0F" w:rsidRDefault="007544CA" w:rsidP="00133508">
                  <w:pPr>
                    <w:pStyle w:val="TableBodyText"/>
                    <w:spacing w:after="0"/>
                    <w:ind w:left="0" w:right="57"/>
                  </w:pPr>
                  <w:r w:rsidRPr="00E16C0F">
                    <w:t>308.8</w:t>
                  </w:r>
                </w:p>
              </w:tc>
              <w:tc>
                <w:tcPr>
                  <w:tcW w:w="499" w:type="pct"/>
                  <w:shd w:val="clear" w:color="auto" w:fill="auto"/>
                  <w:vAlign w:val="bottom"/>
                </w:tcPr>
                <w:p w:rsidR="007544CA" w:rsidRPr="00E16C0F" w:rsidRDefault="007544CA" w:rsidP="00133508">
                  <w:pPr>
                    <w:pStyle w:val="TableBodyText"/>
                    <w:spacing w:after="0"/>
                    <w:ind w:left="0" w:right="57"/>
                  </w:pPr>
                  <w:r w:rsidRPr="00E16C0F">
                    <w:t>323.3</w:t>
                  </w:r>
                </w:p>
              </w:tc>
              <w:tc>
                <w:tcPr>
                  <w:tcW w:w="496" w:type="pct"/>
                  <w:shd w:val="clear" w:color="auto" w:fill="auto"/>
                  <w:vAlign w:val="bottom"/>
                </w:tcPr>
                <w:p w:rsidR="007544CA" w:rsidRPr="00E16C0F" w:rsidRDefault="007544CA" w:rsidP="00133508">
                  <w:pPr>
                    <w:pStyle w:val="TableBodyText"/>
                    <w:spacing w:after="0"/>
                    <w:ind w:left="0" w:right="57"/>
                  </w:pPr>
                  <w:r w:rsidRPr="00E16C0F">
                    <w:t>277.8</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Wood and paper products</w:t>
                  </w:r>
                </w:p>
              </w:tc>
              <w:tc>
                <w:tcPr>
                  <w:tcW w:w="502" w:type="pct"/>
                  <w:vAlign w:val="bottom"/>
                </w:tcPr>
                <w:p w:rsidR="007544CA" w:rsidRPr="00E16C0F" w:rsidRDefault="007544CA" w:rsidP="00133508">
                  <w:pPr>
                    <w:pStyle w:val="TableBodyText"/>
                    <w:spacing w:after="0"/>
                    <w:ind w:left="0" w:right="57"/>
                  </w:pPr>
                  <w:r w:rsidRPr="00E16C0F">
                    <w:t>735.6</w:t>
                  </w:r>
                </w:p>
              </w:tc>
              <w:tc>
                <w:tcPr>
                  <w:tcW w:w="501" w:type="pct"/>
                  <w:vAlign w:val="bottom"/>
                </w:tcPr>
                <w:p w:rsidR="007544CA" w:rsidRPr="00E16C0F" w:rsidRDefault="007544CA" w:rsidP="00133508">
                  <w:pPr>
                    <w:pStyle w:val="TableBodyText"/>
                    <w:spacing w:after="0"/>
                    <w:ind w:left="0" w:right="57"/>
                  </w:pPr>
                  <w:r w:rsidRPr="00E16C0F">
                    <w:t>697.0</w:t>
                  </w:r>
                </w:p>
              </w:tc>
              <w:tc>
                <w:tcPr>
                  <w:tcW w:w="501" w:type="pct"/>
                  <w:vAlign w:val="bottom"/>
                </w:tcPr>
                <w:p w:rsidR="007544CA" w:rsidRPr="00E16C0F" w:rsidRDefault="007544CA" w:rsidP="00133508">
                  <w:pPr>
                    <w:pStyle w:val="TableBodyText"/>
                    <w:spacing w:after="0"/>
                    <w:ind w:left="0" w:right="57"/>
                  </w:pPr>
                  <w:r w:rsidRPr="00E16C0F">
                    <w:t>641.7</w:t>
                  </w:r>
                </w:p>
              </w:tc>
              <w:tc>
                <w:tcPr>
                  <w:tcW w:w="499" w:type="pct"/>
                  <w:vAlign w:val="bottom"/>
                </w:tcPr>
                <w:p w:rsidR="007544CA" w:rsidRPr="00E16C0F" w:rsidRDefault="007544CA" w:rsidP="00133508">
                  <w:pPr>
                    <w:pStyle w:val="TableBodyText"/>
                    <w:spacing w:after="0"/>
                    <w:ind w:left="0" w:right="57"/>
                  </w:pPr>
                  <w:r w:rsidRPr="00E16C0F">
                    <w:t>636.4</w:t>
                  </w:r>
                </w:p>
              </w:tc>
              <w:tc>
                <w:tcPr>
                  <w:tcW w:w="499" w:type="pct"/>
                  <w:shd w:val="clear" w:color="auto" w:fill="auto"/>
                  <w:vAlign w:val="bottom"/>
                </w:tcPr>
                <w:p w:rsidR="007544CA" w:rsidRPr="00E16C0F" w:rsidRDefault="007544CA" w:rsidP="00133508">
                  <w:pPr>
                    <w:pStyle w:val="TableBodyText"/>
                    <w:spacing w:after="0"/>
                    <w:ind w:left="0" w:right="57"/>
                  </w:pPr>
                  <w:r w:rsidRPr="00E16C0F">
                    <w:t>656.9</w:t>
                  </w:r>
                </w:p>
              </w:tc>
              <w:tc>
                <w:tcPr>
                  <w:tcW w:w="496" w:type="pct"/>
                  <w:shd w:val="clear" w:color="auto" w:fill="auto"/>
                  <w:vAlign w:val="bottom"/>
                </w:tcPr>
                <w:p w:rsidR="007544CA" w:rsidRPr="00E16C0F" w:rsidRDefault="007544CA" w:rsidP="00133508">
                  <w:pPr>
                    <w:pStyle w:val="TableBodyText"/>
                    <w:spacing w:after="0"/>
                    <w:ind w:left="0" w:right="57"/>
                  </w:pPr>
                  <w:r w:rsidRPr="00E16C0F">
                    <w:t>703.0</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Printing and recorded media</w:t>
                  </w:r>
                </w:p>
              </w:tc>
              <w:tc>
                <w:tcPr>
                  <w:tcW w:w="502" w:type="pct"/>
                  <w:vAlign w:val="bottom"/>
                </w:tcPr>
                <w:p w:rsidR="007544CA" w:rsidRPr="00E16C0F" w:rsidRDefault="007544CA" w:rsidP="00133508">
                  <w:pPr>
                    <w:pStyle w:val="TableBodyText"/>
                    <w:spacing w:after="0"/>
                    <w:ind w:left="0" w:right="57"/>
                  </w:pPr>
                  <w:r w:rsidRPr="00E16C0F">
                    <w:t>228.7</w:t>
                  </w:r>
                </w:p>
              </w:tc>
              <w:tc>
                <w:tcPr>
                  <w:tcW w:w="501" w:type="pct"/>
                  <w:vAlign w:val="bottom"/>
                </w:tcPr>
                <w:p w:rsidR="007544CA" w:rsidRPr="00E16C0F" w:rsidRDefault="007544CA" w:rsidP="00133508">
                  <w:pPr>
                    <w:pStyle w:val="TableBodyText"/>
                    <w:spacing w:after="0"/>
                    <w:ind w:left="0" w:right="57"/>
                  </w:pPr>
                  <w:r w:rsidRPr="00E16C0F">
                    <w:t>230.1</w:t>
                  </w:r>
                </w:p>
              </w:tc>
              <w:tc>
                <w:tcPr>
                  <w:tcW w:w="501" w:type="pct"/>
                  <w:vAlign w:val="bottom"/>
                </w:tcPr>
                <w:p w:rsidR="007544CA" w:rsidRPr="00E16C0F" w:rsidRDefault="007544CA" w:rsidP="00133508">
                  <w:pPr>
                    <w:pStyle w:val="TableBodyText"/>
                    <w:spacing w:after="0"/>
                    <w:ind w:left="0" w:right="57"/>
                  </w:pPr>
                  <w:r w:rsidRPr="00E16C0F">
                    <w:t>207.4</w:t>
                  </w:r>
                </w:p>
              </w:tc>
              <w:tc>
                <w:tcPr>
                  <w:tcW w:w="499" w:type="pct"/>
                  <w:vAlign w:val="bottom"/>
                </w:tcPr>
                <w:p w:rsidR="007544CA" w:rsidRPr="00E16C0F" w:rsidRDefault="007544CA" w:rsidP="00133508">
                  <w:pPr>
                    <w:pStyle w:val="TableBodyText"/>
                    <w:spacing w:after="0"/>
                    <w:ind w:left="0" w:right="57"/>
                  </w:pPr>
                  <w:r w:rsidRPr="00E16C0F">
                    <w:t>203.7</w:t>
                  </w:r>
                </w:p>
              </w:tc>
              <w:tc>
                <w:tcPr>
                  <w:tcW w:w="499" w:type="pct"/>
                  <w:shd w:val="clear" w:color="auto" w:fill="auto"/>
                  <w:vAlign w:val="bottom"/>
                </w:tcPr>
                <w:p w:rsidR="007544CA" w:rsidRPr="00E16C0F" w:rsidRDefault="007544CA" w:rsidP="00133508">
                  <w:pPr>
                    <w:pStyle w:val="TableBodyText"/>
                    <w:spacing w:after="0"/>
                    <w:ind w:left="0" w:right="57"/>
                  </w:pPr>
                  <w:r w:rsidRPr="00E16C0F">
                    <w:t>194.9</w:t>
                  </w:r>
                </w:p>
              </w:tc>
              <w:tc>
                <w:tcPr>
                  <w:tcW w:w="496" w:type="pct"/>
                  <w:shd w:val="clear" w:color="auto" w:fill="auto"/>
                  <w:vAlign w:val="bottom"/>
                </w:tcPr>
                <w:p w:rsidR="007544CA" w:rsidRPr="00E16C0F" w:rsidRDefault="007544CA" w:rsidP="00133508">
                  <w:pPr>
                    <w:pStyle w:val="TableBodyText"/>
                    <w:spacing w:after="0"/>
                    <w:ind w:left="0" w:right="57"/>
                  </w:pPr>
                  <w:r w:rsidRPr="00E16C0F">
                    <w:t>187.5</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Petroleum, coal, chemical and rubber</w:t>
                  </w:r>
                </w:p>
              </w:tc>
              <w:tc>
                <w:tcPr>
                  <w:tcW w:w="502" w:type="pct"/>
                  <w:vAlign w:val="bottom"/>
                </w:tcPr>
                <w:p w:rsidR="007544CA" w:rsidRPr="00E16C0F" w:rsidRDefault="007544CA" w:rsidP="00133508">
                  <w:pPr>
                    <w:pStyle w:val="TableBodyText"/>
                    <w:spacing w:after="0"/>
                    <w:ind w:left="0" w:right="57"/>
                  </w:pPr>
                  <w:r w:rsidRPr="00E16C0F">
                    <w:t>1034.5</w:t>
                  </w:r>
                </w:p>
              </w:tc>
              <w:tc>
                <w:tcPr>
                  <w:tcW w:w="501" w:type="pct"/>
                  <w:vAlign w:val="bottom"/>
                </w:tcPr>
                <w:p w:rsidR="007544CA" w:rsidRPr="00E16C0F" w:rsidRDefault="007544CA" w:rsidP="00133508">
                  <w:pPr>
                    <w:pStyle w:val="TableBodyText"/>
                    <w:spacing w:after="0"/>
                    <w:ind w:left="0" w:right="57"/>
                  </w:pPr>
                  <w:r w:rsidRPr="00E16C0F">
                    <w:t>1027.5</w:t>
                  </w:r>
                </w:p>
              </w:tc>
              <w:tc>
                <w:tcPr>
                  <w:tcW w:w="501" w:type="pct"/>
                  <w:vAlign w:val="bottom"/>
                </w:tcPr>
                <w:p w:rsidR="007544CA" w:rsidRPr="00E16C0F" w:rsidRDefault="007544CA" w:rsidP="00133508">
                  <w:pPr>
                    <w:pStyle w:val="TableBodyText"/>
                    <w:spacing w:after="0"/>
                    <w:ind w:left="0" w:right="57"/>
                  </w:pPr>
                  <w:r w:rsidRPr="00E16C0F">
                    <w:t>1050.7</w:t>
                  </w:r>
                </w:p>
              </w:tc>
              <w:tc>
                <w:tcPr>
                  <w:tcW w:w="499" w:type="pct"/>
                  <w:vAlign w:val="bottom"/>
                </w:tcPr>
                <w:p w:rsidR="007544CA" w:rsidRPr="00E16C0F" w:rsidRDefault="007544CA" w:rsidP="00133508">
                  <w:pPr>
                    <w:pStyle w:val="TableBodyText"/>
                    <w:spacing w:after="0"/>
                    <w:ind w:left="0" w:right="57"/>
                  </w:pPr>
                  <w:r w:rsidRPr="00E16C0F">
                    <w:t>984.9</w:t>
                  </w:r>
                </w:p>
              </w:tc>
              <w:tc>
                <w:tcPr>
                  <w:tcW w:w="499" w:type="pct"/>
                  <w:shd w:val="clear" w:color="auto" w:fill="auto"/>
                  <w:vAlign w:val="bottom"/>
                </w:tcPr>
                <w:p w:rsidR="007544CA" w:rsidRPr="00E16C0F" w:rsidRDefault="007544CA" w:rsidP="00133508">
                  <w:pPr>
                    <w:pStyle w:val="TableBodyText"/>
                    <w:spacing w:after="0"/>
                    <w:ind w:left="0" w:right="57"/>
                  </w:pPr>
                  <w:r w:rsidRPr="00E16C0F">
                    <w:t>987.0</w:t>
                  </w:r>
                </w:p>
              </w:tc>
              <w:tc>
                <w:tcPr>
                  <w:tcW w:w="496" w:type="pct"/>
                  <w:shd w:val="clear" w:color="auto" w:fill="auto"/>
                  <w:vAlign w:val="bottom"/>
                </w:tcPr>
                <w:p w:rsidR="007544CA" w:rsidRPr="00E16C0F" w:rsidRDefault="007544CA" w:rsidP="00133508">
                  <w:pPr>
                    <w:pStyle w:val="TableBodyText"/>
                    <w:spacing w:after="0"/>
                    <w:ind w:left="0" w:right="57"/>
                  </w:pPr>
                  <w:r w:rsidRPr="00E16C0F">
                    <w:t>984.0</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Non</w:t>
                  </w:r>
                  <w:r>
                    <w:rPr>
                      <w:rFonts w:ascii="Arial" w:hAnsi="Arial" w:cs="Arial"/>
                      <w:sz w:val="18"/>
                      <w:szCs w:val="18"/>
                    </w:rPr>
                    <w:noBreakHyphen/>
                  </w:r>
                  <w:r w:rsidRPr="00E02BF0">
                    <w:rPr>
                      <w:rFonts w:ascii="Arial" w:hAnsi="Arial" w:cs="Arial"/>
                      <w:sz w:val="18"/>
                      <w:szCs w:val="18"/>
                    </w:rPr>
                    <w:t>metallic mineral products</w:t>
                  </w:r>
                </w:p>
              </w:tc>
              <w:tc>
                <w:tcPr>
                  <w:tcW w:w="502" w:type="pct"/>
                  <w:vAlign w:val="bottom"/>
                </w:tcPr>
                <w:p w:rsidR="007544CA" w:rsidRPr="00E16C0F" w:rsidRDefault="007544CA" w:rsidP="00133508">
                  <w:pPr>
                    <w:pStyle w:val="TableBodyText"/>
                    <w:spacing w:after="0"/>
                    <w:ind w:left="0" w:right="57"/>
                  </w:pPr>
                  <w:r w:rsidRPr="00E16C0F">
                    <w:t>279.0</w:t>
                  </w:r>
                </w:p>
              </w:tc>
              <w:tc>
                <w:tcPr>
                  <w:tcW w:w="501" w:type="pct"/>
                  <w:vAlign w:val="bottom"/>
                </w:tcPr>
                <w:p w:rsidR="007544CA" w:rsidRPr="00E16C0F" w:rsidRDefault="007544CA" w:rsidP="00133508">
                  <w:pPr>
                    <w:pStyle w:val="TableBodyText"/>
                    <w:spacing w:after="0"/>
                    <w:ind w:left="0" w:right="57"/>
                  </w:pPr>
                  <w:r w:rsidRPr="00E16C0F">
                    <w:t>271.9</w:t>
                  </w:r>
                </w:p>
              </w:tc>
              <w:tc>
                <w:tcPr>
                  <w:tcW w:w="501" w:type="pct"/>
                  <w:vAlign w:val="bottom"/>
                </w:tcPr>
                <w:p w:rsidR="007544CA" w:rsidRPr="00E16C0F" w:rsidRDefault="007544CA" w:rsidP="00133508">
                  <w:pPr>
                    <w:pStyle w:val="TableBodyText"/>
                    <w:spacing w:after="0"/>
                    <w:ind w:left="0" w:right="57"/>
                  </w:pPr>
                  <w:r w:rsidRPr="00E16C0F">
                    <w:t>258.7</w:t>
                  </w:r>
                </w:p>
              </w:tc>
              <w:tc>
                <w:tcPr>
                  <w:tcW w:w="499" w:type="pct"/>
                  <w:vAlign w:val="bottom"/>
                </w:tcPr>
                <w:p w:rsidR="007544CA" w:rsidRPr="00E16C0F" w:rsidRDefault="007544CA" w:rsidP="00133508">
                  <w:pPr>
                    <w:pStyle w:val="TableBodyText"/>
                    <w:spacing w:after="0"/>
                    <w:ind w:left="0" w:right="57"/>
                  </w:pPr>
                  <w:r w:rsidRPr="00E16C0F">
                    <w:t>245.2</w:t>
                  </w:r>
                </w:p>
              </w:tc>
              <w:tc>
                <w:tcPr>
                  <w:tcW w:w="499" w:type="pct"/>
                  <w:shd w:val="clear" w:color="auto" w:fill="auto"/>
                  <w:vAlign w:val="bottom"/>
                </w:tcPr>
                <w:p w:rsidR="007544CA" w:rsidRPr="00E16C0F" w:rsidRDefault="007544CA" w:rsidP="00133508">
                  <w:pPr>
                    <w:pStyle w:val="TableBodyText"/>
                    <w:spacing w:after="0"/>
                    <w:ind w:left="0" w:right="57"/>
                  </w:pPr>
                  <w:r w:rsidRPr="00E16C0F">
                    <w:t>251.4</w:t>
                  </w:r>
                </w:p>
              </w:tc>
              <w:tc>
                <w:tcPr>
                  <w:tcW w:w="496" w:type="pct"/>
                  <w:shd w:val="clear" w:color="auto" w:fill="auto"/>
                  <w:vAlign w:val="bottom"/>
                </w:tcPr>
                <w:p w:rsidR="007544CA" w:rsidRPr="00E16C0F" w:rsidRDefault="007544CA" w:rsidP="00133508">
                  <w:pPr>
                    <w:pStyle w:val="TableBodyText"/>
                    <w:spacing w:after="0"/>
                    <w:ind w:left="0" w:right="57"/>
                  </w:pPr>
                  <w:r w:rsidRPr="00E16C0F">
                    <w:t>277.2</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Metal and fabricated metal products</w:t>
                  </w:r>
                </w:p>
              </w:tc>
              <w:tc>
                <w:tcPr>
                  <w:tcW w:w="502" w:type="pct"/>
                  <w:vAlign w:val="bottom"/>
                </w:tcPr>
                <w:p w:rsidR="007544CA" w:rsidRPr="00E16C0F" w:rsidRDefault="007544CA" w:rsidP="00133508">
                  <w:pPr>
                    <w:pStyle w:val="TableBodyText"/>
                    <w:spacing w:after="0"/>
                    <w:ind w:left="0" w:right="57"/>
                  </w:pPr>
                  <w:r w:rsidRPr="00E16C0F">
                    <w:t>1745.5</w:t>
                  </w:r>
                </w:p>
              </w:tc>
              <w:tc>
                <w:tcPr>
                  <w:tcW w:w="501" w:type="pct"/>
                  <w:vAlign w:val="bottom"/>
                </w:tcPr>
                <w:p w:rsidR="007544CA" w:rsidRPr="00E16C0F" w:rsidRDefault="007544CA" w:rsidP="00133508">
                  <w:pPr>
                    <w:pStyle w:val="TableBodyText"/>
                    <w:spacing w:after="0"/>
                    <w:ind w:left="0" w:right="57"/>
                  </w:pPr>
                  <w:r w:rsidRPr="00E16C0F">
                    <w:t>1829.7</w:t>
                  </w:r>
                </w:p>
              </w:tc>
              <w:tc>
                <w:tcPr>
                  <w:tcW w:w="501" w:type="pct"/>
                  <w:vAlign w:val="bottom"/>
                </w:tcPr>
                <w:p w:rsidR="007544CA" w:rsidRPr="00E16C0F" w:rsidRDefault="007544CA" w:rsidP="00133508">
                  <w:pPr>
                    <w:pStyle w:val="TableBodyText"/>
                    <w:spacing w:after="0"/>
                    <w:ind w:left="0" w:right="57"/>
                  </w:pPr>
                  <w:r w:rsidRPr="00E16C0F">
                    <w:t>1876.3</w:t>
                  </w:r>
                </w:p>
              </w:tc>
              <w:tc>
                <w:tcPr>
                  <w:tcW w:w="499" w:type="pct"/>
                  <w:vAlign w:val="bottom"/>
                </w:tcPr>
                <w:p w:rsidR="007544CA" w:rsidRPr="00E16C0F" w:rsidRDefault="007544CA" w:rsidP="00133508">
                  <w:pPr>
                    <w:pStyle w:val="TableBodyText"/>
                    <w:spacing w:after="0"/>
                    <w:ind w:left="0" w:right="57"/>
                  </w:pPr>
                  <w:r w:rsidRPr="00E16C0F">
                    <w:t>1702.0</w:t>
                  </w:r>
                </w:p>
              </w:tc>
              <w:tc>
                <w:tcPr>
                  <w:tcW w:w="499" w:type="pct"/>
                  <w:shd w:val="clear" w:color="auto" w:fill="auto"/>
                  <w:vAlign w:val="bottom"/>
                </w:tcPr>
                <w:p w:rsidR="007544CA" w:rsidRPr="00E16C0F" w:rsidRDefault="007544CA" w:rsidP="00133508">
                  <w:pPr>
                    <w:pStyle w:val="TableBodyText"/>
                    <w:spacing w:after="0"/>
                    <w:ind w:left="0" w:right="57"/>
                  </w:pPr>
                  <w:r w:rsidRPr="00E16C0F">
                    <w:t>1765.4</w:t>
                  </w:r>
                </w:p>
              </w:tc>
              <w:tc>
                <w:tcPr>
                  <w:tcW w:w="496" w:type="pct"/>
                  <w:shd w:val="clear" w:color="auto" w:fill="auto"/>
                  <w:vAlign w:val="bottom"/>
                </w:tcPr>
                <w:p w:rsidR="007544CA" w:rsidRPr="00E16C0F" w:rsidRDefault="007544CA" w:rsidP="00133508">
                  <w:pPr>
                    <w:pStyle w:val="TableBodyText"/>
                    <w:spacing w:after="0"/>
                    <w:ind w:left="0" w:right="57"/>
                  </w:pPr>
                  <w:r w:rsidRPr="00E16C0F">
                    <w:t>1747.1</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Motor vehicle</w:t>
                  </w:r>
                  <w:r>
                    <w:rPr>
                      <w:rFonts w:ascii="Arial" w:hAnsi="Arial" w:cs="Arial"/>
                      <w:sz w:val="18"/>
                      <w:szCs w:val="18"/>
                    </w:rPr>
                    <w:t>s</w:t>
                  </w:r>
                  <w:r w:rsidRPr="00E02BF0">
                    <w:rPr>
                      <w:rFonts w:ascii="Arial" w:hAnsi="Arial" w:cs="Arial"/>
                      <w:sz w:val="18"/>
                      <w:szCs w:val="18"/>
                    </w:rPr>
                    <w:t xml:space="preserve"> and parts</w:t>
                  </w:r>
                </w:p>
              </w:tc>
              <w:tc>
                <w:tcPr>
                  <w:tcW w:w="502" w:type="pct"/>
                  <w:vAlign w:val="bottom"/>
                </w:tcPr>
                <w:p w:rsidR="007544CA" w:rsidRPr="00E16C0F" w:rsidRDefault="007544CA" w:rsidP="00133508">
                  <w:pPr>
                    <w:pStyle w:val="TableBodyText"/>
                    <w:spacing w:after="0"/>
                    <w:ind w:left="0" w:right="57"/>
                  </w:pPr>
                  <w:r w:rsidRPr="00E16C0F">
                    <w:t>1026.5</w:t>
                  </w:r>
                </w:p>
              </w:tc>
              <w:tc>
                <w:tcPr>
                  <w:tcW w:w="501" w:type="pct"/>
                  <w:vAlign w:val="bottom"/>
                </w:tcPr>
                <w:p w:rsidR="007544CA" w:rsidRPr="00E16C0F" w:rsidRDefault="007544CA" w:rsidP="00133508">
                  <w:pPr>
                    <w:pStyle w:val="TableBodyText"/>
                    <w:spacing w:after="0"/>
                    <w:ind w:left="0" w:right="57"/>
                  </w:pPr>
                  <w:r w:rsidRPr="00E16C0F">
                    <w:t>811.2</w:t>
                  </w:r>
                </w:p>
              </w:tc>
              <w:tc>
                <w:tcPr>
                  <w:tcW w:w="501" w:type="pct"/>
                  <w:vAlign w:val="bottom"/>
                </w:tcPr>
                <w:p w:rsidR="007544CA" w:rsidRPr="00E16C0F" w:rsidRDefault="007544CA" w:rsidP="00133508">
                  <w:pPr>
                    <w:pStyle w:val="TableBodyText"/>
                    <w:spacing w:after="0"/>
                    <w:ind w:left="0" w:right="57"/>
                  </w:pPr>
                  <w:r w:rsidRPr="00E16C0F">
                    <w:t>850.5</w:t>
                  </w:r>
                </w:p>
              </w:tc>
              <w:tc>
                <w:tcPr>
                  <w:tcW w:w="499" w:type="pct"/>
                  <w:vAlign w:val="bottom"/>
                </w:tcPr>
                <w:p w:rsidR="007544CA" w:rsidRPr="00E16C0F" w:rsidRDefault="007544CA" w:rsidP="00133508">
                  <w:pPr>
                    <w:pStyle w:val="TableBodyText"/>
                    <w:spacing w:after="0"/>
                    <w:ind w:left="0" w:right="57"/>
                  </w:pPr>
                  <w:r w:rsidRPr="00E16C0F">
                    <w:t>806.5</w:t>
                  </w:r>
                </w:p>
              </w:tc>
              <w:tc>
                <w:tcPr>
                  <w:tcW w:w="499" w:type="pct"/>
                  <w:shd w:val="clear" w:color="auto" w:fill="auto"/>
                  <w:vAlign w:val="bottom"/>
                </w:tcPr>
                <w:p w:rsidR="007544CA" w:rsidRPr="00E16C0F" w:rsidRDefault="007544CA" w:rsidP="00133508">
                  <w:pPr>
                    <w:pStyle w:val="TableBodyText"/>
                    <w:spacing w:after="0"/>
                    <w:ind w:left="0" w:right="57"/>
                  </w:pPr>
                  <w:r w:rsidRPr="00E16C0F">
                    <w:t>763.5</w:t>
                  </w:r>
                </w:p>
              </w:tc>
              <w:tc>
                <w:tcPr>
                  <w:tcW w:w="496" w:type="pct"/>
                  <w:shd w:val="clear" w:color="auto" w:fill="auto"/>
                  <w:vAlign w:val="bottom"/>
                </w:tcPr>
                <w:p w:rsidR="007544CA" w:rsidRPr="00E16C0F" w:rsidRDefault="007544CA" w:rsidP="00133508">
                  <w:pPr>
                    <w:pStyle w:val="TableBodyText"/>
                    <w:spacing w:after="0"/>
                    <w:ind w:left="0" w:right="57"/>
                  </w:pPr>
                  <w:r w:rsidRPr="00E16C0F">
                    <w:t>749.2</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Other transport equipment</w:t>
                  </w:r>
                </w:p>
              </w:tc>
              <w:tc>
                <w:tcPr>
                  <w:tcW w:w="502" w:type="pct"/>
                  <w:vAlign w:val="bottom"/>
                </w:tcPr>
                <w:p w:rsidR="007544CA" w:rsidRPr="00E16C0F" w:rsidRDefault="007544CA" w:rsidP="00133508">
                  <w:pPr>
                    <w:pStyle w:val="TableBodyText"/>
                    <w:spacing w:after="0"/>
                    <w:ind w:left="0" w:right="57"/>
                  </w:pPr>
                  <w:r w:rsidRPr="00E16C0F">
                    <w:t>76.9</w:t>
                  </w:r>
                </w:p>
              </w:tc>
              <w:tc>
                <w:tcPr>
                  <w:tcW w:w="501" w:type="pct"/>
                  <w:vAlign w:val="bottom"/>
                </w:tcPr>
                <w:p w:rsidR="007544CA" w:rsidRPr="00E16C0F" w:rsidRDefault="007544CA" w:rsidP="00133508">
                  <w:pPr>
                    <w:pStyle w:val="TableBodyText"/>
                    <w:spacing w:after="0"/>
                    <w:ind w:left="0" w:right="57"/>
                  </w:pPr>
                  <w:r w:rsidRPr="00E16C0F">
                    <w:t>75.0</w:t>
                  </w:r>
                </w:p>
              </w:tc>
              <w:tc>
                <w:tcPr>
                  <w:tcW w:w="501" w:type="pct"/>
                  <w:vAlign w:val="bottom"/>
                </w:tcPr>
                <w:p w:rsidR="007544CA" w:rsidRPr="00E16C0F" w:rsidRDefault="007544CA" w:rsidP="00133508">
                  <w:pPr>
                    <w:pStyle w:val="TableBodyText"/>
                    <w:spacing w:after="0"/>
                    <w:ind w:left="0" w:right="57"/>
                  </w:pPr>
                  <w:r w:rsidRPr="00E16C0F">
                    <w:t>78.7</w:t>
                  </w:r>
                </w:p>
              </w:tc>
              <w:tc>
                <w:tcPr>
                  <w:tcW w:w="499" w:type="pct"/>
                  <w:vAlign w:val="bottom"/>
                </w:tcPr>
                <w:p w:rsidR="007544CA" w:rsidRPr="00E16C0F" w:rsidRDefault="007544CA" w:rsidP="00133508">
                  <w:pPr>
                    <w:pStyle w:val="TableBodyText"/>
                    <w:spacing w:after="0"/>
                    <w:ind w:left="0" w:right="57"/>
                  </w:pPr>
                  <w:r w:rsidRPr="00E16C0F">
                    <w:t>74.6</w:t>
                  </w:r>
                </w:p>
              </w:tc>
              <w:tc>
                <w:tcPr>
                  <w:tcW w:w="499" w:type="pct"/>
                  <w:shd w:val="clear" w:color="auto" w:fill="auto"/>
                  <w:vAlign w:val="bottom"/>
                </w:tcPr>
                <w:p w:rsidR="007544CA" w:rsidRPr="00E16C0F" w:rsidRDefault="007544CA" w:rsidP="00133508">
                  <w:pPr>
                    <w:pStyle w:val="TableBodyText"/>
                    <w:spacing w:after="0"/>
                    <w:ind w:left="0" w:right="57"/>
                  </w:pPr>
                  <w:r w:rsidRPr="00E16C0F">
                    <w:t>70.6</w:t>
                  </w:r>
                </w:p>
              </w:tc>
              <w:tc>
                <w:tcPr>
                  <w:tcW w:w="496" w:type="pct"/>
                  <w:shd w:val="clear" w:color="auto" w:fill="auto"/>
                  <w:vAlign w:val="bottom"/>
                </w:tcPr>
                <w:p w:rsidR="007544CA" w:rsidRPr="00E16C0F" w:rsidRDefault="007544CA" w:rsidP="00133508">
                  <w:pPr>
                    <w:pStyle w:val="TableBodyText"/>
                    <w:spacing w:after="0"/>
                    <w:ind w:left="0" w:right="57"/>
                  </w:pPr>
                  <w:r w:rsidRPr="00E16C0F">
                    <w:t>69.3</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Machinery &amp; equipment manufacturing</w:t>
                  </w:r>
                </w:p>
              </w:tc>
              <w:tc>
                <w:tcPr>
                  <w:tcW w:w="502" w:type="pct"/>
                  <w:vAlign w:val="bottom"/>
                </w:tcPr>
                <w:p w:rsidR="007544CA" w:rsidRPr="00E16C0F" w:rsidRDefault="007544CA" w:rsidP="00133508">
                  <w:pPr>
                    <w:pStyle w:val="TableBodyText"/>
                    <w:spacing w:after="0"/>
                    <w:ind w:left="0" w:right="57"/>
                  </w:pPr>
                  <w:r w:rsidRPr="00E16C0F">
                    <w:t>635.5</w:t>
                  </w:r>
                </w:p>
              </w:tc>
              <w:tc>
                <w:tcPr>
                  <w:tcW w:w="501" w:type="pct"/>
                  <w:vAlign w:val="bottom"/>
                </w:tcPr>
                <w:p w:rsidR="007544CA" w:rsidRPr="00E16C0F" w:rsidRDefault="007544CA" w:rsidP="00133508">
                  <w:pPr>
                    <w:pStyle w:val="TableBodyText"/>
                    <w:spacing w:after="0"/>
                    <w:ind w:left="0" w:right="57"/>
                  </w:pPr>
                  <w:r w:rsidRPr="00E16C0F">
                    <w:t>609.6</w:t>
                  </w:r>
                </w:p>
              </w:tc>
              <w:tc>
                <w:tcPr>
                  <w:tcW w:w="501" w:type="pct"/>
                  <w:vAlign w:val="bottom"/>
                </w:tcPr>
                <w:p w:rsidR="007544CA" w:rsidRPr="00E16C0F" w:rsidRDefault="007544CA" w:rsidP="00133508">
                  <w:pPr>
                    <w:pStyle w:val="TableBodyText"/>
                    <w:spacing w:after="0"/>
                    <w:ind w:left="0" w:right="57"/>
                  </w:pPr>
                  <w:r w:rsidRPr="00E16C0F">
                    <w:t>639.1</w:t>
                  </w:r>
                </w:p>
              </w:tc>
              <w:tc>
                <w:tcPr>
                  <w:tcW w:w="499" w:type="pct"/>
                  <w:vAlign w:val="bottom"/>
                </w:tcPr>
                <w:p w:rsidR="007544CA" w:rsidRPr="00E16C0F" w:rsidRDefault="007544CA" w:rsidP="00133508">
                  <w:pPr>
                    <w:pStyle w:val="TableBodyText"/>
                    <w:spacing w:after="0"/>
                    <w:ind w:left="0" w:right="57"/>
                  </w:pPr>
                  <w:r w:rsidRPr="00E16C0F">
                    <w:t>606.1</w:t>
                  </w:r>
                </w:p>
              </w:tc>
              <w:tc>
                <w:tcPr>
                  <w:tcW w:w="499" w:type="pct"/>
                  <w:shd w:val="clear" w:color="auto" w:fill="auto"/>
                  <w:vAlign w:val="bottom"/>
                </w:tcPr>
                <w:p w:rsidR="007544CA" w:rsidRPr="00E16C0F" w:rsidRDefault="007544CA" w:rsidP="00133508">
                  <w:pPr>
                    <w:pStyle w:val="TableBodyText"/>
                    <w:spacing w:after="0"/>
                    <w:ind w:left="0" w:right="57"/>
                  </w:pPr>
                  <w:r w:rsidRPr="00E16C0F">
                    <w:t>573.8</w:t>
                  </w:r>
                </w:p>
              </w:tc>
              <w:tc>
                <w:tcPr>
                  <w:tcW w:w="496" w:type="pct"/>
                  <w:shd w:val="clear" w:color="auto" w:fill="auto"/>
                  <w:vAlign w:val="bottom"/>
                </w:tcPr>
                <w:p w:rsidR="007544CA" w:rsidRPr="00E16C0F" w:rsidRDefault="007544CA" w:rsidP="00133508">
                  <w:pPr>
                    <w:pStyle w:val="TableBodyText"/>
                    <w:spacing w:after="0"/>
                    <w:ind w:left="0" w:right="57"/>
                  </w:pPr>
                  <w:r w:rsidRPr="00E16C0F">
                    <w:t>563.0</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Furniture and other manufacturing</w:t>
                  </w:r>
                </w:p>
              </w:tc>
              <w:tc>
                <w:tcPr>
                  <w:tcW w:w="502" w:type="pct"/>
                  <w:vAlign w:val="bottom"/>
                </w:tcPr>
                <w:p w:rsidR="007544CA" w:rsidRPr="00E16C0F" w:rsidRDefault="007544CA" w:rsidP="00133508">
                  <w:pPr>
                    <w:pStyle w:val="TableBodyText"/>
                    <w:spacing w:after="0"/>
                    <w:ind w:left="0" w:right="57"/>
                  </w:pPr>
                  <w:r w:rsidRPr="00E16C0F">
                    <w:t>207.3</w:t>
                  </w:r>
                </w:p>
              </w:tc>
              <w:tc>
                <w:tcPr>
                  <w:tcW w:w="501" w:type="pct"/>
                  <w:vAlign w:val="bottom"/>
                </w:tcPr>
                <w:p w:rsidR="007544CA" w:rsidRPr="00E16C0F" w:rsidRDefault="007544CA" w:rsidP="00133508">
                  <w:pPr>
                    <w:pStyle w:val="TableBodyText"/>
                    <w:spacing w:after="0"/>
                    <w:ind w:left="0" w:right="57"/>
                  </w:pPr>
                  <w:r w:rsidRPr="00E16C0F">
                    <w:t>203.0</w:t>
                  </w:r>
                </w:p>
              </w:tc>
              <w:tc>
                <w:tcPr>
                  <w:tcW w:w="501" w:type="pct"/>
                  <w:vAlign w:val="bottom"/>
                </w:tcPr>
                <w:p w:rsidR="007544CA" w:rsidRPr="00E16C0F" w:rsidRDefault="007544CA" w:rsidP="00133508">
                  <w:pPr>
                    <w:pStyle w:val="TableBodyText"/>
                    <w:spacing w:after="0"/>
                    <w:ind w:left="0" w:right="57"/>
                  </w:pPr>
                  <w:r w:rsidRPr="00E16C0F">
                    <w:t>212.8</w:t>
                  </w:r>
                </w:p>
              </w:tc>
              <w:tc>
                <w:tcPr>
                  <w:tcW w:w="499" w:type="pct"/>
                  <w:vAlign w:val="bottom"/>
                </w:tcPr>
                <w:p w:rsidR="007544CA" w:rsidRPr="00E16C0F" w:rsidRDefault="007544CA" w:rsidP="00133508">
                  <w:pPr>
                    <w:pStyle w:val="TableBodyText"/>
                    <w:spacing w:after="0"/>
                    <w:ind w:left="0" w:right="57"/>
                  </w:pPr>
                  <w:r w:rsidRPr="00E16C0F">
                    <w:t>201.8</w:t>
                  </w:r>
                </w:p>
              </w:tc>
              <w:tc>
                <w:tcPr>
                  <w:tcW w:w="499" w:type="pct"/>
                  <w:shd w:val="clear" w:color="auto" w:fill="auto"/>
                  <w:vAlign w:val="bottom"/>
                </w:tcPr>
                <w:p w:rsidR="007544CA" w:rsidRPr="00E16C0F" w:rsidRDefault="007544CA" w:rsidP="00133508">
                  <w:pPr>
                    <w:pStyle w:val="TableBodyText"/>
                    <w:spacing w:after="0"/>
                    <w:ind w:left="0" w:right="57"/>
                  </w:pPr>
                  <w:r w:rsidRPr="00E16C0F">
                    <w:t>191.0</w:t>
                  </w:r>
                </w:p>
              </w:tc>
              <w:tc>
                <w:tcPr>
                  <w:tcW w:w="496" w:type="pct"/>
                  <w:shd w:val="clear" w:color="auto" w:fill="auto"/>
                  <w:vAlign w:val="bottom"/>
                </w:tcPr>
                <w:p w:rsidR="007544CA" w:rsidRPr="00E16C0F" w:rsidRDefault="007544CA" w:rsidP="00133508">
                  <w:pPr>
                    <w:pStyle w:val="TableBodyText"/>
                    <w:spacing w:after="0"/>
                    <w:ind w:left="0" w:right="57"/>
                  </w:pPr>
                  <w:r w:rsidRPr="00E16C0F">
                    <w:t>187.4</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Unallocated manufacturing</w:t>
                  </w:r>
                  <w:r w:rsidRPr="008405D4">
                    <w:rPr>
                      <w:rStyle w:val="NoteLabel"/>
                    </w:rPr>
                    <w:t>b</w:t>
                  </w:r>
                </w:p>
              </w:tc>
              <w:tc>
                <w:tcPr>
                  <w:tcW w:w="502"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6"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r>
            <w:tr w:rsidR="007544CA" w:rsidRPr="00D156AF" w:rsidTr="00133508">
              <w:tc>
                <w:tcPr>
                  <w:tcW w:w="2002" w:type="pct"/>
                  <w:shd w:val="clear" w:color="auto" w:fill="auto"/>
                  <w:vAlign w:val="bottom"/>
                </w:tcPr>
                <w:p w:rsidR="007544CA" w:rsidRPr="00D156AF" w:rsidRDefault="007544CA" w:rsidP="00133508">
                  <w:pPr>
                    <w:rPr>
                      <w:rFonts w:ascii="Arial" w:hAnsi="Arial" w:cs="Arial"/>
                      <w:b/>
                      <w:bCs/>
                      <w:sz w:val="18"/>
                      <w:szCs w:val="18"/>
                    </w:rPr>
                  </w:pPr>
                  <w:r w:rsidRPr="00D156AF">
                    <w:rPr>
                      <w:rFonts w:ascii="Arial" w:hAnsi="Arial" w:cs="Arial"/>
                      <w:b/>
                      <w:bCs/>
                      <w:sz w:val="18"/>
                      <w:szCs w:val="18"/>
                    </w:rPr>
                    <w:t>Services</w:t>
                  </w:r>
                </w:p>
              </w:tc>
              <w:tc>
                <w:tcPr>
                  <w:tcW w:w="502" w:type="pct"/>
                  <w:vAlign w:val="bottom"/>
                </w:tcPr>
                <w:p w:rsidR="007544CA" w:rsidRPr="00D156AF" w:rsidRDefault="007544CA" w:rsidP="00133508">
                  <w:pPr>
                    <w:pStyle w:val="TableBodyText"/>
                    <w:spacing w:after="0"/>
                    <w:ind w:left="0" w:right="57"/>
                    <w:rPr>
                      <w:b/>
                      <w:szCs w:val="18"/>
                    </w:rPr>
                  </w:pPr>
                  <w:r w:rsidRPr="00D156AF">
                    <w:rPr>
                      <w:b/>
                      <w:szCs w:val="18"/>
                    </w:rPr>
                    <w:t>0.0</w:t>
                  </w:r>
                </w:p>
              </w:tc>
              <w:tc>
                <w:tcPr>
                  <w:tcW w:w="501" w:type="pct"/>
                  <w:vAlign w:val="bottom"/>
                </w:tcPr>
                <w:p w:rsidR="007544CA" w:rsidRPr="00D156AF" w:rsidRDefault="007544CA" w:rsidP="00133508">
                  <w:pPr>
                    <w:pStyle w:val="TableBodyText"/>
                    <w:spacing w:after="0"/>
                    <w:ind w:left="0" w:right="57"/>
                    <w:rPr>
                      <w:b/>
                      <w:szCs w:val="18"/>
                    </w:rPr>
                  </w:pPr>
                  <w:r w:rsidRPr="00D156AF">
                    <w:rPr>
                      <w:b/>
                      <w:szCs w:val="18"/>
                    </w:rPr>
                    <w:t>0.0</w:t>
                  </w:r>
                </w:p>
              </w:tc>
              <w:tc>
                <w:tcPr>
                  <w:tcW w:w="501" w:type="pct"/>
                  <w:vAlign w:val="bottom"/>
                </w:tcPr>
                <w:p w:rsidR="007544CA" w:rsidRPr="00D156AF" w:rsidRDefault="007544CA" w:rsidP="00133508">
                  <w:pPr>
                    <w:pStyle w:val="TableBodyText"/>
                    <w:spacing w:after="0"/>
                    <w:ind w:left="0" w:right="57"/>
                    <w:rPr>
                      <w:b/>
                      <w:szCs w:val="18"/>
                    </w:rPr>
                  </w:pPr>
                  <w:r w:rsidRPr="00D156AF">
                    <w:rPr>
                      <w:b/>
                      <w:szCs w:val="18"/>
                    </w:rPr>
                    <w:t>0.0</w:t>
                  </w:r>
                </w:p>
              </w:tc>
              <w:tc>
                <w:tcPr>
                  <w:tcW w:w="499" w:type="pct"/>
                  <w:vAlign w:val="bottom"/>
                </w:tcPr>
                <w:p w:rsidR="007544CA" w:rsidRPr="00D156AF" w:rsidRDefault="007544CA" w:rsidP="00133508">
                  <w:pPr>
                    <w:pStyle w:val="TableBodyText"/>
                    <w:spacing w:after="0"/>
                    <w:ind w:left="0" w:right="57"/>
                    <w:rPr>
                      <w:b/>
                      <w:szCs w:val="18"/>
                    </w:rPr>
                  </w:pPr>
                  <w:r w:rsidRPr="00D156AF">
                    <w:rPr>
                      <w:b/>
                      <w:szCs w:val="18"/>
                    </w:rPr>
                    <w:t>0.0</w:t>
                  </w:r>
                </w:p>
              </w:tc>
              <w:tc>
                <w:tcPr>
                  <w:tcW w:w="499" w:type="pct"/>
                  <w:shd w:val="clear" w:color="auto" w:fill="auto"/>
                  <w:vAlign w:val="bottom"/>
                </w:tcPr>
                <w:p w:rsidR="007544CA" w:rsidRPr="00D156AF" w:rsidRDefault="007544CA" w:rsidP="00133508">
                  <w:pPr>
                    <w:pStyle w:val="TableBodyText"/>
                    <w:spacing w:after="0"/>
                    <w:ind w:left="0" w:right="57"/>
                    <w:rPr>
                      <w:b/>
                      <w:szCs w:val="18"/>
                    </w:rPr>
                  </w:pPr>
                  <w:r w:rsidRPr="00D156AF">
                    <w:rPr>
                      <w:b/>
                      <w:szCs w:val="18"/>
                    </w:rPr>
                    <w:t>0.0</w:t>
                  </w:r>
                </w:p>
              </w:tc>
              <w:tc>
                <w:tcPr>
                  <w:tcW w:w="496" w:type="pct"/>
                  <w:shd w:val="clear" w:color="auto" w:fill="auto"/>
                  <w:vAlign w:val="bottom"/>
                </w:tcPr>
                <w:p w:rsidR="007544CA" w:rsidRPr="00D156AF" w:rsidRDefault="007544CA" w:rsidP="00133508">
                  <w:pPr>
                    <w:pStyle w:val="TableBodyText"/>
                    <w:spacing w:after="0"/>
                    <w:ind w:left="0" w:right="57"/>
                    <w:rPr>
                      <w:b/>
                      <w:szCs w:val="18"/>
                    </w:rPr>
                  </w:pPr>
                  <w:r w:rsidRPr="00D156AF">
                    <w:rPr>
                      <w:b/>
                      <w:szCs w:val="18"/>
                    </w:rPr>
                    <w:t>0.0</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Electricity, gas, water &amp; waste services</w:t>
                  </w:r>
                </w:p>
              </w:tc>
              <w:tc>
                <w:tcPr>
                  <w:tcW w:w="502"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6"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Construction</w:t>
                  </w:r>
                </w:p>
              </w:tc>
              <w:tc>
                <w:tcPr>
                  <w:tcW w:w="502"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6"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Wholesale trade</w:t>
                  </w:r>
                </w:p>
              </w:tc>
              <w:tc>
                <w:tcPr>
                  <w:tcW w:w="502"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6"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Retail trade</w:t>
                  </w:r>
                </w:p>
              </w:tc>
              <w:tc>
                <w:tcPr>
                  <w:tcW w:w="502"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6"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Accommodation &amp; food services</w:t>
                  </w:r>
                </w:p>
              </w:tc>
              <w:tc>
                <w:tcPr>
                  <w:tcW w:w="502"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6"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Transport, postal &amp; warehousing</w:t>
                  </w:r>
                </w:p>
              </w:tc>
              <w:tc>
                <w:tcPr>
                  <w:tcW w:w="502"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6"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Information &amp; telecommunications</w:t>
                  </w:r>
                </w:p>
              </w:tc>
              <w:tc>
                <w:tcPr>
                  <w:tcW w:w="502"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6"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Financial and insurance services</w:t>
                  </w:r>
                </w:p>
              </w:tc>
              <w:tc>
                <w:tcPr>
                  <w:tcW w:w="502"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6"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Property, professional &amp; admin.</w:t>
                  </w:r>
                </w:p>
              </w:tc>
              <w:tc>
                <w:tcPr>
                  <w:tcW w:w="502"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6"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Public administration and safety</w:t>
                  </w:r>
                </w:p>
              </w:tc>
              <w:tc>
                <w:tcPr>
                  <w:tcW w:w="502"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6"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Education and training</w:t>
                  </w:r>
                </w:p>
              </w:tc>
              <w:tc>
                <w:tcPr>
                  <w:tcW w:w="502"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6"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Health care and social assistance</w:t>
                  </w:r>
                </w:p>
              </w:tc>
              <w:tc>
                <w:tcPr>
                  <w:tcW w:w="502"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6"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Arts and recreation services</w:t>
                  </w:r>
                </w:p>
              </w:tc>
              <w:tc>
                <w:tcPr>
                  <w:tcW w:w="502"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6"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Other services</w:t>
                  </w:r>
                </w:p>
              </w:tc>
              <w:tc>
                <w:tcPr>
                  <w:tcW w:w="502"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6"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r>
            <w:tr w:rsidR="007544CA" w:rsidTr="00133508">
              <w:tc>
                <w:tcPr>
                  <w:tcW w:w="2002" w:type="pct"/>
                  <w:shd w:val="clear" w:color="auto" w:fill="auto"/>
                  <w:vAlign w:val="center"/>
                </w:tcPr>
                <w:p w:rsidR="007544CA" w:rsidRPr="00E02BF0" w:rsidRDefault="007544CA" w:rsidP="00133508">
                  <w:pPr>
                    <w:rPr>
                      <w:rFonts w:ascii="Arial" w:hAnsi="Arial" w:cs="Arial"/>
                      <w:sz w:val="18"/>
                      <w:szCs w:val="18"/>
                    </w:rPr>
                  </w:pPr>
                  <w:r w:rsidRPr="00E02BF0">
                    <w:rPr>
                      <w:rFonts w:ascii="Arial" w:hAnsi="Arial" w:cs="Arial"/>
                      <w:sz w:val="18"/>
                      <w:szCs w:val="18"/>
                    </w:rPr>
                    <w:t>Unallocated services</w:t>
                  </w:r>
                  <w:r w:rsidRPr="008405D4">
                    <w:rPr>
                      <w:rStyle w:val="NoteLabel"/>
                    </w:rPr>
                    <w:t>b</w:t>
                  </w:r>
                </w:p>
              </w:tc>
              <w:tc>
                <w:tcPr>
                  <w:tcW w:w="502"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501"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9"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c>
                <w:tcPr>
                  <w:tcW w:w="496" w:type="pct"/>
                  <w:shd w:val="clear" w:color="auto" w:fill="auto"/>
                  <w:vAlign w:val="bottom"/>
                </w:tcPr>
                <w:p w:rsidR="007544CA" w:rsidRPr="00D156AF" w:rsidRDefault="007544CA" w:rsidP="00133508">
                  <w:pPr>
                    <w:pStyle w:val="TableBodyText"/>
                    <w:spacing w:after="0"/>
                    <w:ind w:left="0" w:right="57"/>
                    <w:rPr>
                      <w:szCs w:val="18"/>
                    </w:rPr>
                  </w:pPr>
                  <w:r w:rsidRPr="00D156AF">
                    <w:rPr>
                      <w:szCs w:val="18"/>
                    </w:rPr>
                    <w:t xml:space="preserve">– </w:t>
                  </w:r>
                </w:p>
              </w:tc>
            </w:tr>
            <w:tr w:rsidR="007544CA" w:rsidRPr="00EF49B4" w:rsidTr="00133508">
              <w:tc>
                <w:tcPr>
                  <w:tcW w:w="2002" w:type="pct"/>
                  <w:shd w:val="clear" w:color="auto" w:fill="auto"/>
                  <w:vAlign w:val="center"/>
                </w:tcPr>
                <w:p w:rsidR="007544CA" w:rsidRPr="00EF49B4" w:rsidRDefault="007544CA" w:rsidP="00133508">
                  <w:pPr>
                    <w:rPr>
                      <w:rFonts w:ascii="Arial" w:hAnsi="Arial" w:cs="Arial"/>
                      <w:b/>
                      <w:bCs/>
                      <w:sz w:val="18"/>
                      <w:szCs w:val="18"/>
                    </w:rPr>
                  </w:pPr>
                  <w:r w:rsidRPr="00EF49B4">
                    <w:rPr>
                      <w:rFonts w:ascii="Arial" w:hAnsi="Arial" w:cs="Arial"/>
                      <w:b/>
                      <w:bCs/>
                      <w:sz w:val="18"/>
                      <w:szCs w:val="18"/>
                    </w:rPr>
                    <w:t>Unallocated other</w:t>
                  </w:r>
                  <w:r w:rsidRPr="008405D4">
                    <w:rPr>
                      <w:rStyle w:val="NoteLabel"/>
                    </w:rPr>
                    <w:t>b</w:t>
                  </w:r>
                </w:p>
              </w:tc>
              <w:tc>
                <w:tcPr>
                  <w:tcW w:w="502" w:type="pct"/>
                  <w:vAlign w:val="bottom"/>
                </w:tcPr>
                <w:p w:rsidR="007544CA" w:rsidRPr="00EF49B4" w:rsidRDefault="007544CA" w:rsidP="00133508">
                  <w:pPr>
                    <w:pStyle w:val="TableBodyText"/>
                    <w:spacing w:after="0"/>
                    <w:ind w:left="0" w:right="57"/>
                    <w:rPr>
                      <w:b/>
                      <w:szCs w:val="18"/>
                    </w:rPr>
                  </w:pPr>
                  <w:r w:rsidRPr="00EF49B4">
                    <w:rPr>
                      <w:b/>
                      <w:szCs w:val="18"/>
                    </w:rPr>
                    <w:t xml:space="preserve">– </w:t>
                  </w:r>
                </w:p>
              </w:tc>
              <w:tc>
                <w:tcPr>
                  <w:tcW w:w="501" w:type="pct"/>
                  <w:vAlign w:val="bottom"/>
                </w:tcPr>
                <w:p w:rsidR="007544CA" w:rsidRPr="00EF49B4" w:rsidRDefault="007544CA" w:rsidP="00133508">
                  <w:pPr>
                    <w:pStyle w:val="TableBodyText"/>
                    <w:spacing w:after="0"/>
                    <w:ind w:left="0" w:right="57"/>
                    <w:rPr>
                      <w:b/>
                      <w:szCs w:val="18"/>
                    </w:rPr>
                  </w:pPr>
                  <w:r w:rsidRPr="00EF49B4">
                    <w:rPr>
                      <w:b/>
                      <w:szCs w:val="18"/>
                    </w:rPr>
                    <w:t xml:space="preserve">– </w:t>
                  </w:r>
                </w:p>
              </w:tc>
              <w:tc>
                <w:tcPr>
                  <w:tcW w:w="501" w:type="pct"/>
                  <w:vAlign w:val="bottom"/>
                </w:tcPr>
                <w:p w:rsidR="007544CA" w:rsidRPr="00EF49B4" w:rsidRDefault="007544CA" w:rsidP="00133508">
                  <w:pPr>
                    <w:pStyle w:val="TableBodyText"/>
                    <w:spacing w:after="0"/>
                    <w:ind w:left="0" w:right="57"/>
                    <w:rPr>
                      <w:b/>
                      <w:szCs w:val="18"/>
                    </w:rPr>
                  </w:pPr>
                  <w:r w:rsidRPr="00EF49B4">
                    <w:rPr>
                      <w:b/>
                      <w:szCs w:val="18"/>
                    </w:rPr>
                    <w:t xml:space="preserve">– </w:t>
                  </w:r>
                </w:p>
              </w:tc>
              <w:tc>
                <w:tcPr>
                  <w:tcW w:w="499" w:type="pct"/>
                  <w:vAlign w:val="bottom"/>
                </w:tcPr>
                <w:p w:rsidR="007544CA" w:rsidRPr="00EF49B4" w:rsidRDefault="007544CA" w:rsidP="00133508">
                  <w:pPr>
                    <w:pStyle w:val="TableBodyText"/>
                    <w:spacing w:after="0"/>
                    <w:ind w:left="0" w:right="57"/>
                    <w:rPr>
                      <w:b/>
                      <w:szCs w:val="18"/>
                    </w:rPr>
                  </w:pPr>
                  <w:r w:rsidRPr="00EF49B4">
                    <w:rPr>
                      <w:b/>
                      <w:szCs w:val="18"/>
                    </w:rPr>
                    <w:t xml:space="preserve">– </w:t>
                  </w:r>
                </w:p>
              </w:tc>
              <w:tc>
                <w:tcPr>
                  <w:tcW w:w="499" w:type="pct"/>
                  <w:shd w:val="clear" w:color="auto" w:fill="auto"/>
                  <w:vAlign w:val="bottom"/>
                </w:tcPr>
                <w:p w:rsidR="007544CA" w:rsidRPr="00EF49B4" w:rsidRDefault="007544CA" w:rsidP="00133508">
                  <w:pPr>
                    <w:pStyle w:val="TableBodyText"/>
                    <w:spacing w:after="0"/>
                    <w:ind w:left="0" w:right="57"/>
                    <w:rPr>
                      <w:b/>
                      <w:szCs w:val="18"/>
                    </w:rPr>
                  </w:pPr>
                  <w:r w:rsidRPr="00EF49B4">
                    <w:rPr>
                      <w:b/>
                      <w:szCs w:val="18"/>
                    </w:rPr>
                    <w:t xml:space="preserve">– </w:t>
                  </w:r>
                </w:p>
              </w:tc>
              <w:tc>
                <w:tcPr>
                  <w:tcW w:w="496" w:type="pct"/>
                  <w:shd w:val="clear" w:color="auto" w:fill="auto"/>
                  <w:vAlign w:val="bottom"/>
                </w:tcPr>
                <w:p w:rsidR="007544CA" w:rsidRPr="00EF49B4" w:rsidRDefault="007544CA" w:rsidP="00133508">
                  <w:pPr>
                    <w:pStyle w:val="TableBodyText"/>
                    <w:spacing w:after="0"/>
                    <w:ind w:left="0" w:right="57"/>
                    <w:rPr>
                      <w:b/>
                      <w:szCs w:val="18"/>
                    </w:rPr>
                  </w:pPr>
                  <w:r w:rsidRPr="00EF49B4">
                    <w:rPr>
                      <w:b/>
                      <w:szCs w:val="18"/>
                    </w:rPr>
                    <w:t xml:space="preserve">– </w:t>
                  </w:r>
                </w:p>
              </w:tc>
            </w:tr>
            <w:tr w:rsidR="007544CA" w:rsidRPr="00EF49B4" w:rsidTr="00133508">
              <w:tc>
                <w:tcPr>
                  <w:tcW w:w="2002" w:type="pct"/>
                  <w:tcBorders>
                    <w:bottom w:val="single" w:sz="6" w:space="0" w:color="BFBFBF"/>
                  </w:tcBorders>
                  <w:shd w:val="clear" w:color="auto" w:fill="auto"/>
                  <w:vAlign w:val="center"/>
                </w:tcPr>
                <w:p w:rsidR="007544CA" w:rsidRPr="00EF49B4" w:rsidRDefault="007544CA" w:rsidP="00133508">
                  <w:pPr>
                    <w:rPr>
                      <w:rFonts w:ascii="Arial" w:hAnsi="Arial" w:cs="Arial"/>
                      <w:b/>
                      <w:bCs/>
                      <w:sz w:val="18"/>
                      <w:szCs w:val="18"/>
                    </w:rPr>
                  </w:pPr>
                  <w:r w:rsidRPr="00EF49B4">
                    <w:rPr>
                      <w:rFonts w:ascii="Arial" w:hAnsi="Arial" w:cs="Arial"/>
                      <w:b/>
                      <w:bCs/>
                      <w:sz w:val="18"/>
                      <w:szCs w:val="18"/>
                    </w:rPr>
                    <w:t>Total</w:t>
                  </w:r>
                </w:p>
              </w:tc>
              <w:tc>
                <w:tcPr>
                  <w:tcW w:w="502" w:type="pct"/>
                  <w:tcBorders>
                    <w:bottom w:val="single" w:sz="6" w:space="0" w:color="BFBFBF"/>
                  </w:tcBorders>
                  <w:vAlign w:val="bottom"/>
                </w:tcPr>
                <w:p w:rsidR="007544CA" w:rsidRPr="00AA7E41" w:rsidRDefault="007544CA" w:rsidP="00133508">
                  <w:pPr>
                    <w:pStyle w:val="TableBodyText"/>
                    <w:spacing w:after="0"/>
                    <w:ind w:left="0" w:right="57"/>
                    <w:rPr>
                      <w:b/>
                    </w:rPr>
                  </w:pPr>
                  <w:r w:rsidRPr="00AA7E41">
                    <w:rPr>
                      <w:b/>
                    </w:rPr>
                    <w:t>8382.0</w:t>
                  </w:r>
                </w:p>
              </w:tc>
              <w:tc>
                <w:tcPr>
                  <w:tcW w:w="501" w:type="pct"/>
                  <w:tcBorders>
                    <w:bottom w:val="single" w:sz="6" w:space="0" w:color="BFBFBF"/>
                  </w:tcBorders>
                  <w:vAlign w:val="bottom"/>
                </w:tcPr>
                <w:p w:rsidR="007544CA" w:rsidRPr="00AA7E41" w:rsidRDefault="007544CA" w:rsidP="00133508">
                  <w:pPr>
                    <w:pStyle w:val="TableBodyText"/>
                    <w:spacing w:after="0"/>
                    <w:ind w:left="0" w:right="57"/>
                    <w:rPr>
                      <w:b/>
                    </w:rPr>
                  </w:pPr>
                  <w:r w:rsidRPr="00AA7E41">
                    <w:rPr>
                      <w:b/>
                    </w:rPr>
                    <w:t>8071.3</w:t>
                  </w:r>
                </w:p>
              </w:tc>
              <w:tc>
                <w:tcPr>
                  <w:tcW w:w="501" w:type="pct"/>
                  <w:tcBorders>
                    <w:bottom w:val="single" w:sz="6" w:space="0" w:color="BFBFBF"/>
                  </w:tcBorders>
                  <w:vAlign w:val="bottom"/>
                </w:tcPr>
                <w:p w:rsidR="007544CA" w:rsidRPr="00AA7E41" w:rsidRDefault="007544CA" w:rsidP="00133508">
                  <w:pPr>
                    <w:pStyle w:val="TableBodyText"/>
                    <w:spacing w:after="0"/>
                    <w:ind w:left="0" w:right="57"/>
                    <w:rPr>
                      <w:b/>
                    </w:rPr>
                  </w:pPr>
                  <w:r w:rsidRPr="00AA7E41">
                    <w:rPr>
                      <w:b/>
                    </w:rPr>
                    <w:t>8181.1</w:t>
                  </w:r>
                </w:p>
              </w:tc>
              <w:tc>
                <w:tcPr>
                  <w:tcW w:w="499" w:type="pct"/>
                  <w:tcBorders>
                    <w:bottom w:val="single" w:sz="6" w:space="0" w:color="BFBFBF"/>
                  </w:tcBorders>
                  <w:vAlign w:val="bottom"/>
                </w:tcPr>
                <w:p w:rsidR="007544CA" w:rsidRPr="00AA7E41" w:rsidRDefault="007544CA" w:rsidP="00133508">
                  <w:pPr>
                    <w:pStyle w:val="TableBodyText"/>
                    <w:spacing w:after="0"/>
                    <w:ind w:left="0" w:right="57"/>
                    <w:rPr>
                      <w:b/>
                    </w:rPr>
                  </w:pPr>
                  <w:r w:rsidRPr="00AA7E41">
                    <w:rPr>
                      <w:b/>
                    </w:rPr>
                    <w:t>7848.4</w:t>
                  </w:r>
                </w:p>
              </w:tc>
              <w:tc>
                <w:tcPr>
                  <w:tcW w:w="499" w:type="pct"/>
                  <w:tcBorders>
                    <w:bottom w:val="single" w:sz="6" w:space="0" w:color="BFBFBF"/>
                  </w:tcBorders>
                  <w:shd w:val="clear" w:color="auto" w:fill="auto"/>
                  <w:vAlign w:val="bottom"/>
                </w:tcPr>
                <w:p w:rsidR="007544CA" w:rsidRPr="00AA7E41" w:rsidRDefault="007544CA" w:rsidP="00133508">
                  <w:pPr>
                    <w:pStyle w:val="TableBodyText"/>
                    <w:spacing w:after="0"/>
                    <w:ind w:left="0" w:right="57"/>
                    <w:rPr>
                      <w:b/>
                    </w:rPr>
                  </w:pPr>
                  <w:r w:rsidRPr="00AA7E41">
                    <w:rPr>
                      <w:b/>
                    </w:rPr>
                    <w:t>7852.7</w:t>
                  </w:r>
                </w:p>
              </w:tc>
              <w:tc>
                <w:tcPr>
                  <w:tcW w:w="496" w:type="pct"/>
                  <w:tcBorders>
                    <w:bottom w:val="single" w:sz="6" w:space="0" w:color="BFBFBF"/>
                  </w:tcBorders>
                  <w:shd w:val="clear" w:color="auto" w:fill="auto"/>
                  <w:vAlign w:val="bottom"/>
                </w:tcPr>
                <w:p w:rsidR="007544CA" w:rsidRPr="00AA7E41" w:rsidRDefault="007544CA" w:rsidP="00133508">
                  <w:pPr>
                    <w:pStyle w:val="TableBodyText"/>
                    <w:spacing w:after="0"/>
                    <w:ind w:left="0" w:right="57"/>
                    <w:rPr>
                      <w:b/>
                    </w:rPr>
                  </w:pPr>
                  <w:r w:rsidRPr="00AA7E41">
                    <w:rPr>
                      <w:b/>
                    </w:rPr>
                    <w:t>7827.3</w:t>
                  </w:r>
                </w:p>
              </w:tc>
            </w:tr>
          </w:tbl>
          <w:p w:rsidR="007544CA" w:rsidRDefault="007544CA" w:rsidP="00133508">
            <w:pPr>
              <w:pStyle w:val="Box"/>
            </w:pP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Note"/>
              <w:rPr>
                <w:i/>
              </w:rPr>
            </w:pPr>
            <w:r>
              <w:rPr>
                <w:rFonts w:cs="Arial"/>
                <w:szCs w:val="18"/>
              </w:rPr>
              <w:t xml:space="preserve">– Nil. </w:t>
            </w:r>
            <w:r w:rsidRPr="00C74A79">
              <w:rPr>
                <w:rFonts w:cs="Arial"/>
                <w:szCs w:val="18"/>
              </w:rPr>
              <w:t>Figures may not add to totals due to rounding.</w:t>
            </w:r>
            <w:r>
              <w:rPr>
                <w:rFonts w:cs="Arial"/>
                <w:szCs w:val="18"/>
              </w:rPr>
              <w:t xml:space="preserve"> </w:t>
            </w:r>
            <w:r w:rsidRPr="008E77FE">
              <w:rPr>
                <w:rStyle w:val="NoteLabel"/>
              </w:rPr>
              <w:t>a</w:t>
            </w:r>
            <w:r>
              <w:t> </w:t>
            </w:r>
            <w:r w:rsidRPr="008405D4">
              <w:t>Tariff assistance estimates are derived using ABS Industry Gross Value Added and other supporting data.</w:t>
            </w:r>
            <w:r>
              <w:t xml:space="preserve"> </w:t>
            </w:r>
            <w:r>
              <w:rPr>
                <w:rStyle w:val="NoteLabel"/>
              </w:rPr>
              <w:t>b</w:t>
            </w:r>
            <w:r>
              <w:t> </w:t>
            </w:r>
            <w:r w:rsidRPr="008405D4">
              <w:t>Unallocated includes budgetary measures where details of beneficiaries are unknown.</w:t>
            </w:r>
            <w:r>
              <w:t xml:space="preserve"> These categories are not applicable for tariff assistance.</w:t>
            </w: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Source"/>
            </w:pPr>
            <w:r>
              <w:rPr>
                <w:i/>
              </w:rPr>
              <w:t>Source</w:t>
            </w:r>
            <w:r w:rsidRPr="00167F06">
              <w:t xml:space="preserve">: </w:t>
            </w:r>
            <w:r>
              <w:t>Commission estimates.</w:t>
            </w:r>
          </w:p>
        </w:tc>
      </w:tr>
      <w:tr w:rsidR="007544CA" w:rsidTr="00133508">
        <w:trPr>
          <w:cantSplit/>
        </w:trPr>
        <w:tc>
          <w:tcPr>
            <w:tcW w:w="8771" w:type="dxa"/>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Default="007544CA" w:rsidP="00133508">
            <w:pPr>
              <w:pStyle w:val="TableTitle"/>
            </w:pPr>
            <w:r>
              <w:rPr>
                <w:b w:val="0"/>
              </w:rPr>
              <w:t xml:space="preserve">Table </w:t>
            </w:r>
            <w:r>
              <w:rPr>
                <w:b w:val="0"/>
              </w:rPr>
              <w:fldChar w:fldCharType="begin" w:fldLock="1"/>
            </w:r>
            <w:r>
              <w:rPr>
                <w:b w:val="0"/>
              </w:rPr>
              <w:instrText xml:space="preserve"> COMMENTS  \* MERGEFORMAT </w:instrText>
            </w:r>
            <w:r>
              <w:rPr>
                <w:b w:val="0"/>
              </w:rPr>
              <w:fldChar w:fldCharType="separate"/>
            </w:r>
            <w:proofErr w:type="spellStart"/>
            <w:r>
              <w:rPr>
                <w:b w:val="0"/>
              </w:rPr>
              <w:t>A.</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5</w:t>
            </w:r>
            <w:proofErr w:type="spellEnd"/>
            <w:r>
              <w:rPr>
                <w:b w:val="0"/>
              </w:rPr>
              <w:fldChar w:fldCharType="end"/>
            </w:r>
            <w:r>
              <w:tab/>
            </w:r>
            <w:r w:rsidRPr="008330E8">
              <w:t>Input tariff penalty by industry grouping, 200</w:t>
            </w:r>
            <w:r>
              <w:t>9</w:t>
            </w:r>
            <w:r>
              <w:noBreakHyphen/>
              <w:t>10</w:t>
            </w:r>
            <w:r w:rsidRPr="008330E8">
              <w:t xml:space="preserve"> to 201</w:t>
            </w:r>
            <w:r>
              <w:t>4</w:t>
            </w:r>
            <w:r>
              <w:noBreakHyphen/>
            </w:r>
            <w:r w:rsidRPr="008330E8">
              <w:t>1</w:t>
            </w:r>
            <w:r>
              <w:t>5</w:t>
            </w:r>
            <w:r w:rsidRPr="00F74259">
              <w:rPr>
                <w:rStyle w:val="NoteLabel"/>
                <w:rFonts w:ascii="Arial Bold" w:hAnsi="Arial Bold"/>
                <w:b/>
                <w:position w:val="10"/>
              </w:rPr>
              <w:t>a</w:t>
            </w:r>
          </w:p>
          <w:p w:rsidR="007544CA" w:rsidRPr="00784A05" w:rsidRDefault="007544CA" w:rsidP="00133508">
            <w:pPr>
              <w:pStyle w:val="Subtitle"/>
            </w:pPr>
            <w:r w:rsidRPr="008330E8">
              <w:t>$ million (nominal)</w:t>
            </w:r>
          </w:p>
        </w:tc>
      </w:tr>
      <w:tr w:rsidR="007544CA" w:rsidTr="0013350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382"/>
              <w:gridCol w:w="851"/>
              <w:gridCol w:w="851"/>
              <w:gridCol w:w="851"/>
              <w:gridCol w:w="850"/>
              <w:gridCol w:w="850"/>
              <w:gridCol w:w="852"/>
            </w:tblGrid>
            <w:tr w:rsidR="007544CA" w:rsidTr="00133508">
              <w:tc>
                <w:tcPr>
                  <w:tcW w:w="1992" w:type="pct"/>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r>
                    <w:t>Industry grouping</w:t>
                  </w:r>
                </w:p>
              </w:tc>
              <w:tc>
                <w:tcPr>
                  <w:tcW w:w="501"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2009</w:t>
                  </w:r>
                  <w:r>
                    <w:rPr>
                      <w:szCs w:val="18"/>
                    </w:rPr>
                    <w:noBreakHyphen/>
                  </w:r>
                  <w:r w:rsidRPr="00AB1D7C">
                    <w:rPr>
                      <w:szCs w:val="18"/>
                    </w:rPr>
                    <w:t>10</w:t>
                  </w:r>
                </w:p>
              </w:tc>
              <w:tc>
                <w:tcPr>
                  <w:tcW w:w="501"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2010</w:t>
                  </w:r>
                  <w:r>
                    <w:rPr>
                      <w:szCs w:val="18"/>
                    </w:rPr>
                    <w:noBreakHyphen/>
                  </w:r>
                  <w:r w:rsidRPr="00AB1D7C">
                    <w:rPr>
                      <w:szCs w:val="18"/>
                    </w:rPr>
                    <w:t>11</w:t>
                  </w:r>
                </w:p>
              </w:tc>
              <w:tc>
                <w:tcPr>
                  <w:tcW w:w="501"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2011</w:t>
                  </w:r>
                  <w:r>
                    <w:rPr>
                      <w:szCs w:val="18"/>
                    </w:rPr>
                    <w:noBreakHyphen/>
                  </w:r>
                  <w:r w:rsidRPr="00AB1D7C">
                    <w:rPr>
                      <w:szCs w:val="18"/>
                    </w:rPr>
                    <w:t>12</w:t>
                  </w:r>
                </w:p>
              </w:tc>
              <w:tc>
                <w:tcPr>
                  <w:tcW w:w="501"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2012</w:t>
                  </w:r>
                  <w:r>
                    <w:rPr>
                      <w:szCs w:val="18"/>
                    </w:rPr>
                    <w:noBreakHyphen/>
                  </w:r>
                  <w:r w:rsidRPr="00AB1D7C">
                    <w:rPr>
                      <w:szCs w:val="18"/>
                    </w:rPr>
                    <w:t>13</w:t>
                  </w:r>
                </w:p>
              </w:tc>
              <w:tc>
                <w:tcPr>
                  <w:tcW w:w="501" w:type="pct"/>
                  <w:tcBorders>
                    <w:top w:val="single" w:sz="6" w:space="0" w:color="BFBFBF"/>
                    <w:bottom w:val="single" w:sz="6" w:space="0" w:color="BFBFBF"/>
                  </w:tcBorders>
                  <w:shd w:val="clear" w:color="auto" w:fill="auto"/>
                  <w:tcMar>
                    <w:top w:w="28" w:type="dxa"/>
                  </w:tcMar>
                </w:tcPr>
                <w:p w:rsidR="007544CA" w:rsidRPr="00AB1D7C" w:rsidRDefault="007544CA" w:rsidP="00133508">
                  <w:pPr>
                    <w:pStyle w:val="TableColumnHeading"/>
                    <w:ind w:left="0" w:right="57"/>
                    <w:rPr>
                      <w:szCs w:val="18"/>
                    </w:rPr>
                  </w:pPr>
                  <w:r w:rsidRPr="00AB1D7C">
                    <w:rPr>
                      <w:szCs w:val="18"/>
                    </w:rPr>
                    <w:t>2013</w:t>
                  </w:r>
                  <w:r>
                    <w:rPr>
                      <w:szCs w:val="18"/>
                    </w:rPr>
                    <w:noBreakHyphen/>
                  </w:r>
                  <w:r w:rsidRPr="00AB1D7C">
                    <w:rPr>
                      <w:szCs w:val="18"/>
                    </w:rPr>
                    <w:t>14</w:t>
                  </w:r>
                </w:p>
              </w:tc>
              <w:tc>
                <w:tcPr>
                  <w:tcW w:w="502" w:type="pct"/>
                  <w:tcBorders>
                    <w:top w:val="single" w:sz="6" w:space="0" w:color="BFBFBF"/>
                    <w:bottom w:val="single" w:sz="6" w:space="0" w:color="BFBFBF"/>
                  </w:tcBorders>
                  <w:shd w:val="clear" w:color="auto" w:fill="auto"/>
                  <w:tcMar>
                    <w:top w:w="28" w:type="dxa"/>
                  </w:tcMar>
                </w:tcPr>
                <w:p w:rsidR="007544CA" w:rsidRPr="00AB1D7C" w:rsidRDefault="007544CA" w:rsidP="00133508">
                  <w:pPr>
                    <w:pStyle w:val="TableColumnHeading"/>
                    <w:ind w:left="0" w:right="57"/>
                    <w:rPr>
                      <w:szCs w:val="18"/>
                    </w:rPr>
                  </w:pPr>
                  <w:r w:rsidRPr="00AB1D7C">
                    <w:rPr>
                      <w:szCs w:val="18"/>
                    </w:rPr>
                    <w:t>201</w:t>
                  </w:r>
                  <w:r>
                    <w:rPr>
                      <w:szCs w:val="18"/>
                    </w:rPr>
                    <w:t>4</w:t>
                  </w:r>
                  <w:r>
                    <w:rPr>
                      <w:szCs w:val="18"/>
                    </w:rPr>
                    <w:noBreakHyphen/>
                  </w:r>
                  <w:r w:rsidRPr="00AB1D7C">
                    <w:rPr>
                      <w:szCs w:val="18"/>
                    </w:rPr>
                    <w:t>1</w:t>
                  </w:r>
                  <w:r>
                    <w:rPr>
                      <w:szCs w:val="18"/>
                    </w:rPr>
                    <w:t>5</w:t>
                  </w:r>
                </w:p>
              </w:tc>
            </w:tr>
            <w:tr w:rsidR="007544CA" w:rsidRPr="007E34F5" w:rsidTr="00133508">
              <w:tc>
                <w:tcPr>
                  <w:tcW w:w="1992" w:type="pct"/>
                  <w:tcBorders>
                    <w:top w:val="single" w:sz="6" w:space="0" w:color="BFBFBF"/>
                  </w:tcBorders>
                  <w:vAlign w:val="bottom"/>
                </w:tcPr>
                <w:p w:rsidR="007544CA" w:rsidRPr="007E34F5" w:rsidRDefault="007544CA" w:rsidP="00133508">
                  <w:pPr>
                    <w:rPr>
                      <w:rFonts w:ascii="Arial" w:hAnsi="Arial" w:cs="Arial"/>
                      <w:b/>
                      <w:bCs/>
                      <w:sz w:val="18"/>
                      <w:szCs w:val="18"/>
                    </w:rPr>
                  </w:pPr>
                  <w:r w:rsidRPr="007E34F5">
                    <w:rPr>
                      <w:rFonts w:ascii="Arial" w:hAnsi="Arial" w:cs="Arial"/>
                      <w:b/>
                      <w:bCs/>
                      <w:sz w:val="18"/>
                      <w:szCs w:val="18"/>
                    </w:rPr>
                    <w:t>Primary production</w:t>
                  </w:r>
                </w:p>
              </w:tc>
              <w:tc>
                <w:tcPr>
                  <w:tcW w:w="501" w:type="pct"/>
                  <w:tcBorders>
                    <w:top w:val="single" w:sz="6" w:space="0" w:color="BFBFBF"/>
                  </w:tcBorders>
                  <w:vAlign w:val="bottom"/>
                </w:tcPr>
                <w:p w:rsidR="007544CA" w:rsidRPr="00F66B61" w:rsidRDefault="007544CA" w:rsidP="00133508">
                  <w:pPr>
                    <w:pStyle w:val="TableBodyText"/>
                    <w:spacing w:after="0"/>
                    <w:ind w:left="0" w:right="57"/>
                    <w:rPr>
                      <w:b/>
                      <w:szCs w:val="18"/>
                    </w:rPr>
                  </w:pPr>
                  <w:r>
                    <w:rPr>
                      <w:b/>
                      <w:szCs w:val="18"/>
                    </w:rPr>
                    <w:noBreakHyphen/>
                  </w:r>
                  <w:r w:rsidRPr="00F66B61">
                    <w:rPr>
                      <w:b/>
                      <w:szCs w:val="18"/>
                    </w:rPr>
                    <w:t>72.5</w:t>
                  </w:r>
                </w:p>
              </w:tc>
              <w:tc>
                <w:tcPr>
                  <w:tcW w:w="501" w:type="pct"/>
                  <w:tcBorders>
                    <w:top w:val="single" w:sz="6" w:space="0" w:color="BFBFBF"/>
                  </w:tcBorders>
                  <w:vAlign w:val="bottom"/>
                </w:tcPr>
                <w:p w:rsidR="007544CA" w:rsidRPr="00F66B61" w:rsidRDefault="007544CA" w:rsidP="00133508">
                  <w:pPr>
                    <w:pStyle w:val="TableBodyText"/>
                    <w:spacing w:after="0"/>
                    <w:ind w:left="0" w:right="57"/>
                    <w:rPr>
                      <w:b/>
                      <w:szCs w:val="18"/>
                    </w:rPr>
                  </w:pPr>
                  <w:r>
                    <w:rPr>
                      <w:b/>
                      <w:szCs w:val="18"/>
                    </w:rPr>
                    <w:noBreakHyphen/>
                  </w:r>
                  <w:r w:rsidRPr="00F66B61">
                    <w:rPr>
                      <w:b/>
                      <w:szCs w:val="18"/>
                    </w:rPr>
                    <w:t>77.0</w:t>
                  </w:r>
                </w:p>
              </w:tc>
              <w:tc>
                <w:tcPr>
                  <w:tcW w:w="501" w:type="pct"/>
                  <w:tcBorders>
                    <w:top w:val="single" w:sz="6" w:space="0" w:color="BFBFBF"/>
                  </w:tcBorders>
                  <w:vAlign w:val="bottom"/>
                </w:tcPr>
                <w:p w:rsidR="007544CA" w:rsidRPr="00F66B61" w:rsidRDefault="007544CA" w:rsidP="00133508">
                  <w:pPr>
                    <w:pStyle w:val="TableBodyText"/>
                    <w:spacing w:after="0"/>
                    <w:ind w:left="0" w:right="57"/>
                    <w:rPr>
                      <w:b/>
                      <w:szCs w:val="18"/>
                    </w:rPr>
                  </w:pPr>
                  <w:r>
                    <w:rPr>
                      <w:b/>
                      <w:szCs w:val="18"/>
                    </w:rPr>
                    <w:noBreakHyphen/>
                  </w:r>
                  <w:r w:rsidRPr="00F66B61">
                    <w:rPr>
                      <w:b/>
                      <w:szCs w:val="18"/>
                    </w:rPr>
                    <w:t>81.4</w:t>
                  </w:r>
                </w:p>
              </w:tc>
              <w:tc>
                <w:tcPr>
                  <w:tcW w:w="501" w:type="pct"/>
                  <w:tcBorders>
                    <w:top w:val="single" w:sz="6" w:space="0" w:color="BFBFBF"/>
                  </w:tcBorders>
                  <w:vAlign w:val="bottom"/>
                </w:tcPr>
                <w:p w:rsidR="007544CA" w:rsidRPr="00F66B61" w:rsidRDefault="007544CA" w:rsidP="00133508">
                  <w:pPr>
                    <w:pStyle w:val="TableBodyText"/>
                    <w:spacing w:after="0"/>
                    <w:ind w:left="0" w:right="57"/>
                    <w:rPr>
                      <w:b/>
                      <w:szCs w:val="18"/>
                    </w:rPr>
                  </w:pPr>
                  <w:r>
                    <w:rPr>
                      <w:b/>
                      <w:szCs w:val="18"/>
                    </w:rPr>
                    <w:noBreakHyphen/>
                  </w:r>
                  <w:r w:rsidRPr="00F66B61">
                    <w:rPr>
                      <w:b/>
                      <w:szCs w:val="18"/>
                    </w:rPr>
                    <w:t>79.6</w:t>
                  </w:r>
                </w:p>
              </w:tc>
              <w:tc>
                <w:tcPr>
                  <w:tcW w:w="501" w:type="pct"/>
                  <w:tcBorders>
                    <w:top w:val="single" w:sz="6" w:space="0" w:color="BFBFBF"/>
                  </w:tcBorders>
                  <w:vAlign w:val="bottom"/>
                </w:tcPr>
                <w:p w:rsidR="007544CA" w:rsidRPr="00F66B61" w:rsidRDefault="007544CA" w:rsidP="00133508">
                  <w:pPr>
                    <w:pStyle w:val="TableBodyText"/>
                    <w:spacing w:after="0"/>
                    <w:ind w:left="0" w:right="57"/>
                    <w:rPr>
                      <w:b/>
                      <w:szCs w:val="18"/>
                    </w:rPr>
                  </w:pPr>
                  <w:r>
                    <w:rPr>
                      <w:b/>
                      <w:szCs w:val="18"/>
                    </w:rPr>
                    <w:noBreakHyphen/>
                  </w:r>
                  <w:r w:rsidRPr="00F66B61">
                    <w:rPr>
                      <w:b/>
                      <w:szCs w:val="18"/>
                    </w:rPr>
                    <w:t>80.1</w:t>
                  </w:r>
                </w:p>
              </w:tc>
              <w:tc>
                <w:tcPr>
                  <w:tcW w:w="502" w:type="pct"/>
                  <w:tcBorders>
                    <w:top w:val="single" w:sz="6" w:space="0" w:color="BFBFBF"/>
                  </w:tcBorders>
                  <w:vAlign w:val="bottom"/>
                </w:tcPr>
                <w:p w:rsidR="007544CA" w:rsidRPr="00F66B61" w:rsidRDefault="007544CA" w:rsidP="00133508">
                  <w:pPr>
                    <w:pStyle w:val="TableBodyText"/>
                    <w:spacing w:after="0"/>
                    <w:ind w:left="0" w:right="57"/>
                    <w:rPr>
                      <w:b/>
                      <w:szCs w:val="18"/>
                    </w:rPr>
                  </w:pPr>
                  <w:r>
                    <w:rPr>
                      <w:b/>
                      <w:szCs w:val="18"/>
                    </w:rPr>
                    <w:noBreakHyphen/>
                  </w:r>
                  <w:r w:rsidRPr="00F66B61">
                    <w:rPr>
                      <w:b/>
                      <w:szCs w:val="18"/>
                    </w:rPr>
                    <w:t>84.2</w:t>
                  </w:r>
                </w:p>
              </w:tc>
            </w:tr>
            <w:tr w:rsidR="007544CA" w:rsidTr="00133508">
              <w:tc>
                <w:tcPr>
                  <w:tcW w:w="1992" w:type="pct"/>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Horticulture and fruit growing</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9.9</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10.2</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10.1</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10.1</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8.8</w:t>
                  </w:r>
                </w:p>
              </w:tc>
              <w:tc>
                <w:tcPr>
                  <w:tcW w:w="502"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7.9</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Sheep, beef cattle and grain farming</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12.5</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14.7</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16.3</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18.4</w:t>
                  </w:r>
                </w:p>
              </w:tc>
              <w:tc>
                <w:tcPr>
                  <w:tcW w:w="501"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19.0</w:t>
                  </w:r>
                </w:p>
              </w:tc>
              <w:tc>
                <w:tcPr>
                  <w:tcW w:w="502"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20.3</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Other crop growing</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4.5</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4.7</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4.8</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5.0</w:t>
                  </w:r>
                </w:p>
              </w:tc>
              <w:tc>
                <w:tcPr>
                  <w:tcW w:w="501"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5.0</w:t>
                  </w:r>
                </w:p>
              </w:tc>
              <w:tc>
                <w:tcPr>
                  <w:tcW w:w="502"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5.2</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Dairy cattle farming</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1.8</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2.0</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2.2</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2.4</w:t>
                  </w:r>
                </w:p>
              </w:tc>
              <w:tc>
                <w:tcPr>
                  <w:tcW w:w="501"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3.0</w:t>
                  </w:r>
                </w:p>
              </w:tc>
              <w:tc>
                <w:tcPr>
                  <w:tcW w:w="502"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3.8</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Other livestock farming</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3.5</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3.7</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3.7</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3.7</w:t>
                  </w:r>
                </w:p>
              </w:tc>
              <w:tc>
                <w:tcPr>
                  <w:tcW w:w="501"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4.0</w:t>
                  </w:r>
                </w:p>
              </w:tc>
              <w:tc>
                <w:tcPr>
                  <w:tcW w:w="502"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4.3</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Aquaculture and fishing</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13.6</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14.5</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15.5</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18.5</w:t>
                  </w:r>
                </w:p>
              </w:tc>
              <w:tc>
                <w:tcPr>
                  <w:tcW w:w="501"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18.7</w:t>
                  </w:r>
                </w:p>
              </w:tc>
              <w:tc>
                <w:tcPr>
                  <w:tcW w:w="502"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19.8</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Forestry and logging</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12.0</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11.4</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12.3</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12.1</w:t>
                  </w:r>
                </w:p>
              </w:tc>
              <w:tc>
                <w:tcPr>
                  <w:tcW w:w="501"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12.2</w:t>
                  </w:r>
                </w:p>
              </w:tc>
              <w:tc>
                <w:tcPr>
                  <w:tcW w:w="502"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13.0</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Primary production support services</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14.7</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15.7</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16.5</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9.4</w:t>
                  </w:r>
                </w:p>
              </w:tc>
              <w:tc>
                <w:tcPr>
                  <w:tcW w:w="501"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9.4</w:t>
                  </w:r>
                </w:p>
              </w:tc>
              <w:tc>
                <w:tcPr>
                  <w:tcW w:w="502"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9.8</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Unallocated primary production</w:t>
                  </w:r>
                  <w:r w:rsidRPr="008405D4">
                    <w:rPr>
                      <w:rStyle w:val="NoteLabel"/>
                    </w:rPr>
                    <w:t>b</w:t>
                  </w:r>
                </w:p>
              </w:tc>
              <w:tc>
                <w:tcPr>
                  <w:tcW w:w="501" w:type="pct"/>
                  <w:vAlign w:val="bottom"/>
                </w:tcPr>
                <w:p w:rsidR="007544CA" w:rsidRPr="007E34F5" w:rsidRDefault="007544CA" w:rsidP="00133508">
                  <w:pPr>
                    <w:pStyle w:val="TableBodyText"/>
                    <w:spacing w:after="0"/>
                    <w:ind w:left="0" w:right="57"/>
                  </w:pPr>
                  <w:r w:rsidRPr="007E34F5">
                    <w:t xml:space="preserve">– </w:t>
                  </w:r>
                </w:p>
              </w:tc>
              <w:tc>
                <w:tcPr>
                  <w:tcW w:w="501" w:type="pct"/>
                  <w:vAlign w:val="bottom"/>
                </w:tcPr>
                <w:p w:rsidR="007544CA" w:rsidRPr="007E34F5" w:rsidRDefault="007544CA" w:rsidP="00133508">
                  <w:pPr>
                    <w:pStyle w:val="TableBodyText"/>
                    <w:spacing w:after="0"/>
                    <w:ind w:left="0" w:right="57"/>
                  </w:pPr>
                  <w:r w:rsidRPr="007E34F5">
                    <w:t xml:space="preserve">– </w:t>
                  </w:r>
                </w:p>
              </w:tc>
              <w:tc>
                <w:tcPr>
                  <w:tcW w:w="501" w:type="pct"/>
                  <w:vAlign w:val="bottom"/>
                </w:tcPr>
                <w:p w:rsidR="007544CA" w:rsidRPr="007E34F5" w:rsidRDefault="007544CA" w:rsidP="00133508">
                  <w:pPr>
                    <w:pStyle w:val="TableBodyText"/>
                    <w:spacing w:after="0"/>
                    <w:ind w:left="0" w:right="57"/>
                  </w:pPr>
                  <w:r w:rsidRPr="007E34F5">
                    <w:t xml:space="preserve">– </w:t>
                  </w:r>
                </w:p>
              </w:tc>
              <w:tc>
                <w:tcPr>
                  <w:tcW w:w="501" w:type="pct"/>
                  <w:vAlign w:val="bottom"/>
                </w:tcPr>
                <w:p w:rsidR="007544CA" w:rsidRPr="007E34F5" w:rsidRDefault="007544CA" w:rsidP="00133508">
                  <w:pPr>
                    <w:pStyle w:val="TableBodyText"/>
                    <w:spacing w:after="0"/>
                    <w:ind w:left="0" w:right="57"/>
                  </w:pPr>
                  <w:r w:rsidRPr="007E34F5">
                    <w:t xml:space="preserve">– </w:t>
                  </w:r>
                </w:p>
              </w:tc>
              <w:tc>
                <w:tcPr>
                  <w:tcW w:w="501" w:type="pct"/>
                  <w:shd w:val="clear" w:color="auto" w:fill="auto"/>
                  <w:vAlign w:val="bottom"/>
                </w:tcPr>
                <w:p w:rsidR="007544CA" w:rsidRPr="007E34F5" w:rsidRDefault="007544CA" w:rsidP="00133508">
                  <w:pPr>
                    <w:pStyle w:val="TableBodyText"/>
                    <w:spacing w:after="0"/>
                    <w:ind w:left="0" w:right="57"/>
                  </w:pPr>
                  <w:r w:rsidRPr="007E34F5">
                    <w:t xml:space="preserve">– </w:t>
                  </w:r>
                </w:p>
              </w:tc>
              <w:tc>
                <w:tcPr>
                  <w:tcW w:w="502" w:type="pct"/>
                  <w:shd w:val="clear" w:color="auto" w:fill="auto"/>
                  <w:vAlign w:val="bottom"/>
                </w:tcPr>
                <w:p w:rsidR="007544CA" w:rsidRPr="007E34F5" w:rsidRDefault="007544CA" w:rsidP="00133508">
                  <w:pPr>
                    <w:pStyle w:val="TableBodyText"/>
                    <w:spacing w:after="0"/>
                    <w:ind w:left="0" w:right="57"/>
                  </w:pPr>
                  <w:r w:rsidRPr="007E34F5">
                    <w:t xml:space="preserve">– </w:t>
                  </w:r>
                </w:p>
              </w:tc>
            </w:tr>
            <w:tr w:rsidR="007544CA" w:rsidRPr="007E34F5" w:rsidTr="00133508">
              <w:tc>
                <w:tcPr>
                  <w:tcW w:w="1992" w:type="pct"/>
                  <w:shd w:val="clear" w:color="auto" w:fill="auto"/>
                  <w:vAlign w:val="bottom"/>
                </w:tcPr>
                <w:p w:rsidR="007544CA" w:rsidRPr="007E34F5" w:rsidRDefault="007544CA" w:rsidP="00133508">
                  <w:pPr>
                    <w:rPr>
                      <w:rFonts w:ascii="Arial" w:hAnsi="Arial" w:cs="Arial"/>
                      <w:b/>
                      <w:bCs/>
                      <w:sz w:val="18"/>
                      <w:szCs w:val="18"/>
                    </w:rPr>
                  </w:pPr>
                  <w:r w:rsidRPr="007E34F5">
                    <w:rPr>
                      <w:rFonts w:ascii="Arial" w:hAnsi="Arial" w:cs="Arial"/>
                      <w:b/>
                      <w:bCs/>
                      <w:sz w:val="18"/>
                      <w:szCs w:val="18"/>
                    </w:rPr>
                    <w:t>Mining</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b/>
                      <w:szCs w:val="18"/>
                    </w:rPr>
                  </w:pPr>
                  <w:r>
                    <w:rPr>
                      <w:rFonts w:asciiTheme="minorHAnsi" w:hAnsiTheme="minorHAnsi" w:cstheme="minorHAnsi"/>
                      <w:b/>
                      <w:szCs w:val="18"/>
                    </w:rPr>
                    <w:noBreakHyphen/>
                  </w:r>
                  <w:r w:rsidRPr="00F66B61">
                    <w:rPr>
                      <w:rFonts w:asciiTheme="minorHAnsi" w:hAnsiTheme="minorHAnsi" w:cstheme="minorHAnsi"/>
                      <w:b/>
                      <w:szCs w:val="18"/>
                    </w:rPr>
                    <w:t>188.0</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b/>
                      <w:szCs w:val="18"/>
                    </w:rPr>
                  </w:pPr>
                  <w:r>
                    <w:rPr>
                      <w:rFonts w:asciiTheme="minorHAnsi" w:hAnsiTheme="minorHAnsi" w:cstheme="minorHAnsi"/>
                      <w:b/>
                      <w:szCs w:val="18"/>
                    </w:rPr>
                    <w:noBreakHyphen/>
                  </w:r>
                  <w:r w:rsidRPr="00F66B61">
                    <w:rPr>
                      <w:rFonts w:asciiTheme="minorHAnsi" w:hAnsiTheme="minorHAnsi" w:cstheme="minorHAnsi"/>
                      <w:b/>
                      <w:szCs w:val="18"/>
                    </w:rPr>
                    <w:t>185.4</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b/>
                      <w:szCs w:val="18"/>
                    </w:rPr>
                  </w:pPr>
                  <w:r>
                    <w:rPr>
                      <w:rFonts w:asciiTheme="minorHAnsi" w:hAnsiTheme="minorHAnsi" w:cstheme="minorHAnsi"/>
                      <w:b/>
                      <w:szCs w:val="18"/>
                    </w:rPr>
                    <w:noBreakHyphen/>
                  </w:r>
                  <w:r w:rsidRPr="00F66B61">
                    <w:rPr>
                      <w:rFonts w:asciiTheme="minorHAnsi" w:hAnsiTheme="minorHAnsi" w:cstheme="minorHAnsi"/>
                      <w:b/>
                      <w:szCs w:val="18"/>
                    </w:rPr>
                    <w:t>199.4</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b/>
                      <w:szCs w:val="18"/>
                    </w:rPr>
                  </w:pPr>
                  <w:r>
                    <w:rPr>
                      <w:rFonts w:asciiTheme="minorHAnsi" w:hAnsiTheme="minorHAnsi" w:cstheme="minorHAnsi"/>
                      <w:b/>
                      <w:szCs w:val="18"/>
                    </w:rPr>
                    <w:noBreakHyphen/>
                  </w:r>
                  <w:r w:rsidRPr="00F66B61">
                    <w:rPr>
                      <w:rFonts w:asciiTheme="minorHAnsi" w:hAnsiTheme="minorHAnsi" w:cstheme="minorHAnsi"/>
                      <w:b/>
                      <w:szCs w:val="18"/>
                    </w:rPr>
                    <w:t>216.9</w:t>
                  </w:r>
                </w:p>
              </w:tc>
              <w:tc>
                <w:tcPr>
                  <w:tcW w:w="501"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b/>
                      <w:szCs w:val="18"/>
                    </w:rPr>
                  </w:pPr>
                  <w:r>
                    <w:rPr>
                      <w:rFonts w:asciiTheme="minorHAnsi" w:hAnsiTheme="minorHAnsi" w:cstheme="minorHAnsi"/>
                      <w:b/>
                      <w:szCs w:val="18"/>
                    </w:rPr>
                    <w:noBreakHyphen/>
                  </w:r>
                  <w:r w:rsidRPr="00F66B61">
                    <w:rPr>
                      <w:rFonts w:asciiTheme="minorHAnsi" w:hAnsiTheme="minorHAnsi" w:cstheme="minorHAnsi"/>
                      <w:b/>
                      <w:szCs w:val="18"/>
                    </w:rPr>
                    <w:t>237.6</w:t>
                  </w:r>
                </w:p>
              </w:tc>
              <w:tc>
                <w:tcPr>
                  <w:tcW w:w="502"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b/>
                      <w:szCs w:val="18"/>
                    </w:rPr>
                  </w:pPr>
                  <w:r>
                    <w:rPr>
                      <w:rFonts w:asciiTheme="minorHAnsi" w:hAnsiTheme="minorHAnsi" w:cstheme="minorHAnsi"/>
                      <w:b/>
                      <w:szCs w:val="18"/>
                    </w:rPr>
                    <w:noBreakHyphen/>
                  </w:r>
                  <w:r w:rsidRPr="00F66B61">
                    <w:rPr>
                      <w:rFonts w:asciiTheme="minorHAnsi" w:hAnsiTheme="minorHAnsi" w:cstheme="minorHAnsi"/>
                      <w:b/>
                      <w:szCs w:val="18"/>
                    </w:rPr>
                    <w:t>254.0</w:t>
                  </w:r>
                </w:p>
              </w:tc>
            </w:tr>
            <w:tr w:rsidR="007544CA" w:rsidRPr="007E34F5" w:rsidTr="00133508">
              <w:tc>
                <w:tcPr>
                  <w:tcW w:w="1992" w:type="pct"/>
                  <w:shd w:val="clear" w:color="auto" w:fill="auto"/>
                  <w:vAlign w:val="bottom"/>
                </w:tcPr>
                <w:p w:rsidR="007544CA" w:rsidRPr="007E34F5" w:rsidRDefault="007544CA" w:rsidP="00133508">
                  <w:pPr>
                    <w:rPr>
                      <w:rFonts w:ascii="Arial" w:hAnsi="Arial" w:cs="Arial"/>
                      <w:b/>
                      <w:bCs/>
                      <w:sz w:val="18"/>
                      <w:szCs w:val="18"/>
                    </w:rPr>
                  </w:pPr>
                  <w:r w:rsidRPr="007E34F5">
                    <w:rPr>
                      <w:rFonts w:ascii="Arial" w:hAnsi="Arial" w:cs="Arial"/>
                      <w:b/>
                      <w:bCs/>
                      <w:sz w:val="18"/>
                      <w:szCs w:val="18"/>
                    </w:rPr>
                    <w:t>Manufacturing</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b/>
                      <w:szCs w:val="18"/>
                    </w:rPr>
                  </w:pPr>
                  <w:r>
                    <w:rPr>
                      <w:rFonts w:asciiTheme="minorHAnsi" w:hAnsiTheme="minorHAnsi" w:cstheme="minorHAnsi"/>
                      <w:b/>
                      <w:szCs w:val="18"/>
                    </w:rPr>
                    <w:noBreakHyphen/>
                  </w:r>
                  <w:r w:rsidRPr="00F66B61">
                    <w:rPr>
                      <w:rFonts w:asciiTheme="minorHAnsi" w:hAnsiTheme="minorHAnsi" w:cstheme="minorHAnsi"/>
                      <w:b/>
                      <w:szCs w:val="18"/>
                    </w:rPr>
                    <w:t>2209.3</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b/>
                      <w:szCs w:val="18"/>
                    </w:rPr>
                  </w:pPr>
                  <w:r>
                    <w:rPr>
                      <w:rFonts w:asciiTheme="minorHAnsi" w:hAnsiTheme="minorHAnsi" w:cstheme="minorHAnsi"/>
                      <w:b/>
                      <w:szCs w:val="18"/>
                    </w:rPr>
                    <w:noBreakHyphen/>
                  </w:r>
                  <w:r w:rsidRPr="00F66B61">
                    <w:rPr>
                      <w:rFonts w:asciiTheme="minorHAnsi" w:hAnsiTheme="minorHAnsi" w:cstheme="minorHAnsi"/>
                      <w:b/>
                      <w:szCs w:val="18"/>
                    </w:rPr>
                    <w:t>2123.8</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b/>
                      <w:szCs w:val="18"/>
                    </w:rPr>
                  </w:pPr>
                  <w:r>
                    <w:rPr>
                      <w:rFonts w:asciiTheme="minorHAnsi" w:hAnsiTheme="minorHAnsi" w:cstheme="minorHAnsi"/>
                      <w:b/>
                      <w:szCs w:val="18"/>
                    </w:rPr>
                    <w:noBreakHyphen/>
                  </w:r>
                  <w:r w:rsidRPr="00F66B61">
                    <w:rPr>
                      <w:rFonts w:asciiTheme="minorHAnsi" w:hAnsiTheme="minorHAnsi" w:cstheme="minorHAnsi"/>
                      <w:b/>
                      <w:szCs w:val="18"/>
                    </w:rPr>
                    <w:t>2165.2</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b/>
                      <w:szCs w:val="18"/>
                    </w:rPr>
                  </w:pPr>
                  <w:r>
                    <w:rPr>
                      <w:rFonts w:asciiTheme="minorHAnsi" w:hAnsiTheme="minorHAnsi" w:cstheme="minorHAnsi"/>
                      <w:b/>
                      <w:szCs w:val="18"/>
                    </w:rPr>
                    <w:noBreakHyphen/>
                  </w:r>
                  <w:r w:rsidRPr="00F66B61">
                    <w:rPr>
                      <w:rFonts w:asciiTheme="minorHAnsi" w:hAnsiTheme="minorHAnsi" w:cstheme="minorHAnsi"/>
                      <w:b/>
                      <w:szCs w:val="18"/>
                    </w:rPr>
                    <w:t>2071.8</w:t>
                  </w:r>
                </w:p>
              </w:tc>
              <w:tc>
                <w:tcPr>
                  <w:tcW w:w="501"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b/>
                      <w:szCs w:val="18"/>
                    </w:rPr>
                  </w:pPr>
                  <w:r>
                    <w:rPr>
                      <w:rFonts w:asciiTheme="minorHAnsi" w:hAnsiTheme="minorHAnsi" w:cstheme="minorHAnsi"/>
                      <w:b/>
                      <w:szCs w:val="18"/>
                    </w:rPr>
                    <w:noBreakHyphen/>
                  </w:r>
                  <w:r w:rsidRPr="00F66B61">
                    <w:rPr>
                      <w:rFonts w:asciiTheme="minorHAnsi" w:hAnsiTheme="minorHAnsi" w:cstheme="minorHAnsi"/>
                      <w:b/>
                      <w:szCs w:val="18"/>
                    </w:rPr>
                    <w:t>2070.3</w:t>
                  </w:r>
                </w:p>
              </w:tc>
              <w:tc>
                <w:tcPr>
                  <w:tcW w:w="502"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b/>
                      <w:szCs w:val="18"/>
                    </w:rPr>
                  </w:pPr>
                  <w:r>
                    <w:rPr>
                      <w:rFonts w:asciiTheme="minorHAnsi" w:hAnsiTheme="minorHAnsi" w:cstheme="minorHAnsi"/>
                      <w:b/>
                      <w:szCs w:val="18"/>
                    </w:rPr>
                    <w:noBreakHyphen/>
                  </w:r>
                  <w:r w:rsidRPr="00F66B61">
                    <w:rPr>
                      <w:rFonts w:asciiTheme="minorHAnsi" w:hAnsiTheme="minorHAnsi" w:cstheme="minorHAnsi"/>
                      <w:b/>
                      <w:szCs w:val="18"/>
                    </w:rPr>
                    <w:t>2061.4</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Food, beverages and tobacco</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497.7</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498.6</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512.6</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517.5</w:t>
                  </w:r>
                </w:p>
              </w:tc>
              <w:tc>
                <w:tcPr>
                  <w:tcW w:w="501"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525.4</w:t>
                  </w:r>
                </w:p>
              </w:tc>
              <w:tc>
                <w:tcPr>
                  <w:tcW w:w="502"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531.6</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Textile</w:t>
                  </w:r>
                  <w:r>
                    <w:rPr>
                      <w:rFonts w:ascii="Arial" w:hAnsi="Arial" w:cs="Arial"/>
                      <w:sz w:val="18"/>
                      <w:szCs w:val="18"/>
                    </w:rPr>
                    <w:t>s</w:t>
                  </w:r>
                  <w:r w:rsidRPr="007D1111">
                    <w:rPr>
                      <w:rFonts w:ascii="Arial" w:hAnsi="Arial" w:cs="Arial"/>
                      <w:sz w:val="18"/>
                      <w:szCs w:val="18"/>
                    </w:rPr>
                    <w:t>, leather, clothing and footwear</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88.5</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66.7</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64.3</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63.1</w:t>
                  </w:r>
                </w:p>
              </w:tc>
              <w:tc>
                <w:tcPr>
                  <w:tcW w:w="501"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66.0</w:t>
                  </w:r>
                </w:p>
              </w:tc>
              <w:tc>
                <w:tcPr>
                  <w:tcW w:w="502"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58.1</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Wood and paper products</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150.0</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141.2</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130.0</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128.9</w:t>
                  </w:r>
                </w:p>
              </w:tc>
              <w:tc>
                <w:tcPr>
                  <w:tcW w:w="501"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133.1</w:t>
                  </w:r>
                </w:p>
              </w:tc>
              <w:tc>
                <w:tcPr>
                  <w:tcW w:w="502"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142.3</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Printing and recorded media</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37.7</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37.3</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33.6</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33.0</w:t>
                  </w:r>
                </w:p>
              </w:tc>
              <w:tc>
                <w:tcPr>
                  <w:tcW w:w="501"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31.6</w:t>
                  </w:r>
                </w:p>
              </w:tc>
              <w:tc>
                <w:tcPr>
                  <w:tcW w:w="502"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30.2</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Petroleum, coal, chemical and rubber</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301.0</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300.1</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306.9</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287.7</w:t>
                  </w:r>
                </w:p>
              </w:tc>
              <w:tc>
                <w:tcPr>
                  <w:tcW w:w="501"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288.3</w:t>
                  </w:r>
                </w:p>
              </w:tc>
              <w:tc>
                <w:tcPr>
                  <w:tcW w:w="502"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286.8</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Non</w:t>
                  </w:r>
                  <w:r>
                    <w:rPr>
                      <w:rFonts w:ascii="Arial" w:hAnsi="Arial" w:cs="Arial"/>
                      <w:sz w:val="18"/>
                      <w:szCs w:val="18"/>
                    </w:rPr>
                    <w:noBreakHyphen/>
                  </w:r>
                  <w:r w:rsidRPr="007D1111">
                    <w:rPr>
                      <w:rFonts w:ascii="Arial" w:hAnsi="Arial" w:cs="Arial"/>
                      <w:sz w:val="18"/>
                      <w:szCs w:val="18"/>
                    </w:rPr>
                    <w:t>metallic mineral products</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48.0</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46.6</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44.4</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42.1</w:t>
                  </w:r>
                </w:p>
              </w:tc>
              <w:tc>
                <w:tcPr>
                  <w:tcW w:w="501"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43.1</w:t>
                  </w:r>
                </w:p>
              </w:tc>
              <w:tc>
                <w:tcPr>
                  <w:tcW w:w="502"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47.5</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Metal and fabricated metal products</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418.5</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434.5</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445.6</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404.2</w:t>
                  </w:r>
                </w:p>
              </w:tc>
              <w:tc>
                <w:tcPr>
                  <w:tcW w:w="501"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419.2</w:t>
                  </w:r>
                </w:p>
              </w:tc>
              <w:tc>
                <w:tcPr>
                  <w:tcW w:w="502"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413.3</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Motor vehicle</w:t>
                  </w:r>
                  <w:r>
                    <w:rPr>
                      <w:rFonts w:ascii="Arial" w:hAnsi="Arial" w:cs="Arial"/>
                      <w:sz w:val="18"/>
                      <w:szCs w:val="18"/>
                    </w:rPr>
                    <w:t>s</w:t>
                  </w:r>
                  <w:r w:rsidRPr="007D1111">
                    <w:rPr>
                      <w:rFonts w:ascii="Arial" w:hAnsi="Arial" w:cs="Arial"/>
                      <w:sz w:val="18"/>
                      <w:szCs w:val="18"/>
                    </w:rPr>
                    <w:t xml:space="preserve"> and parts</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353.7</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298.7</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313.2</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297.0</w:t>
                  </w:r>
                </w:p>
              </w:tc>
              <w:tc>
                <w:tcPr>
                  <w:tcW w:w="501"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281.2</w:t>
                  </w:r>
                </w:p>
              </w:tc>
              <w:tc>
                <w:tcPr>
                  <w:tcW w:w="502"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275.5</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Other transport equipment</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69.8</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66.9</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70.2</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66.5</w:t>
                  </w:r>
                </w:p>
              </w:tc>
              <w:tc>
                <w:tcPr>
                  <w:tcW w:w="501"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63.0</w:t>
                  </w:r>
                </w:p>
              </w:tc>
              <w:tc>
                <w:tcPr>
                  <w:tcW w:w="502"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61.6</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Machinery &amp; equipment manufacturing</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191.9</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183.7</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192.6</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182.7</w:t>
                  </w:r>
                </w:p>
              </w:tc>
              <w:tc>
                <w:tcPr>
                  <w:tcW w:w="501"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172.9</w:t>
                  </w:r>
                </w:p>
              </w:tc>
              <w:tc>
                <w:tcPr>
                  <w:tcW w:w="502"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169.2</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Furniture and other manufacturing</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52.5</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49.4</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51.8</w:t>
                  </w:r>
                </w:p>
              </w:tc>
              <w:tc>
                <w:tcPr>
                  <w:tcW w:w="501" w:type="pct"/>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49.2</w:t>
                  </w:r>
                </w:p>
              </w:tc>
              <w:tc>
                <w:tcPr>
                  <w:tcW w:w="501"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46.5</w:t>
                  </w:r>
                </w:p>
              </w:tc>
              <w:tc>
                <w:tcPr>
                  <w:tcW w:w="502" w:type="pct"/>
                  <w:shd w:val="clear" w:color="auto" w:fill="auto"/>
                  <w:vAlign w:val="bottom"/>
                </w:tcPr>
                <w:p w:rsidR="007544CA" w:rsidRPr="00F66B61" w:rsidRDefault="007544CA" w:rsidP="00133508">
                  <w:pPr>
                    <w:pStyle w:val="TableBodyText"/>
                    <w:spacing w:after="0"/>
                    <w:ind w:left="0" w:right="57"/>
                    <w:rPr>
                      <w:rFonts w:asciiTheme="minorHAnsi" w:hAnsiTheme="minorHAnsi" w:cstheme="minorHAnsi"/>
                      <w:szCs w:val="18"/>
                    </w:rPr>
                  </w:pPr>
                  <w:r>
                    <w:rPr>
                      <w:rFonts w:asciiTheme="minorHAnsi" w:hAnsiTheme="minorHAnsi" w:cstheme="minorHAnsi"/>
                      <w:szCs w:val="18"/>
                    </w:rPr>
                    <w:noBreakHyphen/>
                  </w:r>
                  <w:r w:rsidRPr="00F66B61">
                    <w:rPr>
                      <w:rFonts w:asciiTheme="minorHAnsi" w:hAnsiTheme="minorHAnsi" w:cstheme="minorHAnsi"/>
                      <w:szCs w:val="18"/>
                    </w:rPr>
                    <w:t>45.2</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Unallocated manufacturing</w:t>
                  </w:r>
                  <w:r w:rsidRPr="008405D4">
                    <w:rPr>
                      <w:rStyle w:val="NoteLabel"/>
                    </w:rPr>
                    <w:t>b</w:t>
                  </w:r>
                </w:p>
              </w:tc>
              <w:tc>
                <w:tcPr>
                  <w:tcW w:w="501" w:type="pct"/>
                  <w:vAlign w:val="bottom"/>
                </w:tcPr>
                <w:p w:rsidR="007544CA" w:rsidRPr="007E34F5" w:rsidRDefault="007544CA" w:rsidP="00133508">
                  <w:pPr>
                    <w:pStyle w:val="TableBodyText"/>
                    <w:spacing w:after="0"/>
                    <w:ind w:left="0" w:right="57"/>
                  </w:pPr>
                  <w:r w:rsidRPr="007E34F5">
                    <w:t xml:space="preserve">– </w:t>
                  </w:r>
                </w:p>
              </w:tc>
              <w:tc>
                <w:tcPr>
                  <w:tcW w:w="501" w:type="pct"/>
                  <w:vAlign w:val="bottom"/>
                </w:tcPr>
                <w:p w:rsidR="007544CA" w:rsidRPr="007E34F5" w:rsidRDefault="007544CA" w:rsidP="00133508">
                  <w:pPr>
                    <w:pStyle w:val="TableBodyText"/>
                    <w:spacing w:after="0"/>
                    <w:ind w:left="0" w:right="57"/>
                  </w:pPr>
                  <w:r w:rsidRPr="007E34F5">
                    <w:t xml:space="preserve">– </w:t>
                  </w:r>
                </w:p>
              </w:tc>
              <w:tc>
                <w:tcPr>
                  <w:tcW w:w="501" w:type="pct"/>
                  <w:vAlign w:val="bottom"/>
                </w:tcPr>
                <w:p w:rsidR="007544CA" w:rsidRPr="007E34F5" w:rsidRDefault="007544CA" w:rsidP="00133508">
                  <w:pPr>
                    <w:pStyle w:val="TableBodyText"/>
                    <w:spacing w:after="0"/>
                    <w:ind w:left="0" w:right="57"/>
                  </w:pPr>
                  <w:r w:rsidRPr="007E34F5">
                    <w:t xml:space="preserve">– </w:t>
                  </w:r>
                </w:p>
              </w:tc>
              <w:tc>
                <w:tcPr>
                  <w:tcW w:w="501" w:type="pct"/>
                  <w:vAlign w:val="bottom"/>
                </w:tcPr>
                <w:p w:rsidR="007544CA" w:rsidRPr="007E34F5" w:rsidRDefault="007544CA" w:rsidP="00133508">
                  <w:pPr>
                    <w:pStyle w:val="TableBodyText"/>
                    <w:spacing w:after="0"/>
                    <w:ind w:left="0" w:right="57"/>
                  </w:pPr>
                  <w:r w:rsidRPr="007E34F5">
                    <w:t xml:space="preserve">– </w:t>
                  </w:r>
                </w:p>
              </w:tc>
              <w:tc>
                <w:tcPr>
                  <w:tcW w:w="501" w:type="pct"/>
                  <w:shd w:val="clear" w:color="auto" w:fill="auto"/>
                  <w:vAlign w:val="bottom"/>
                </w:tcPr>
                <w:p w:rsidR="007544CA" w:rsidRPr="007E34F5" w:rsidRDefault="007544CA" w:rsidP="00133508">
                  <w:pPr>
                    <w:pStyle w:val="TableBodyText"/>
                    <w:spacing w:after="0"/>
                    <w:ind w:left="0" w:right="57"/>
                  </w:pPr>
                  <w:r w:rsidRPr="007E34F5">
                    <w:t xml:space="preserve">– </w:t>
                  </w:r>
                </w:p>
              </w:tc>
              <w:tc>
                <w:tcPr>
                  <w:tcW w:w="502" w:type="pct"/>
                  <w:shd w:val="clear" w:color="auto" w:fill="auto"/>
                  <w:vAlign w:val="bottom"/>
                </w:tcPr>
                <w:p w:rsidR="007544CA" w:rsidRPr="007E34F5" w:rsidRDefault="007544CA" w:rsidP="00133508">
                  <w:pPr>
                    <w:pStyle w:val="TableBodyText"/>
                    <w:spacing w:after="0"/>
                    <w:ind w:left="0" w:right="57"/>
                  </w:pPr>
                  <w:r w:rsidRPr="007E34F5">
                    <w:t xml:space="preserve">– </w:t>
                  </w:r>
                </w:p>
              </w:tc>
            </w:tr>
            <w:tr w:rsidR="007544CA" w:rsidRPr="007E34F5" w:rsidTr="00133508">
              <w:tc>
                <w:tcPr>
                  <w:tcW w:w="1992" w:type="pct"/>
                  <w:shd w:val="clear" w:color="auto" w:fill="auto"/>
                  <w:vAlign w:val="bottom"/>
                </w:tcPr>
                <w:p w:rsidR="007544CA" w:rsidRPr="007E34F5" w:rsidRDefault="007544CA" w:rsidP="00133508">
                  <w:pPr>
                    <w:rPr>
                      <w:rFonts w:ascii="Arial" w:hAnsi="Arial" w:cs="Arial"/>
                      <w:b/>
                      <w:bCs/>
                      <w:sz w:val="18"/>
                      <w:szCs w:val="18"/>
                    </w:rPr>
                  </w:pPr>
                  <w:r w:rsidRPr="007E34F5">
                    <w:rPr>
                      <w:rFonts w:ascii="Arial" w:hAnsi="Arial" w:cs="Arial"/>
                      <w:b/>
                      <w:bCs/>
                      <w:sz w:val="18"/>
                      <w:szCs w:val="18"/>
                    </w:rPr>
                    <w:t>Services</w:t>
                  </w:r>
                </w:p>
              </w:tc>
              <w:tc>
                <w:tcPr>
                  <w:tcW w:w="501" w:type="pct"/>
                  <w:vAlign w:val="bottom"/>
                </w:tcPr>
                <w:p w:rsidR="007544CA" w:rsidRPr="00F66B61" w:rsidRDefault="007544CA" w:rsidP="00133508">
                  <w:pPr>
                    <w:pStyle w:val="TableBodyText"/>
                    <w:spacing w:after="0"/>
                    <w:ind w:left="0" w:right="57"/>
                    <w:rPr>
                      <w:b/>
                      <w:szCs w:val="18"/>
                    </w:rPr>
                  </w:pPr>
                  <w:r>
                    <w:rPr>
                      <w:b/>
                      <w:szCs w:val="18"/>
                    </w:rPr>
                    <w:noBreakHyphen/>
                  </w:r>
                  <w:r w:rsidRPr="00F66B61">
                    <w:rPr>
                      <w:b/>
                      <w:szCs w:val="18"/>
                    </w:rPr>
                    <w:t>4195.2</w:t>
                  </w:r>
                </w:p>
              </w:tc>
              <w:tc>
                <w:tcPr>
                  <w:tcW w:w="501" w:type="pct"/>
                  <w:vAlign w:val="bottom"/>
                </w:tcPr>
                <w:p w:rsidR="007544CA" w:rsidRPr="00F66B61" w:rsidRDefault="007544CA" w:rsidP="00133508">
                  <w:pPr>
                    <w:pStyle w:val="TableBodyText"/>
                    <w:spacing w:after="0"/>
                    <w:ind w:left="0" w:right="57"/>
                    <w:rPr>
                      <w:b/>
                      <w:szCs w:val="18"/>
                    </w:rPr>
                  </w:pPr>
                  <w:r>
                    <w:rPr>
                      <w:b/>
                      <w:szCs w:val="18"/>
                    </w:rPr>
                    <w:noBreakHyphen/>
                  </w:r>
                  <w:r w:rsidRPr="00F66B61">
                    <w:rPr>
                      <w:b/>
                      <w:szCs w:val="18"/>
                    </w:rPr>
                    <w:t>4277.7</w:t>
                  </w:r>
                </w:p>
              </w:tc>
              <w:tc>
                <w:tcPr>
                  <w:tcW w:w="501" w:type="pct"/>
                  <w:vAlign w:val="bottom"/>
                </w:tcPr>
                <w:p w:rsidR="007544CA" w:rsidRPr="00F66B61" w:rsidRDefault="007544CA" w:rsidP="00133508">
                  <w:pPr>
                    <w:pStyle w:val="TableBodyText"/>
                    <w:spacing w:after="0"/>
                    <w:ind w:left="0" w:right="57"/>
                    <w:rPr>
                      <w:b/>
                      <w:szCs w:val="18"/>
                    </w:rPr>
                  </w:pPr>
                  <w:r>
                    <w:rPr>
                      <w:b/>
                      <w:szCs w:val="18"/>
                    </w:rPr>
                    <w:noBreakHyphen/>
                  </w:r>
                  <w:r w:rsidRPr="00F66B61">
                    <w:rPr>
                      <w:b/>
                      <w:szCs w:val="18"/>
                    </w:rPr>
                    <w:t>4632.5</w:t>
                  </w:r>
                </w:p>
              </w:tc>
              <w:tc>
                <w:tcPr>
                  <w:tcW w:w="501" w:type="pct"/>
                  <w:vAlign w:val="bottom"/>
                </w:tcPr>
                <w:p w:rsidR="007544CA" w:rsidRPr="00F66B61" w:rsidRDefault="007544CA" w:rsidP="00133508">
                  <w:pPr>
                    <w:pStyle w:val="TableBodyText"/>
                    <w:spacing w:after="0"/>
                    <w:ind w:left="0" w:right="57"/>
                    <w:rPr>
                      <w:b/>
                      <w:szCs w:val="18"/>
                    </w:rPr>
                  </w:pPr>
                  <w:r>
                    <w:rPr>
                      <w:b/>
                      <w:szCs w:val="18"/>
                    </w:rPr>
                    <w:noBreakHyphen/>
                  </w:r>
                  <w:r w:rsidRPr="00F66B61">
                    <w:rPr>
                      <w:b/>
                      <w:szCs w:val="18"/>
                    </w:rPr>
                    <w:t>4798.5</w:t>
                  </w:r>
                </w:p>
              </w:tc>
              <w:tc>
                <w:tcPr>
                  <w:tcW w:w="501" w:type="pct"/>
                  <w:shd w:val="clear" w:color="auto" w:fill="auto"/>
                  <w:vAlign w:val="bottom"/>
                </w:tcPr>
                <w:p w:rsidR="007544CA" w:rsidRPr="00F66B61" w:rsidRDefault="007544CA" w:rsidP="00133508">
                  <w:pPr>
                    <w:pStyle w:val="TableBodyText"/>
                    <w:spacing w:after="0"/>
                    <w:ind w:left="0" w:right="57"/>
                    <w:rPr>
                      <w:b/>
                      <w:szCs w:val="18"/>
                    </w:rPr>
                  </w:pPr>
                  <w:r>
                    <w:rPr>
                      <w:b/>
                      <w:szCs w:val="18"/>
                    </w:rPr>
                    <w:noBreakHyphen/>
                  </w:r>
                  <w:r w:rsidRPr="00F66B61">
                    <w:rPr>
                      <w:b/>
                      <w:szCs w:val="18"/>
                    </w:rPr>
                    <w:t>4941.4</w:t>
                  </w:r>
                </w:p>
              </w:tc>
              <w:tc>
                <w:tcPr>
                  <w:tcW w:w="502" w:type="pct"/>
                  <w:shd w:val="clear" w:color="auto" w:fill="auto"/>
                  <w:vAlign w:val="bottom"/>
                </w:tcPr>
                <w:p w:rsidR="007544CA" w:rsidRPr="00F66B61" w:rsidRDefault="007544CA" w:rsidP="00133508">
                  <w:pPr>
                    <w:pStyle w:val="TableBodyText"/>
                    <w:spacing w:after="0"/>
                    <w:ind w:left="0" w:right="57"/>
                    <w:rPr>
                      <w:b/>
                      <w:szCs w:val="18"/>
                    </w:rPr>
                  </w:pPr>
                  <w:r>
                    <w:rPr>
                      <w:b/>
                      <w:szCs w:val="18"/>
                    </w:rPr>
                    <w:noBreakHyphen/>
                  </w:r>
                  <w:r w:rsidRPr="00F66B61">
                    <w:rPr>
                      <w:b/>
                      <w:szCs w:val="18"/>
                    </w:rPr>
                    <w:t>5125.0</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Electricity, gas, water &amp; waste services</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71.2</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73.9</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83.7</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95.1</w:t>
                  </w:r>
                </w:p>
              </w:tc>
              <w:tc>
                <w:tcPr>
                  <w:tcW w:w="501"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94.1</w:t>
                  </w:r>
                </w:p>
              </w:tc>
              <w:tc>
                <w:tcPr>
                  <w:tcW w:w="502"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85.1</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Construction</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1429.6</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1509.8</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1662.8</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1730.0</w:t>
                  </w:r>
                </w:p>
              </w:tc>
              <w:tc>
                <w:tcPr>
                  <w:tcW w:w="501"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1810.5</w:t>
                  </w:r>
                </w:p>
              </w:tc>
              <w:tc>
                <w:tcPr>
                  <w:tcW w:w="502"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1912.9</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Wholesale trade</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248.3</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250.7</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264.1</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269.3</w:t>
                  </w:r>
                </w:p>
              </w:tc>
              <w:tc>
                <w:tcPr>
                  <w:tcW w:w="501"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269.3</w:t>
                  </w:r>
                </w:p>
              </w:tc>
              <w:tc>
                <w:tcPr>
                  <w:tcW w:w="502"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270.7</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Retail trade</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165.6</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169.8</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182.1</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185.8</w:t>
                  </w:r>
                </w:p>
              </w:tc>
              <w:tc>
                <w:tcPr>
                  <w:tcW w:w="501"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190.2</w:t>
                  </w:r>
                </w:p>
              </w:tc>
              <w:tc>
                <w:tcPr>
                  <w:tcW w:w="502"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193.7</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Accommodation &amp; food services</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469.5</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493.6</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527.3</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543.3</w:t>
                  </w:r>
                </w:p>
              </w:tc>
              <w:tc>
                <w:tcPr>
                  <w:tcW w:w="501"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544.8</w:t>
                  </w:r>
                </w:p>
              </w:tc>
              <w:tc>
                <w:tcPr>
                  <w:tcW w:w="502"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598.1</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Transport, postal &amp; warehousing</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203.2</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187.6</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205.6</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215.7</w:t>
                  </w:r>
                </w:p>
              </w:tc>
              <w:tc>
                <w:tcPr>
                  <w:tcW w:w="501"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216.2</w:t>
                  </w:r>
                </w:p>
              </w:tc>
              <w:tc>
                <w:tcPr>
                  <w:tcW w:w="502"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217.2</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Information &amp; telecommunications</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150.6</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143.6</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146.2</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146.8</w:t>
                  </w:r>
                </w:p>
              </w:tc>
              <w:tc>
                <w:tcPr>
                  <w:tcW w:w="501"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148.0</w:t>
                  </w:r>
                </w:p>
              </w:tc>
              <w:tc>
                <w:tcPr>
                  <w:tcW w:w="502"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145.6</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Financial and insurance services</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8.5</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9.0</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9.3</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9.8</w:t>
                  </w:r>
                </w:p>
              </w:tc>
              <w:tc>
                <w:tcPr>
                  <w:tcW w:w="501"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10.5</w:t>
                  </w:r>
                </w:p>
              </w:tc>
              <w:tc>
                <w:tcPr>
                  <w:tcW w:w="502"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10.9</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Property, professional &amp; admin.</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528.2</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544.0</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588.9</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618.9</w:t>
                  </w:r>
                </w:p>
              </w:tc>
              <w:tc>
                <w:tcPr>
                  <w:tcW w:w="501"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631.8</w:t>
                  </w:r>
                </w:p>
              </w:tc>
              <w:tc>
                <w:tcPr>
                  <w:tcW w:w="502"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639.5</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Public administration and safety</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202.1</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200.8</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214.1</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220.6</w:t>
                  </w:r>
                </w:p>
              </w:tc>
              <w:tc>
                <w:tcPr>
                  <w:tcW w:w="501"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228.1</w:t>
                  </w:r>
                </w:p>
              </w:tc>
              <w:tc>
                <w:tcPr>
                  <w:tcW w:w="502"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228.2</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Education and training</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105.0</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105.9</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115.2</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120.8</w:t>
                  </w:r>
                </w:p>
              </w:tc>
              <w:tc>
                <w:tcPr>
                  <w:tcW w:w="501"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127.1</w:t>
                  </w:r>
                </w:p>
              </w:tc>
              <w:tc>
                <w:tcPr>
                  <w:tcW w:w="502"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131.1</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Health care and social assistance</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243.0</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244.5</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256.3</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269.6</w:t>
                  </w:r>
                </w:p>
              </w:tc>
              <w:tc>
                <w:tcPr>
                  <w:tcW w:w="501"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282.3</w:t>
                  </w:r>
                </w:p>
              </w:tc>
              <w:tc>
                <w:tcPr>
                  <w:tcW w:w="502"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282.2</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Arts and recreation services</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74.8</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73.4</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77.1</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77.3</w:t>
                  </w:r>
                </w:p>
              </w:tc>
              <w:tc>
                <w:tcPr>
                  <w:tcW w:w="501"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80.5</w:t>
                  </w:r>
                </w:p>
              </w:tc>
              <w:tc>
                <w:tcPr>
                  <w:tcW w:w="502"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84.4</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Other services</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295.6</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271.2</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299.8</w:t>
                  </w:r>
                </w:p>
              </w:tc>
              <w:tc>
                <w:tcPr>
                  <w:tcW w:w="501" w:type="pct"/>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295.4</w:t>
                  </w:r>
                </w:p>
              </w:tc>
              <w:tc>
                <w:tcPr>
                  <w:tcW w:w="501"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308.0</w:t>
                  </w:r>
                </w:p>
              </w:tc>
              <w:tc>
                <w:tcPr>
                  <w:tcW w:w="502" w:type="pct"/>
                  <w:shd w:val="clear" w:color="auto" w:fill="auto"/>
                  <w:vAlign w:val="bottom"/>
                </w:tcPr>
                <w:p w:rsidR="007544CA" w:rsidRPr="00F66B61" w:rsidRDefault="007544CA" w:rsidP="00133508">
                  <w:pPr>
                    <w:pStyle w:val="TableBodyText"/>
                    <w:spacing w:after="0"/>
                    <w:ind w:left="0" w:right="57"/>
                    <w:rPr>
                      <w:szCs w:val="18"/>
                    </w:rPr>
                  </w:pPr>
                  <w:r>
                    <w:rPr>
                      <w:szCs w:val="18"/>
                    </w:rPr>
                    <w:noBreakHyphen/>
                  </w:r>
                  <w:r w:rsidRPr="00F66B61">
                    <w:rPr>
                      <w:szCs w:val="18"/>
                    </w:rPr>
                    <w:t>325.3</w:t>
                  </w:r>
                </w:p>
              </w:tc>
            </w:tr>
            <w:tr w:rsidR="007544CA" w:rsidTr="00133508">
              <w:tc>
                <w:tcPr>
                  <w:tcW w:w="1992" w:type="pct"/>
                  <w:shd w:val="clear" w:color="auto" w:fill="auto"/>
                  <w:vAlign w:val="center"/>
                </w:tcPr>
                <w:p w:rsidR="007544CA" w:rsidRPr="007D1111" w:rsidRDefault="007544CA" w:rsidP="00133508">
                  <w:pPr>
                    <w:rPr>
                      <w:rFonts w:ascii="Arial" w:hAnsi="Arial" w:cs="Arial"/>
                      <w:sz w:val="18"/>
                      <w:szCs w:val="18"/>
                    </w:rPr>
                  </w:pPr>
                  <w:r w:rsidRPr="007D1111">
                    <w:rPr>
                      <w:rFonts w:ascii="Arial" w:hAnsi="Arial" w:cs="Arial"/>
                      <w:sz w:val="18"/>
                      <w:szCs w:val="18"/>
                    </w:rPr>
                    <w:t>Unallocated services</w:t>
                  </w:r>
                  <w:r w:rsidRPr="008405D4">
                    <w:rPr>
                      <w:rStyle w:val="NoteLabel"/>
                    </w:rPr>
                    <w:t>b</w:t>
                  </w:r>
                </w:p>
              </w:tc>
              <w:tc>
                <w:tcPr>
                  <w:tcW w:w="501" w:type="pct"/>
                  <w:vAlign w:val="bottom"/>
                </w:tcPr>
                <w:p w:rsidR="007544CA" w:rsidRPr="007E34F5" w:rsidRDefault="007544CA" w:rsidP="00133508">
                  <w:pPr>
                    <w:pStyle w:val="TableBodyText"/>
                    <w:spacing w:after="0"/>
                    <w:ind w:left="0" w:right="57"/>
                  </w:pPr>
                  <w:r w:rsidRPr="007E34F5">
                    <w:t xml:space="preserve">– </w:t>
                  </w:r>
                </w:p>
              </w:tc>
              <w:tc>
                <w:tcPr>
                  <w:tcW w:w="501" w:type="pct"/>
                  <w:vAlign w:val="bottom"/>
                </w:tcPr>
                <w:p w:rsidR="007544CA" w:rsidRPr="007E34F5" w:rsidRDefault="007544CA" w:rsidP="00133508">
                  <w:pPr>
                    <w:pStyle w:val="TableBodyText"/>
                    <w:spacing w:after="0"/>
                    <w:ind w:left="0" w:right="57"/>
                  </w:pPr>
                  <w:r w:rsidRPr="007E34F5">
                    <w:t xml:space="preserve">– </w:t>
                  </w:r>
                </w:p>
              </w:tc>
              <w:tc>
                <w:tcPr>
                  <w:tcW w:w="501" w:type="pct"/>
                  <w:vAlign w:val="bottom"/>
                </w:tcPr>
                <w:p w:rsidR="007544CA" w:rsidRPr="007E34F5" w:rsidRDefault="007544CA" w:rsidP="00133508">
                  <w:pPr>
                    <w:pStyle w:val="TableBodyText"/>
                    <w:spacing w:after="0"/>
                    <w:ind w:left="0" w:right="57"/>
                  </w:pPr>
                  <w:r w:rsidRPr="007E34F5">
                    <w:t xml:space="preserve">– </w:t>
                  </w:r>
                </w:p>
              </w:tc>
              <w:tc>
                <w:tcPr>
                  <w:tcW w:w="501" w:type="pct"/>
                  <w:vAlign w:val="bottom"/>
                </w:tcPr>
                <w:p w:rsidR="007544CA" w:rsidRPr="007E34F5" w:rsidRDefault="007544CA" w:rsidP="00133508">
                  <w:pPr>
                    <w:pStyle w:val="TableBodyText"/>
                    <w:spacing w:after="0"/>
                    <w:ind w:left="0" w:right="57"/>
                  </w:pPr>
                  <w:r w:rsidRPr="007E34F5">
                    <w:t xml:space="preserve">– </w:t>
                  </w:r>
                </w:p>
              </w:tc>
              <w:tc>
                <w:tcPr>
                  <w:tcW w:w="501" w:type="pct"/>
                  <w:shd w:val="clear" w:color="auto" w:fill="auto"/>
                  <w:vAlign w:val="bottom"/>
                </w:tcPr>
                <w:p w:rsidR="007544CA" w:rsidRPr="007E34F5" w:rsidRDefault="007544CA" w:rsidP="00133508">
                  <w:pPr>
                    <w:pStyle w:val="TableBodyText"/>
                    <w:spacing w:after="0"/>
                    <w:ind w:left="0" w:right="57"/>
                  </w:pPr>
                  <w:r w:rsidRPr="007E34F5">
                    <w:t xml:space="preserve">– </w:t>
                  </w:r>
                </w:p>
              </w:tc>
              <w:tc>
                <w:tcPr>
                  <w:tcW w:w="502" w:type="pct"/>
                  <w:shd w:val="clear" w:color="auto" w:fill="auto"/>
                  <w:vAlign w:val="bottom"/>
                </w:tcPr>
                <w:p w:rsidR="007544CA" w:rsidRPr="007E34F5" w:rsidRDefault="007544CA" w:rsidP="00133508">
                  <w:pPr>
                    <w:pStyle w:val="TableBodyText"/>
                    <w:spacing w:after="0"/>
                    <w:ind w:left="0" w:right="57"/>
                  </w:pPr>
                  <w:r w:rsidRPr="007E34F5">
                    <w:t xml:space="preserve">– </w:t>
                  </w:r>
                </w:p>
              </w:tc>
            </w:tr>
            <w:tr w:rsidR="007544CA" w:rsidRPr="007E34F5" w:rsidTr="00133508">
              <w:tc>
                <w:tcPr>
                  <w:tcW w:w="1992" w:type="pct"/>
                  <w:shd w:val="clear" w:color="auto" w:fill="auto"/>
                  <w:vAlign w:val="center"/>
                </w:tcPr>
                <w:p w:rsidR="007544CA" w:rsidRPr="007E34F5" w:rsidRDefault="007544CA" w:rsidP="00133508">
                  <w:pPr>
                    <w:rPr>
                      <w:rFonts w:ascii="Arial" w:hAnsi="Arial" w:cs="Arial"/>
                      <w:b/>
                      <w:bCs/>
                      <w:sz w:val="18"/>
                      <w:szCs w:val="18"/>
                    </w:rPr>
                  </w:pPr>
                  <w:r w:rsidRPr="007E34F5">
                    <w:rPr>
                      <w:rFonts w:ascii="Arial" w:hAnsi="Arial" w:cs="Arial"/>
                      <w:b/>
                      <w:bCs/>
                      <w:sz w:val="18"/>
                      <w:szCs w:val="18"/>
                    </w:rPr>
                    <w:t>Unallocated other</w:t>
                  </w:r>
                  <w:r w:rsidRPr="008405D4">
                    <w:rPr>
                      <w:rStyle w:val="NoteLabel"/>
                    </w:rPr>
                    <w:t>b</w:t>
                  </w:r>
                </w:p>
              </w:tc>
              <w:tc>
                <w:tcPr>
                  <w:tcW w:w="501" w:type="pct"/>
                  <w:vAlign w:val="bottom"/>
                </w:tcPr>
                <w:p w:rsidR="007544CA" w:rsidRPr="007E34F5" w:rsidRDefault="007544CA" w:rsidP="00133508">
                  <w:pPr>
                    <w:pStyle w:val="TableBodyText"/>
                    <w:spacing w:after="0"/>
                    <w:ind w:left="0" w:right="57"/>
                    <w:rPr>
                      <w:b/>
                    </w:rPr>
                  </w:pPr>
                  <w:r w:rsidRPr="007E34F5">
                    <w:rPr>
                      <w:b/>
                    </w:rPr>
                    <w:t xml:space="preserve">– </w:t>
                  </w:r>
                </w:p>
              </w:tc>
              <w:tc>
                <w:tcPr>
                  <w:tcW w:w="501" w:type="pct"/>
                  <w:vAlign w:val="bottom"/>
                </w:tcPr>
                <w:p w:rsidR="007544CA" w:rsidRPr="007E34F5" w:rsidRDefault="007544CA" w:rsidP="00133508">
                  <w:pPr>
                    <w:pStyle w:val="TableBodyText"/>
                    <w:spacing w:after="0"/>
                    <w:ind w:left="0" w:right="57"/>
                    <w:rPr>
                      <w:b/>
                    </w:rPr>
                  </w:pPr>
                  <w:r w:rsidRPr="007E34F5">
                    <w:rPr>
                      <w:b/>
                    </w:rPr>
                    <w:t xml:space="preserve">– </w:t>
                  </w:r>
                </w:p>
              </w:tc>
              <w:tc>
                <w:tcPr>
                  <w:tcW w:w="501" w:type="pct"/>
                  <w:vAlign w:val="bottom"/>
                </w:tcPr>
                <w:p w:rsidR="007544CA" w:rsidRPr="007E34F5" w:rsidRDefault="007544CA" w:rsidP="00133508">
                  <w:pPr>
                    <w:pStyle w:val="TableBodyText"/>
                    <w:spacing w:after="0"/>
                    <w:ind w:left="0" w:right="57"/>
                    <w:rPr>
                      <w:b/>
                    </w:rPr>
                  </w:pPr>
                  <w:r w:rsidRPr="007E34F5">
                    <w:rPr>
                      <w:b/>
                    </w:rPr>
                    <w:t xml:space="preserve">– </w:t>
                  </w:r>
                </w:p>
              </w:tc>
              <w:tc>
                <w:tcPr>
                  <w:tcW w:w="501" w:type="pct"/>
                  <w:vAlign w:val="bottom"/>
                </w:tcPr>
                <w:p w:rsidR="007544CA" w:rsidRPr="007E34F5" w:rsidRDefault="007544CA" w:rsidP="00133508">
                  <w:pPr>
                    <w:pStyle w:val="TableBodyText"/>
                    <w:spacing w:after="0"/>
                    <w:ind w:left="0" w:right="57"/>
                    <w:rPr>
                      <w:b/>
                    </w:rPr>
                  </w:pPr>
                  <w:r w:rsidRPr="007E34F5">
                    <w:rPr>
                      <w:b/>
                    </w:rPr>
                    <w:t xml:space="preserve">– </w:t>
                  </w:r>
                </w:p>
              </w:tc>
              <w:tc>
                <w:tcPr>
                  <w:tcW w:w="501" w:type="pct"/>
                  <w:shd w:val="clear" w:color="auto" w:fill="auto"/>
                  <w:vAlign w:val="bottom"/>
                </w:tcPr>
                <w:p w:rsidR="007544CA" w:rsidRPr="007E34F5" w:rsidRDefault="007544CA" w:rsidP="00133508">
                  <w:pPr>
                    <w:pStyle w:val="TableBodyText"/>
                    <w:spacing w:after="0"/>
                    <w:ind w:left="0" w:right="57"/>
                    <w:rPr>
                      <w:b/>
                    </w:rPr>
                  </w:pPr>
                  <w:r w:rsidRPr="007E34F5">
                    <w:rPr>
                      <w:b/>
                    </w:rPr>
                    <w:t xml:space="preserve">– </w:t>
                  </w:r>
                </w:p>
              </w:tc>
              <w:tc>
                <w:tcPr>
                  <w:tcW w:w="502" w:type="pct"/>
                  <w:shd w:val="clear" w:color="auto" w:fill="auto"/>
                  <w:vAlign w:val="bottom"/>
                </w:tcPr>
                <w:p w:rsidR="007544CA" w:rsidRPr="007E34F5" w:rsidRDefault="007544CA" w:rsidP="00133508">
                  <w:pPr>
                    <w:pStyle w:val="TableBodyText"/>
                    <w:spacing w:after="0"/>
                    <w:ind w:left="0" w:right="57"/>
                    <w:rPr>
                      <w:b/>
                    </w:rPr>
                  </w:pPr>
                  <w:r w:rsidRPr="007E34F5">
                    <w:rPr>
                      <w:b/>
                    </w:rPr>
                    <w:t xml:space="preserve">– </w:t>
                  </w:r>
                </w:p>
              </w:tc>
            </w:tr>
            <w:tr w:rsidR="007544CA" w:rsidRPr="007E34F5" w:rsidTr="00133508">
              <w:tc>
                <w:tcPr>
                  <w:tcW w:w="1992" w:type="pct"/>
                  <w:tcBorders>
                    <w:bottom w:val="single" w:sz="6" w:space="0" w:color="BFBFBF"/>
                  </w:tcBorders>
                  <w:shd w:val="clear" w:color="auto" w:fill="auto"/>
                  <w:vAlign w:val="center"/>
                </w:tcPr>
                <w:p w:rsidR="007544CA" w:rsidRPr="007E34F5" w:rsidRDefault="007544CA" w:rsidP="00F74259">
                  <w:pPr>
                    <w:spacing w:after="40"/>
                    <w:rPr>
                      <w:rFonts w:ascii="Arial" w:hAnsi="Arial" w:cs="Arial"/>
                      <w:b/>
                      <w:bCs/>
                      <w:sz w:val="18"/>
                      <w:szCs w:val="18"/>
                    </w:rPr>
                  </w:pPr>
                  <w:r w:rsidRPr="007E34F5">
                    <w:rPr>
                      <w:rFonts w:ascii="Arial" w:hAnsi="Arial" w:cs="Arial"/>
                      <w:b/>
                      <w:bCs/>
                      <w:sz w:val="18"/>
                      <w:szCs w:val="18"/>
                    </w:rPr>
                    <w:t>Total</w:t>
                  </w:r>
                </w:p>
              </w:tc>
              <w:tc>
                <w:tcPr>
                  <w:tcW w:w="501" w:type="pct"/>
                  <w:tcBorders>
                    <w:bottom w:val="single" w:sz="6" w:space="0" w:color="BFBFBF"/>
                  </w:tcBorders>
                  <w:vAlign w:val="bottom"/>
                </w:tcPr>
                <w:p w:rsidR="007544CA" w:rsidRPr="00F66B61" w:rsidRDefault="007544CA" w:rsidP="00F74259">
                  <w:pPr>
                    <w:pStyle w:val="TableBodyText"/>
                    <w:ind w:left="0" w:right="57"/>
                    <w:rPr>
                      <w:b/>
                    </w:rPr>
                  </w:pPr>
                  <w:r>
                    <w:rPr>
                      <w:b/>
                    </w:rPr>
                    <w:noBreakHyphen/>
                  </w:r>
                  <w:r w:rsidRPr="00F66B61">
                    <w:rPr>
                      <w:b/>
                    </w:rPr>
                    <w:t>6665.0</w:t>
                  </w:r>
                </w:p>
              </w:tc>
              <w:tc>
                <w:tcPr>
                  <w:tcW w:w="501" w:type="pct"/>
                  <w:tcBorders>
                    <w:bottom w:val="single" w:sz="6" w:space="0" w:color="BFBFBF"/>
                  </w:tcBorders>
                  <w:vAlign w:val="bottom"/>
                </w:tcPr>
                <w:p w:rsidR="007544CA" w:rsidRPr="00F66B61" w:rsidRDefault="007544CA" w:rsidP="00F74259">
                  <w:pPr>
                    <w:pStyle w:val="TableBodyText"/>
                    <w:ind w:left="0" w:right="57"/>
                    <w:rPr>
                      <w:b/>
                    </w:rPr>
                  </w:pPr>
                  <w:r>
                    <w:rPr>
                      <w:b/>
                    </w:rPr>
                    <w:noBreakHyphen/>
                  </w:r>
                  <w:r w:rsidRPr="00F66B61">
                    <w:rPr>
                      <w:b/>
                    </w:rPr>
                    <w:t>6663.9</w:t>
                  </w:r>
                </w:p>
              </w:tc>
              <w:tc>
                <w:tcPr>
                  <w:tcW w:w="501" w:type="pct"/>
                  <w:tcBorders>
                    <w:bottom w:val="single" w:sz="6" w:space="0" w:color="BFBFBF"/>
                  </w:tcBorders>
                  <w:vAlign w:val="bottom"/>
                </w:tcPr>
                <w:p w:rsidR="007544CA" w:rsidRPr="00F66B61" w:rsidRDefault="007544CA" w:rsidP="00F74259">
                  <w:pPr>
                    <w:pStyle w:val="TableBodyText"/>
                    <w:ind w:left="0" w:right="57"/>
                    <w:rPr>
                      <w:b/>
                    </w:rPr>
                  </w:pPr>
                  <w:r>
                    <w:rPr>
                      <w:b/>
                    </w:rPr>
                    <w:noBreakHyphen/>
                  </w:r>
                  <w:r w:rsidRPr="00F66B61">
                    <w:rPr>
                      <w:b/>
                    </w:rPr>
                    <w:t>7078.4</w:t>
                  </w:r>
                </w:p>
              </w:tc>
              <w:tc>
                <w:tcPr>
                  <w:tcW w:w="501" w:type="pct"/>
                  <w:tcBorders>
                    <w:bottom w:val="single" w:sz="6" w:space="0" w:color="BFBFBF"/>
                  </w:tcBorders>
                  <w:vAlign w:val="bottom"/>
                </w:tcPr>
                <w:p w:rsidR="007544CA" w:rsidRPr="00F66B61" w:rsidRDefault="007544CA" w:rsidP="00F74259">
                  <w:pPr>
                    <w:pStyle w:val="TableBodyText"/>
                    <w:ind w:left="0" w:right="57"/>
                    <w:rPr>
                      <w:b/>
                    </w:rPr>
                  </w:pPr>
                  <w:r>
                    <w:rPr>
                      <w:b/>
                    </w:rPr>
                    <w:noBreakHyphen/>
                  </w:r>
                  <w:r w:rsidRPr="00F66B61">
                    <w:rPr>
                      <w:b/>
                    </w:rPr>
                    <w:t>7166.8</w:t>
                  </w:r>
                </w:p>
              </w:tc>
              <w:tc>
                <w:tcPr>
                  <w:tcW w:w="501" w:type="pct"/>
                  <w:tcBorders>
                    <w:bottom w:val="single" w:sz="6" w:space="0" w:color="BFBFBF"/>
                  </w:tcBorders>
                  <w:shd w:val="clear" w:color="auto" w:fill="auto"/>
                  <w:vAlign w:val="bottom"/>
                </w:tcPr>
                <w:p w:rsidR="007544CA" w:rsidRPr="00F66B61" w:rsidRDefault="007544CA" w:rsidP="00F74259">
                  <w:pPr>
                    <w:pStyle w:val="TableBodyText"/>
                    <w:ind w:left="0" w:right="57"/>
                    <w:rPr>
                      <w:b/>
                    </w:rPr>
                  </w:pPr>
                  <w:r>
                    <w:rPr>
                      <w:b/>
                    </w:rPr>
                    <w:noBreakHyphen/>
                  </w:r>
                  <w:r w:rsidRPr="00F66B61">
                    <w:rPr>
                      <w:b/>
                    </w:rPr>
                    <w:t>7329.5</w:t>
                  </w:r>
                </w:p>
              </w:tc>
              <w:tc>
                <w:tcPr>
                  <w:tcW w:w="502" w:type="pct"/>
                  <w:tcBorders>
                    <w:bottom w:val="single" w:sz="6" w:space="0" w:color="BFBFBF"/>
                  </w:tcBorders>
                  <w:shd w:val="clear" w:color="auto" w:fill="auto"/>
                  <w:vAlign w:val="bottom"/>
                </w:tcPr>
                <w:p w:rsidR="007544CA" w:rsidRPr="00F66B61" w:rsidRDefault="007544CA" w:rsidP="00F74259">
                  <w:pPr>
                    <w:pStyle w:val="TableBodyText"/>
                    <w:ind w:left="0" w:right="57"/>
                    <w:rPr>
                      <w:b/>
                    </w:rPr>
                  </w:pPr>
                  <w:r>
                    <w:rPr>
                      <w:b/>
                    </w:rPr>
                    <w:noBreakHyphen/>
                  </w:r>
                  <w:r w:rsidRPr="00F66B61">
                    <w:rPr>
                      <w:b/>
                    </w:rPr>
                    <w:t>7524.6</w:t>
                  </w:r>
                </w:p>
              </w:tc>
            </w:tr>
          </w:tbl>
          <w:p w:rsidR="007544CA" w:rsidRDefault="007544CA" w:rsidP="00133508">
            <w:pPr>
              <w:pStyle w:val="Box"/>
            </w:pP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Note"/>
              <w:rPr>
                <w:i/>
              </w:rPr>
            </w:pPr>
            <w:r>
              <w:rPr>
                <w:rFonts w:cs="Arial"/>
                <w:szCs w:val="18"/>
              </w:rPr>
              <w:t xml:space="preserve">– Nil. </w:t>
            </w:r>
            <w:r w:rsidRPr="00C74A79">
              <w:rPr>
                <w:rFonts w:cs="Arial"/>
                <w:szCs w:val="18"/>
              </w:rPr>
              <w:t>Figures may not add to totals due to rounding.</w:t>
            </w:r>
            <w:r>
              <w:rPr>
                <w:rFonts w:cs="Arial"/>
                <w:szCs w:val="18"/>
              </w:rPr>
              <w:t xml:space="preserve"> </w:t>
            </w:r>
            <w:r w:rsidRPr="008E77FE">
              <w:rPr>
                <w:rStyle w:val="NoteLabel"/>
              </w:rPr>
              <w:t>a</w:t>
            </w:r>
            <w:r>
              <w:t> </w:t>
            </w:r>
            <w:r w:rsidRPr="008405D4">
              <w:t>Tariff assistance estimates are derived using ABS Industry Gross Value Added and other supporting data.</w:t>
            </w:r>
            <w:r>
              <w:t xml:space="preserve"> </w:t>
            </w:r>
            <w:r>
              <w:rPr>
                <w:rStyle w:val="NoteLabel"/>
              </w:rPr>
              <w:t>b</w:t>
            </w:r>
            <w:r>
              <w:t> </w:t>
            </w:r>
            <w:r w:rsidRPr="008405D4">
              <w:t>Unallocated includes budgetary measures where details of beneficiaries are unknown.</w:t>
            </w:r>
            <w:r>
              <w:t xml:space="preserve"> These categories are not applicable for tariff assistance.</w:t>
            </w: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Source"/>
            </w:pPr>
            <w:r>
              <w:rPr>
                <w:i/>
              </w:rPr>
              <w:t>Source</w:t>
            </w:r>
            <w:r w:rsidRPr="00167F06">
              <w:t xml:space="preserve">: </w:t>
            </w:r>
            <w:r>
              <w:t>Commission estimates.</w:t>
            </w:r>
          </w:p>
        </w:tc>
      </w:tr>
      <w:tr w:rsidR="007544CA" w:rsidTr="00133508">
        <w:trPr>
          <w:cantSplit/>
        </w:trPr>
        <w:tc>
          <w:tcPr>
            <w:tcW w:w="8771" w:type="dxa"/>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BodyText"/>
      </w:pPr>
      <w:r>
        <w:br w:type="page"/>
      </w:r>
    </w:p>
    <w:p w:rsidR="007544CA" w:rsidRDefault="007544CA" w:rsidP="0013350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9"/>
      </w:tblGrid>
      <w:tr w:rsidR="007544CA" w:rsidTr="00133508">
        <w:tc>
          <w:tcPr>
            <w:tcW w:w="8771" w:type="dxa"/>
            <w:tcBorders>
              <w:top w:val="single" w:sz="6" w:space="0" w:color="78A22F"/>
              <w:left w:val="nil"/>
              <w:bottom w:val="nil"/>
              <w:right w:val="nil"/>
            </w:tcBorders>
            <w:shd w:val="clear" w:color="auto" w:fill="auto"/>
          </w:tcPr>
          <w:p w:rsidR="007544CA" w:rsidRDefault="007544CA" w:rsidP="00133508">
            <w:pPr>
              <w:pStyle w:val="TableTitle"/>
            </w:pPr>
            <w:r>
              <w:rPr>
                <w:b w:val="0"/>
              </w:rPr>
              <w:t xml:space="preserve">Table </w:t>
            </w:r>
            <w:r>
              <w:rPr>
                <w:b w:val="0"/>
              </w:rPr>
              <w:fldChar w:fldCharType="begin" w:fldLock="1"/>
            </w:r>
            <w:r>
              <w:rPr>
                <w:b w:val="0"/>
              </w:rPr>
              <w:instrText xml:space="preserve"> COMMENTS  \* MERGEFORMAT </w:instrText>
            </w:r>
            <w:r>
              <w:rPr>
                <w:b w:val="0"/>
              </w:rPr>
              <w:fldChar w:fldCharType="separate"/>
            </w:r>
            <w:proofErr w:type="spellStart"/>
            <w:r>
              <w:rPr>
                <w:b w:val="0"/>
              </w:rPr>
              <w:t>A.</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6</w:t>
            </w:r>
            <w:proofErr w:type="spellEnd"/>
            <w:r>
              <w:rPr>
                <w:b w:val="0"/>
              </w:rPr>
              <w:fldChar w:fldCharType="end"/>
            </w:r>
            <w:r>
              <w:tab/>
            </w:r>
            <w:r w:rsidRPr="008E7603">
              <w:t>Budgetary outlays by industry grouping, 200</w:t>
            </w:r>
            <w:r>
              <w:t>9</w:t>
            </w:r>
            <w:r>
              <w:noBreakHyphen/>
              <w:t>10</w:t>
            </w:r>
            <w:r w:rsidRPr="008E7603">
              <w:t xml:space="preserve"> to 201</w:t>
            </w:r>
            <w:r>
              <w:t>4</w:t>
            </w:r>
            <w:r>
              <w:noBreakHyphen/>
            </w:r>
            <w:r w:rsidRPr="008E7603">
              <w:t>1</w:t>
            </w:r>
            <w:r>
              <w:t>5</w:t>
            </w:r>
          </w:p>
          <w:p w:rsidR="007544CA" w:rsidRPr="00784A05" w:rsidRDefault="007544CA" w:rsidP="00133508">
            <w:pPr>
              <w:pStyle w:val="Subtitle"/>
            </w:pPr>
            <w:r w:rsidRPr="008E7603">
              <w:t>$ million (nominal)</w:t>
            </w:r>
          </w:p>
        </w:tc>
      </w:tr>
      <w:tr w:rsidR="007544CA" w:rsidTr="00133508">
        <w:trPr>
          <w:cantSplit/>
        </w:trPr>
        <w:tc>
          <w:tcPr>
            <w:tcW w:w="8771" w:type="dxa"/>
            <w:tcBorders>
              <w:top w:val="nil"/>
              <w:left w:val="nil"/>
              <w:bottom w:val="nil"/>
              <w:right w:val="nil"/>
            </w:tcBorders>
            <w:shd w:val="clear" w:color="auto" w:fill="auto"/>
          </w:tcPr>
          <w:tbl>
            <w:tblPr>
              <w:tblW w:w="8495" w:type="dxa"/>
              <w:tblCellMar>
                <w:top w:w="28" w:type="dxa"/>
                <w:left w:w="0" w:type="dxa"/>
                <w:right w:w="0" w:type="dxa"/>
              </w:tblCellMar>
              <w:tblLook w:val="0000" w:firstRow="0" w:lastRow="0" w:firstColumn="0" w:lastColumn="0" w:noHBand="0" w:noVBand="0"/>
            </w:tblPr>
            <w:tblGrid>
              <w:gridCol w:w="3401"/>
              <w:gridCol w:w="853"/>
              <w:gridCol w:w="851"/>
              <w:gridCol w:w="851"/>
              <w:gridCol w:w="848"/>
              <w:gridCol w:w="848"/>
              <w:gridCol w:w="843"/>
            </w:tblGrid>
            <w:tr w:rsidR="007544CA" w:rsidTr="00133508">
              <w:tc>
                <w:tcPr>
                  <w:tcW w:w="2002" w:type="pct"/>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r>
                    <w:t>Industry grouping</w:t>
                  </w:r>
                </w:p>
              </w:tc>
              <w:tc>
                <w:tcPr>
                  <w:tcW w:w="502"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2009</w:t>
                  </w:r>
                  <w:r>
                    <w:rPr>
                      <w:szCs w:val="18"/>
                    </w:rPr>
                    <w:noBreakHyphen/>
                  </w:r>
                  <w:r w:rsidRPr="00AB1D7C">
                    <w:rPr>
                      <w:szCs w:val="18"/>
                    </w:rPr>
                    <w:t>10</w:t>
                  </w:r>
                </w:p>
              </w:tc>
              <w:tc>
                <w:tcPr>
                  <w:tcW w:w="501"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2010</w:t>
                  </w:r>
                  <w:r>
                    <w:rPr>
                      <w:szCs w:val="18"/>
                    </w:rPr>
                    <w:noBreakHyphen/>
                  </w:r>
                  <w:r w:rsidRPr="00AB1D7C">
                    <w:rPr>
                      <w:szCs w:val="18"/>
                    </w:rPr>
                    <w:t>11</w:t>
                  </w:r>
                </w:p>
              </w:tc>
              <w:tc>
                <w:tcPr>
                  <w:tcW w:w="501"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2011</w:t>
                  </w:r>
                  <w:r>
                    <w:rPr>
                      <w:szCs w:val="18"/>
                    </w:rPr>
                    <w:noBreakHyphen/>
                  </w:r>
                  <w:r w:rsidRPr="00AB1D7C">
                    <w:rPr>
                      <w:szCs w:val="18"/>
                    </w:rPr>
                    <w:t>12</w:t>
                  </w:r>
                </w:p>
              </w:tc>
              <w:tc>
                <w:tcPr>
                  <w:tcW w:w="499"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2012</w:t>
                  </w:r>
                  <w:r>
                    <w:rPr>
                      <w:szCs w:val="18"/>
                    </w:rPr>
                    <w:noBreakHyphen/>
                  </w:r>
                  <w:r w:rsidRPr="00AB1D7C">
                    <w:rPr>
                      <w:szCs w:val="18"/>
                    </w:rPr>
                    <w:t>13</w:t>
                  </w:r>
                </w:p>
              </w:tc>
              <w:tc>
                <w:tcPr>
                  <w:tcW w:w="499" w:type="pct"/>
                  <w:tcBorders>
                    <w:top w:val="single" w:sz="6" w:space="0" w:color="BFBFBF"/>
                    <w:bottom w:val="single" w:sz="6" w:space="0" w:color="BFBFBF"/>
                  </w:tcBorders>
                  <w:shd w:val="clear" w:color="auto" w:fill="auto"/>
                  <w:tcMar>
                    <w:top w:w="28" w:type="dxa"/>
                  </w:tcMar>
                </w:tcPr>
                <w:p w:rsidR="007544CA" w:rsidRPr="00AB1D7C" w:rsidRDefault="007544CA" w:rsidP="00133508">
                  <w:pPr>
                    <w:pStyle w:val="TableColumnHeading"/>
                    <w:ind w:left="0" w:right="57"/>
                    <w:rPr>
                      <w:szCs w:val="18"/>
                    </w:rPr>
                  </w:pPr>
                  <w:r w:rsidRPr="00AB1D7C">
                    <w:rPr>
                      <w:szCs w:val="18"/>
                    </w:rPr>
                    <w:t>2013</w:t>
                  </w:r>
                  <w:r>
                    <w:rPr>
                      <w:szCs w:val="18"/>
                    </w:rPr>
                    <w:noBreakHyphen/>
                  </w:r>
                  <w:r w:rsidRPr="00AB1D7C">
                    <w:rPr>
                      <w:szCs w:val="18"/>
                    </w:rPr>
                    <w:t>14</w:t>
                  </w:r>
                </w:p>
              </w:tc>
              <w:tc>
                <w:tcPr>
                  <w:tcW w:w="496" w:type="pct"/>
                  <w:tcBorders>
                    <w:top w:val="single" w:sz="6" w:space="0" w:color="BFBFBF"/>
                    <w:bottom w:val="single" w:sz="6" w:space="0" w:color="BFBFBF"/>
                  </w:tcBorders>
                  <w:shd w:val="clear" w:color="auto" w:fill="auto"/>
                  <w:tcMar>
                    <w:top w:w="28" w:type="dxa"/>
                  </w:tcMar>
                </w:tcPr>
                <w:p w:rsidR="007544CA" w:rsidRPr="00AB1D7C" w:rsidRDefault="007544CA" w:rsidP="00133508">
                  <w:pPr>
                    <w:pStyle w:val="TableColumnHeading"/>
                    <w:ind w:left="0" w:right="57"/>
                    <w:rPr>
                      <w:szCs w:val="18"/>
                    </w:rPr>
                  </w:pPr>
                  <w:r w:rsidRPr="00AB1D7C">
                    <w:rPr>
                      <w:szCs w:val="18"/>
                    </w:rPr>
                    <w:t>201</w:t>
                  </w:r>
                  <w:r>
                    <w:rPr>
                      <w:szCs w:val="18"/>
                    </w:rPr>
                    <w:t>4</w:t>
                  </w:r>
                  <w:r>
                    <w:rPr>
                      <w:szCs w:val="18"/>
                    </w:rPr>
                    <w:noBreakHyphen/>
                  </w:r>
                  <w:r w:rsidRPr="00AB1D7C">
                    <w:rPr>
                      <w:szCs w:val="18"/>
                    </w:rPr>
                    <w:t>1</w:t>
                  </w:r>
                  <w:r>
                    <w:rPr>
                      <w:szCs w:val="18"/>
                    </w:rPr>
                    <w:t>5</w:t>
                  </w:r>
                </w:p>
              </w:tc>
            </w:tr>
            <w:tr w:rsidR="007544CA" w:rsidRPr="007E34F5" w:rsidTr="00133508">
              <w:tc>
                <w:tcPr>
                  <w:tcW w:w="2002" w:type="pct"/>
                  <w:tcBorders>
                    <w:top w:val="single" w:sz="6" w:space="0" w:color="BFBFBF"/>
                  </w:tcBorders>
                  <w:vAlign w:val="bottom"/>
                </w:tcPr>
                <w:p w:rsidR="007544CA" w:rsidRPr="007E34F5" w:rsidRDefault="007544CA" w:rsidP="00133508">
                  <w:pPr>
                    <w:rPr>
                      <w:rFonts w:ascii="Arial" w:hAnsi="Arial" w:cs="Arial"/>
                      <w:b/>
                      <w:bCs/>
                      <w:sz w:val="18"/>
                      <w:szCs w:val="18"/>
                    </w:rPr>
                  </w:pPr>
                  <w:r w:rsidRPr="007E34F5">
                    <w:rPr>
                      <w:rFonts w:ascii="Arial" w:hAnsi="Arial" w:cs="Arial"/>
                      <w:b/>
                      <w:bCs/>
                      <w:sz w:val="18"/>
                      <w:szCs w:val="18"/>
                    </w:rPr>
                    <w:t>Primary production</w:t>
                  </w:r>
                </w:p>
              </w:tc>
              <w:tc>
                <w:tcPr>
                  <w:tcW w:w="502" w:type="pct"/>
                  <w:tcBorders>
                    <w:top w:val="single" w:sz="6" w:space="0" w:color="BFBFBF"/>
                  </w:tcBorders>
                  <w:vAlign w:val="bottom"/>
                </w:tcPr>
                <w:p w:rsidR="007544CA" w:rsidRPr="006C358F" w:rsidRDefault="007544CA" w:rsidP="00133508">
                  <w:pPr>
                    <w:pStyle w:val="TableBodyText"/>
                    <w:spacing w:after="0"/>
                    <w:ind w:left="0" w:right="57"/>
                    <w:rPr>
                      <w:b/>
                    </w:rPr>
                  </w:pPr>
                  <w:r w:rsidRPr="006C358F">
                    <w:rPr>
                      <w:b/>
                    </w:rPr>
                    <w:t>1274.9</w:t>
                  </w:r>
                </w:p>
              </w:tc>
              <w:tc>
                <w:tcPr>
                  <w:tcW w:w="501" w:type="pct"/>
                  <w:tcBorders>
                    <w:top w:val="single" w:sz="6" w:space="0" w:color="BFBFBF"/>
                  </w:tcBorders>
                  <w:vAlign w:val="bottom"/>
                </w:tcPr>
                <w:p w:rsidR="007544CA" w:rsidRPr="006C358F" w:rsidRDefault="007544CA" w:rsidP="00133508">
                  <w:pPr>
                    <w:pStyle w:val="TableBodyText"/>
                    <w:spacing w:after="0"/>
                    <w:ind w:left="0" w:right="57"/>
                    <w:rPr>
                      <w:b/>
                    </w:rPr>
                  </w:pPr>
                  <w:r w:rsidRPr="006C358F">
                    <w:rPr>
                      <w:b/>
                    </w:rPr>
                    <w:t>1044.4</w:t>
                  </w:r>
                </w:p>
              </w:tc>
              <w:tc>
                <w:tcPr>
                  <w:tcW w:w="501" w:type="pct"/>
                  <w:tcBorders>
                    <w:top w:val="single" w:sz="6" w:space="0" w:color="BFBFBF"/>
                  </w:tcBorders>
                  <w:vAlign w:val="bottom"/>
                </w:tcPr>
                <w:p w:rsidR="007544CA" w:rsidRPr="006C358F" w:rsidRDefault="007544CA" w:rsidP="00133508">
                  <w:pPr>
                    <w:pStyle w:val="TableBodyText"/>
                    <w:spacing w:after="0"/>
                    <w:ind w:left="0" w:right="57"/>
                    <w:rPr>
                      <w:b/>
                    </w:rPr>
                  </w:pPr>
                  <w:r w:rsidRPr="006C358F">
                    <w:rPr>
                      <w:b/>
                    </w:rPr>
                    <w:t>946.6</w:t>
                  </w:r>
                </w:p>
              </w:tc>
              <w:tc>
                <w:tcPr>
                  <w:tcW w:w="499" w:type="pct"/>
                  <w:tcBorders>
                    <w:top w:val="single" w:sz="6" w:space="0" w:color="BFBFBF"/>
                  </w:tcBorders>
                  <w:vAlign w:val="bottom"/>
                </w:tcPr>
                <w:p w:rsidR="007544CA" w:rsidRPr="006C358F" w:rsidRDefault="007544CA" w:rsidP="00133508">
                  <w:pPr>
                    <w:pStyle w:val="TableBodyText"/>
                    <w:spacing w:after="0"/>
                    <w:ind w:left="0" w:right="57"/>
                    <w:rPr>
                      <w:b/>
                    </w:rPr>
                  </w:pPr>
                  <w:r w:rsidRPr="006C358F">
                    <w:rPr>
                      <w:b/>
                    </w:rPr>
                    <w:t>723.4</w:t>
                  </w:r>
                </w:p>
              </w:tc>
              <w:tc>
                <w:tcPr>
                  <w:tcW w:w="499" w:type="pct"/>
                  <w:tcBorders>
                    <w:top w:val="single" w:sz="6" w:space="0" w:color="BFBFBF"/>
                  </w:tcBorders>
                  <w:vAlign w:val="bottom"/>
                </w:tcPr>
                <w:p w:rsidR="007544CA" w:rsidRPr="006C358F" w:rsidRDefault="007544CA" w:rsidP="00133508">
                  <w:pPr>
                    <w:pStyle w:val="TableBodyText"/>
                    <w:spacing w:after="0"/>
                    <w:ind w:left="0" w:right="57"/>
                    <w:rPr>
                      <w:b/>
                    </w:rPr>
                  </w:pPr>
                  <w:r w:rsidRPr="006C358F">
                    <w:rPr>
                      <w:b/>
                    </w:rPr>
                    <w:t>770.4</w:t>
                  </w:r>
                </w:p>
              </w:tc>
              <w:tc>
                <w:tcPr>
                  <w:tcW w:w="496" w:type="pct"/>
                  <w:tcBorders>
                    <w:top w:val="single" w:sz="6" w:space="0" w:color="BFBFBF"/>
                  </w:tcBorders>
                  <w:vAlign w:val="bottom"/>
                </w:tcPr>
                <w:p w:rsidR="007544CA" w:rsidRPr="006C358F" w:rsidRDefault="007544CA" w:rsidP="00133508">
                  <w:pPr>
                    <w:pStyle w:val="TableBodyText"/>
                    <w:spacing w:after="0"/>
                    <w:ind w:left="0" w:right="57"/>
                    <w:rPr>
                      <w:b/>
                    </w:rPr>
                  </w:pPr>
                  <w:r w:rsidRPr="006C358F">
                    <w:rPr>
                      <w:b/>
                    </w:rPr>
                    <w:t>746.9</w:t>
                  </w:r>
                </w:p>
              </w:tc>
            </w:tr>
            <w:tr w:rsidR="007544CA" w:rsidTr="00133508">
              <w:tc>
                <w:tcPr>
                  <w:tcW w:w="2002" w:type="pct"/>
                  <w:vAlign w:val="center"/>
                </w:tcPr>
                <w:p w:rsidR="007544CA" w:rsidRPr="00E532D9" w:rsidRDefault="007544CA" w:rsidP="00133508">
                  <w:pPr>
                    <w:rPr>
                      <w:rFonts w:ascii="Arial" w:hAnsi="Arial" w:cs="Arial"/>
                      <w:sz w:val="18"/>
                      <w:szCs w:val="18"/>
                    </w:rPr>
                  </w:pPr>
                  <w:r w:rsidRPr="00E532D9">
                    <w:rPr>
                      <w:rFonts w:ascii="Arial" w:hAnsi="Arial" w:cs="Arial"/>
                      <w:sz w:val="18"/>
                      <w:szCs w:val="18"/>
                    </w:rPr>
                    <w:t>Horticulture and fruit growing</w:t>
                  </w:r>
                </w:p>
              </w:tc>
              <w:tc>
                <w:tcPr>
                  <w:tcW w:w="502" w:type="pct"/>
                  <w:vAlign w:val="bottom"/>
                </w:tcPr>
                <w:p w:rsidR="007544CA" w:rsidRPr="006C358F" w:rsidRDefault="007544CA" w:rsidP="00133508">
                  <w:pPr>
                    <w:pStyle w:val="TableBodyText"/>
                    <w:spacing w:after="0"/>
                    <w:ind w:left="0" w:right="57"/>
                  </w:pPr>
                  <w:r w:rsidRPr="006C358F">
                    <w:t>125.1</w:t>
                  </w:r>
                </w:p>
              </w:tc>
              <w:tc>
                <w:tcPr>
                  <w:tcW w:w="501" w:type="pct"/>
                  <w:vAlign w:val="bottom"/>
                </w:tcPr>
                <w:p w:rsidR="007544CA" w:rsidRPr="006C358F" w:rsidRDefault="007544CA" w:rsidP="00133508">
                  <w:pPr>
                    <w:pStyle w:val="TableBodyText"/>
                    <w:spacing w:after="0"/>
                    <w:ind w:left="0" w:right="57"/>
                  </w:pPr>
                  <w:r w:rsidRPr="006C358F">
                    <w:t>118.3</w:t>
                  </w:r>
                </w:p>
              </w:tc>
              <w:tc>
                <w:tcPr>
                  <w:tcW w:w="501" w:type="pct"/>
                  <w:vAlign w:val="bottom"/>
                </w:tcPr>
                <w:p w:rsidR="007544CA" w:rsidRPr="006C358F" w:rsidRDefault="007544CA" w:rsidP="00133508">
                  <w:pPr>
                    <w:pStyle w:val="TableBodyText"/>
                    <w:spacing w:after="0"/>
                    <w:ind w:left="0" w:right="57"/>
                  </w:pPr>
                  <w:r w:rsidRPr="006C358F">
                    <w:t>85.9</w:t>
                  </w:r>
                </w:p>
              </w:tc>
              <w:tc>
                <w:tcPr>
                  <w:tcW w:w="499" w:type="pct"/>
                  <w:vAlign w:val="bottom"/>
                </w:tcPr>
                <w:p w:rsidR="007544CA" w:rsidRPr="006C358F" w:rsidRDefault="007544CA" w:rsidP="00133508">
                  <w:pPr>
                    <w:pStyle w:val="TableBodyText"/>
                    <w:spacing w:after="0"/>
                    <w:ind w:left="0" w:right="57"/>
                  </w:pPr>
                  <w:r w:rsidRPr="006C358F">
                    <w:t>71.5</w:t>
                  </w:r>
                </w:p>
              </w:tc>
              <w:tc>
                <w:tcPr>
                  <w:tcW w:w="499" w:type="pct"/>
                  <w:vAlign w:val="bottom"/>
                </w:tcPr>
                <w:p w:rsidR="007544CA" w:rsidRPr="006C358F" w:rsidRDefault="007544CA" w:rsidP="00133508">
                  <w:pPr>
                    <w:pStyle w:val="TableBodyText"/>
                    <w:spacing w:after="0"/>
                    <w:ind w:left="0" w:right="57"/>
                  </w:pPr>
                  <w:r w:rsidRPr="006C358F">
                    <w:t>75.5</w:t>
                  </w:r>
                </w:p>
              </w:tc>
              <w:tc>
                <w:tcPr>
                  <w:tcW w:w="496" w:type="pct"/>
                  <w:vAlign w:val="bottom"/>
                </w:tcPr>
                <w:p w:rsidR="007544CA" w:rsidRPr="006C358F" w:rsidRDefault="007544CA" w:rsidP="00133508">
                  <w:pPr>
                    <w:pStyle w:val="TableBodyText"/>
                    <w:spacing w:after="0"/>
                    <w:ind w:left="0" w:right="57"/>
                  </w:pPr>
                  <w:r w:rsidRPr="006C358F">
                    <w:t>65.2</w:t>
                  </w:r>
                </w:p>
              </w:tc>
            </w:tr>
            <w:tr w:rsidR="007544CA" w:rsidTr="00133508">
              <w:tc>
                <w:tcPr>
                  <w:tcW w:w="2002" w:type="pct"/>
                  <w:shd w:val="clear" w:color="auto" w:fill="auto"/>
                  <w:vAlign w:val="center"/>
                </w:tcPr>
                <w:p w:rsidR="007544CA" w:rsidRPr="00E532D9" w:rsidRDefault="007544CA" w:rsidP="00133508">
                  <w:pPr>
                    <w:rPr>
                      <w:rFonts w:ascii="Arial" w:hAnsi="Arial" w:cs="Arial"/>
                      <w:sz w:val="18"/>
                      <w:szCs w:val="18"/>
                    </w:rPr>
                  </w:pPr>
                  <w:r w:rsidRPr="00E532D9">
                    <w:rPr>
                      <w:rFonts w:ascii="Arial" w:hAnsi="Arial" w:cs="Arial"/>
                      <w:sz w:val="18"/>
                      <w:szCs w:val="18"/>
                    </w:rPr>
                    <w:t>Sheep, beef cattle and grain farming</w:t>
                  </w:r>
                </w:p>
              </w:tc>
              <w:tc>
                <w:tcPr>
                  <w:tcW w:w="502" w:type="pct"/>
                  <w:vAlign w:val="bottom"/>
                </w:tcPr>
                <w:p w:rsidR="007544CA" w:rsidRPr="006C358F" w:rsidRDefault="007544CA" w:rsidP="00133508">
                  <w:pPr>
                    <w:pStyle w:val="TableBodyText"/>
                    <w:spacing w:after="0"/>
                    <w:ind w:left="0" w:right="57"/>
                  </w:pPr>
                  <w:r w:rsidRPr="006C358F">
                    <w:t>601.5</w:t>
                  </w:r>
                </w:p>
              </w:tc>
              <w:tc>
                <w:tcPr>
                  <w:tcW w:w="501" w:type="pct"/>
                  <w:vAlign w:val="bottom"/>
                </w:tcPr>
                <w:p w:rsidR="007544CA" w:rsidRPr="006C358F" w:rsidRDefault="007544CA" w:rsidP="00133508">
                  <w:pPr>
                    <w:pStyle w:val="TableBodyText"/>
                    <w:spacing w:after="0"/>
                    <w:ind w:left="0" w:right="57"/>
                  </w:pPr>
                  <w:r w:rsidRPr="006C358F">
                    <w:t>447.5</w:t>
                  </w:r>
                </w:p>
              </w:tc>
              <w:tc>
                <w:tcPr>
                  <w:tcW w:w="501" w:type="pct"/>
                  <w:vAlign w:val="bottom"/>
                </w:tcPr>
                <w:p w:rsidR="007544CA" w:rsidRPr="006C358F" w:rsidRDefault="007544CA" w:rsidP="00133508">
                  <w:pPr>
                    <w:pStyle w:val="TableBodyText"/>
                    <w:spacing w:after="0"/>
                    <w:ind w:left="0" w:right="57"/>
                  </w:pPr>
                  <w:r w:rsidRPr="006C358F">
                    <w:t>253.1</w:t>
                  </w:r>
                </w:p>
              </w:tc>
              <w:tc>
                <w:tcPr>
                  <w:tcW w:w="499" w:type="pct"/>
                  <w:vAlign w:val="bottom"/>
                </w:tcPr>
                <w:p w:rsidR="007544CA" w:rsidRPr="006C358F" w:rsidRDefault="007544CA" w:rsidP="00133508">
                  <w:pPr>
                    <w:pStyle w:val="TableBodyText"/>
                    <w:spacing w:after="0"/>
                    <w:ind w:left="0" w:right="57"/>
                  </w:pPr>
                  <w:r w:rsidRPr="006C358F">
                    <w:t>215.8</w:t>
                  </w:r>
                </w:p>
              </w:tc>
              <w:tc>
                <w:tcPr>
                  <w:tcW w:w="499" w:type="pct"/>
                  <w:shd w:val="clear" w:color="auto" w:fill="auto"/>
                  <w:vAlign w:val="bottom"/>
                </w:tcPr>
                <w:p w:rsidR="007544CA" w:rsidRPr="006C358F" w:rsidRDefault="007544CA" w:rsidP="00133508">
                  <w:pPr>
                    <w:pStyle w:val="TableBodyText"/>
                    <w:spacing w:after="0"/>
                    <w:ind w:left="0" w:right="57"/>
                  </w:pPr>
                  <w:r w:rsidRPr="006C358F">
                    <w:t>286.2</w:t>
                  </w:r>
                </w:p>
              </w:tc>
              <w:tc>
                <w:tcPr>
                  <w:tcW w:w="496" w:type="pct"/>
                  <w:shd w:val="clear" w:color="auto" w:fill="auto"/>
                  <w:vAlign w:val="bottom"/>
                </w:tcPr>
                <w:p w:rsidR="007544CA" w:rsidRPr="006C358F" w:rsidRDefault="007544CA" w:rsidP="00133508">
                  <w:pPr>
                    <w:pStyle w:val="TableBodyText"/>
                    <w:spacing w:after="0"/>
                    <w:ind w:left="0" w:right="57"/>
                  </w:pPr>
                  <w:r w:rsidRPr="006C358F">
                    <w:t>277.6</w:t>
                  </w:r>
                </w:p>
              </w:tc>
            </w:tr>
            <w:tr w:rsidR="007544CA" w:rsidTr="00133508">
              <w:tc>
                <w:tcPr>
                  <w:tcW w:w="2002" w:type="pct"/>
                  <w:shd w:val="clear" w:color="auto" w:fill="auto"/>
                  <w:vAlign w:val="center"/>
                </w:tcPr>
                <w:p w:rsidR="007544CA" w:rsidRPr="00E532D9" w:rsidRDefault="007544CA" w:rsidP="00133508">
                  <w:pPr>
                    <w:rPr>
                      <w:rFonts w:ascii="Arial" w:hAnsi="Arial" w:cs="Arial"/>
                      <w:sz w:val="18"/>
                      <w:szCs w:val="18"/>
                    </w:rPr>
                  </w:pPr>
                  <w:r w:rsidRPr="00E532D9">
                    <w:rPr>
                      <w:rFonts w:ascii="Arial" w:hAnsi="Arial" w:cs="Arial"/>
                      <w:sz w:val="18"/>
                      <w:szCs w:val="18"/>
                    </w:rPr>
                    <w:t>Other crop growing</w:t>
                  </w:r>
                </w:p>
              </w:tc>
              <w:tc>
                <w:tcPr>
                  <w:tcW w:w="502" w:type="pct"/>
                  <w:vAlign w:val="bottom"/>
                </w:tcPr>
                <w:p w:rsidR="007544CA" w:rsidRPr="006C358F" w:rsidRDefault="007544CA" w:rsidP="00133508">
                  <w:pPr>
                    <w:pStyle w:val="TableBodyText"/>
                    <w:spacing w:after="0"/>
                    <w:ind w:left="0" w:right="57"/>
                  </w:pPr>
                  <w:r w:rsidRPr="006C358F">
                    <w:t>58.0</w:t>
                  </w:r>
                </w:p>
              </w:tc>
              <w:tc>
                <w:tcPr>
                  <w:tcW w:w="501" w:type="pct"/>
                  <w:vAlign w:val="bottom"/>
                </w:tcPr>
                <w:p w:rsidR="007544CA" w:rsidRPr="006C358F" w:rsidRDefault="007544CA" w:rsidP="00133508">
                  <w:pPr>
                    <w:pStyle w:val="TableBodyText"/>
                    <w:spacing w:after="0"/>
                    <w:ind w:left="0" w:right="57"/>
                  </w:pPr>
                  <w:r w:rsidRPr="006C358F">
                    <w:t>25.7</w:t>
                  </w:r>
                </w:p>
              </w:tc>
              <w:tc>
                <w:tcPr>
                  <w:tcW w:w="501" w:type="pct"/>
                  <w:vAlign w:val="bottom"/>
                </w:tcPr>
                <w:p w:rsidR="007544CA" w:rsidRPr="006C358F" w:rsidRDefault="007544CA" w:rsidP="00133508">
                  <w:pPr>
                    <w:pStyle w:val="TableBodyText"/>
                    <w:spacing w:after="0"/>
                    <w:ind w:left="0" w:right="57"/>
                  </w:pPr>
                  <w:r w:rsidRPr="006C358F">
                    <w:t>48.8</w:t>
                  </w:r>
                </w:p>
              </w:tc>
              <w:tc>
                <w:tcPr>
                  <w:tcW w:w="499" w:type="pct"/>
                  <w:vAlign w:val="bottom"/>
                </w:tcPr>
                <w:p w:rsidR="007544CA" w:rsidRPr="006C358F" w:rsidRDefault="007544CA" w:rsidP="00133508">
                  <w:pPr>
                    <w:pStyle w:val="TableBodyText"/>
                    <w:spacing w:after="0"/>
                    <w:ind w:left="0" w:right="57"/>
                  </w:pPr>
                  <w:r w:rsidRPr="006C358F">
                    <w:t>44.2</w:t>
                  </w:r>
                </w:p>
              </w:tc>
              <w:tc>
                <w:tcPr>
                  <w:tcW w:w="499" w:type="pct"/>
                  <w:shd w:val="clear" w:color="auto" w:fill="auto"/>
                  <w:vAlign w:val="bottom"/>
                </w:tcPr>
                <w:p w:rsidR="007544CA" w:rsidRPr="006C358F" w:rsidRDefault="007544CA" w:rsidP="00133508">
                  <w:pPr>
                    <w:pStyle w:val="TableBodyText"/>
                    <w:spacing w:after="0"/>
                    <w:ind w:left="0" w:right="57"/>
                  </w:pPr>
                  <w:r w:rsidRPr="006C358F">
                    <w:t>52.6</w:t>
                  </w:r>
                </w:p>
              </w:tc>
              <w:tc>
                <w:tcPr>
                  <w:tcW w:w="496" w:type="pct"/>
                  <w:shd w:val="clear" w:color="auto" w:fill="auto"/>
                  <w:vAlign w:val="bottom"/>
                </w:tcPr>
                <w:p w:rsidR="007544CA" w:rsidRPr="006C358F" w:rsidRDefault="007544CA" w:rsidP="00133508">
                  <w:pPr>
                    <w:pStyle w:val="TableBodyText"/>
                    <w:spacing w:after="0"/>
                    <w:ind w:left="0" w:right="57"/>
                  </w:pPr>
                  <w:r w:rsidRPr="006C358F">
                    <w:t>51.7</w:t>
                  </w:r>
                </w:p>
              </w:tc>
            </w:tr>
            <w:tr w:rsidR="007544CA" w:rsidTr="00133508">
              <w:tc>
                <w:tcPr>
                  <w:tcW w:w="2002" w:type="pct"/>
                  <w:shd w:val="clear" w:color="auto" w:fill="auto"/>
                  <w:vAlign w:val="center"/>
                </w:tcPr>
                <w:p w:rsidR="007544CA" w:rsidRPr="00E532D9" w:rsidRDefault="007544CA" w:rsidP="00133508">
                  <w:pPr>
                    <w:rPr>
                      <w:rFonts w:ascii="Arial" w:hAnsi="Arial" w:cs="Arial"/>
                      <w:sz w:val="18"/>
                      <w:szCs w:val="18"/>
                    </w:rPr>
                  </w:pPr>
                  <w:r w:rsidRPr="00E532D9">
                    <w:rPr>
                      <w:rFonts w:ascii="Arial" w:hAnsi="Arial" w:cs="Arial"/>
                      <w:sz w:val="18"/>
                      <w:szCs w:val="18"/>
                    </w:rPr>
                    <w:t>Dairy cattle farming</w:t>
                  </w:r>
                </w:p>
              </w:tc>
              <w:tc>
                <w:tcPr>
                  <w:tcW w:w="502" w:type="pct"/>
                  <w:vAlign w:val="bottom"/>
                </w:tcPr>
                <w:p w:rsidR="007544CA" w:rsidRPr="006C358F" w:rsidRDefault="007544CA" w:rsidP="00133508">
                  <w:pPr>
                    <w:pStyle w:val="TableBodyText"/>
                    <w:spacing w:after="0"/>
                    <w:ind w:left="0" w:right="57"/>
                  </w:pPr>
                  <w:r w:rsidRPr="006C358F">
                    <w:t>99.1</w:t>
                  </w:r>
                </w:p>
              </w:tc>
              <w:tc>
                <w:tcPr>
                  <w:tcW w:w="501" w:type="pct"/>
                  <w:vAlign w:val="bottom"/>
                </w:tcPr>
                <w:p w:rsidR="007544CA" w:rsidRPr="006C358F" w:rsidRDefault="007544CA" w:rsidP="00133508">
                  <w:pPr>
                    <w:pStyle w:val="TableBodyText"/>
                    <w:spacing w:after="0"/>
                    <w:ind w:left="0" w:right="57"/>
                  </w:pPr>
                  <w:r w:rsidRPr="006C358F">
                    <w:t>67.4</w:t>
                  </w:r>
                </w:p>
              </w:tc>
              <w:tc>
                <w:tcPr>
                  <w:tcW w:w="501" w:type="pct"/>
                  <w:vAlign w:val="bottom"/>
                </w:tcPr>
                <w:p w:rsidR="007544CA" w:rsidRPr="006C358F" w:rsidRDefault="007544CA" w:rsidP="00133508">
                  <w:pPr>
                    <w:pStyle w:val="TableBodyText"/>
                    <w:spacing w:after="0"/>
                    <w:ind w:left="0" w:right="57"/>
                  </w:pPr>
                  <w:r w:rsidRPr="006C358F">
                    <w:t>41.4</w:t>
                  </w:r>
                </w:p>
              </w:tc>
              <w:tc>
                <w:tcPr>
                  <w:tcW w:w="499" w:type="pct"/>
                  <w:vAlign w:val="bottom"/>
                </w:tcPr>
                <w:p w:rsidR="007544CA" w:rsidRPr="006C358F" w:rsidRDefault="007544CA" w:rsidP="00133508">
                  <w:pPr>
                    <w:pStyle w:val="TableBodyText"/>
                    <w:spacing w:after="0"/>
                    <w:ind w:left="0" w:right="57"/>
                  </w:pPr>
                  <w:r w:rsidRPr="006C358F">
                    <w:t>29.4</w:t>
                  </w:r>
                </w:p>
              </w:tc>
              <w:tc>
                <w:tcPr>
                  <w:tcW w:w="499" w:type="pct"/>
                  <w:shd w:val="clear" w:color="auto" w:fill="auto"/>
                  <w:vAlign w:val="bottom"/>
                </w:tcPr>
                <w:p w:rsidR="007544CA" w:rsidRPr="006C358F" w:rsidRDefault="007544CA" w:rsidP="00133508">
                  <w:pPr>
                    <w:pStyle w:val="TableBodyText"/>
                    <w:spacing w:after="0"/>
                    <w:ind w:left="0" w:right="57"/>
                  </w:pPr>
                  <w:r w:rsidRPr="006C358F">
                    <w:t>35.8</w:t>
                  </w:r>
                </w:p>
              </w:tc>
              <w:tc>
                <w:tcPr>
                  <w:tcW w:w="496" w:type="pct"/>
                  <w:shd w:val="clear" w:color="auto" w:fill="auto"/>
                  <w:vAlign w:val="bottom"/>
                </w:tcPr>
                <w:p w:rsidR="007544CA" w:rsidRPr="006C358F" w:rsidRDefault="007544CA" w:rsidP="00133508">
                  <w:pPr>
                    <w:pStyle w:val="TableBodyText"/>
                    <w:spacing w:after="0"/>
                    <w:ind w:left="0" w:right="57"/>
                  </w:pPr>
                  <w:r w:rsidRPr="006C358F">
                    <w:t>35.2</w:t>
                  </w:r>
                </w:p>
              </w:tc>
            </w:tr>
            <w:tr w:rsidR="007544CA" w:rsidTr="00133508">
              <w:tc>
                <w:tcPr>
                  <w:tcW w:w="2002" w:type="pct"/>
                  <w:shd w:val="clear" w:color="auto" w:fill="auto"/>
                  <w:vAlign w:val="center"/>
                </w:tcPr>
                <w:p w:rsidR="007544CA" w:rsidRPr="00E532D9" w:rsidRDefault="007544CA" w:rsidP="00133508">
                  <w:pPr>
                    <w:rPr>
                      <w:rFonts w:ascii="Arial" w:hAnsi="Arial" w:cs="Arial"/>
                      <w:sz w:val="18"/>
                      <w:szCs w:val="18"/>
                    </w:rPr>
                  </w:pPr>
                  <w:r w:rsidRPr="00E532D9">
                    <w:rPr>
                      <w:rFonts w:ascii="Arial" w:hAnsi="Arial" w:cs="Arial"/>
                      <w:sz w:val="18"/>
                      <w:szCs w:val="18"/>
                    </w:rPr>
                    <w:t>Other livestock farming</w:t>
                  </w:r>
                </w:p>
              </w:tc>
              <w:tc>
                <w:tcPr>
                  <w:tcW w:w="502" w:type="pct"/>
                  <w:vAlign w:val="bottom"/>
                </w:tcPr>
                <w:p w:rsidR="007544CA" w:rsidRPr="006C358F" w:rsidRDefault="007544CA" w:rsidP="00133508">
                  <w:pPr>
                    <w:pStyle w:val="TableBodyText"/>
                    <w:spacing w:after="0"/>
                    <w:ind w:left="0" w:right="57"/>
                  </w:pPr>
                  <w:r w:rsidRPr="006C358F">
                    <w:t>25.4</w:t>
                  </w:r>
                </w:p>
              </w:tc>
              <w:tc>
                <w:tcPr>
                  <w:tcW w:w="501" w:type="pct"/>
                  <w:vAlign w:val="bottom"/>
                </w:tcPr>
                <w:p w:rsidR="007544CA" w:rsidRPr="006C358F" w:rsidRDefault="007544CA" w:rsidP="00133508">
                  <w:pPr>
                    <w:pStyle w:val="TableBodyText"/>
                    <w:spacing w:after="0"/>
                    <w:ind w:left="0" w:right="57"/>
                  </w:pPr>
                  <w:r w:rsidRPr="006C358F">
                    <w:t>23.5</w:t>
                  </w:r>
                </w:p>
              </w:tc>
              <w:tc>
                <w:tcPr>
                  <w:tcW w:w="501" w:type="pct"/>
                  <w:vAlign w:val="bottom"/>
                </w:tcPr>
                <w:p w:rsidR="007544CA" w:rsidRPr="006C358F" w:rsidRDefault="007544CA" w:rsidP="00133508">
                  <w:pPr>
                    <w:pStyle w:val="TableBodyText"/>
                    <w:spacing w:after="0"/>
                    <w:ind w:left="0" w:right="57"/>
                  </w:pPr>
                  <w:r w:rsidRPr="006C358F">
                    <w:t>41.2</w:t>
                  </w:r>
                </w:p>
              </w:tc>
              <w:tc>
                <w:tcPr>
                  <w:tcW w:w="499" w:type="pct"/>
                  <w:vAlign w:val="bottom"/>
                </w:tcPr>
                <w:p w:rsidR="007544CA" w:rsidRPr="006C358F" w:rsidRDefault="007544CA" w:rsidP="00133508">
                  <w:pPr>
                    <w:pStyle w:val="TableBodyText"/>
                    <w:spacing w:after="0"/>
                    <w:ind w:left="0" w:right="57"/>
                  </w:pPr>
                  <w:r w:rsidRPr="006C358F">
                    <w:t>28.2</w:t>
                  </w:r>
                </w:p>
              </w:tc>
              <w:tc>
                <w:tcPr>
                  <w:tcW w:w="499" w:type="pct"/>
                  <w:shd w:val="clear" w:color="auto" w:fill="auto"/>
                  <w:vAlign w:val="bottom"/>
                </w:tcPr>
                <w:p w:rsidR="007544CA" w:rsidRPr="006C358F" w:rsidRDefault="007544CA" w:rsidP="00133508">
                  <w:pPr>
                    <w:pStyle w:val="TableBodyText"/>
                    <w:spacing w:after="0"/>
                    <w:ind w:left="0" w:right="57"/>
                  </w:pPr>
                  <w:r w:rsidRPr="006C358F">
                    <w:t>23.7</w:t>
                  </w:r>
                </w:p>
              </w:tc>
              <w:tc>
                <w:tcPr>
                  <w:tcW w:w="496" w:type="pct"/>
                  <w:shd w:val="clear" w:color="auto" w:fill="auto"/>
                  <w:vAlign w:val="bottom"/>
                </w:tcPr>
                <w:p w:rsidR="007544CA" w:rsidRPr="006C358F" w:rsidRDefault="007544CA" w:rsidP="00133508">
                  <w:pPr>
                    <w:pStyle w:val="TableBodyText"/>
                    <w:spacing w:after="0"/>
                    <w:ind w:left="0" w:right="57"/>
                  </w:pPr>
                  <w:r w:rsidRPr="006C358F">
                    <w:t>31.6</w:t>
                  </w:r>
                </w:p>
              </w:tc>
            </w:tr>
            <w:tr w:rsidR="007544CA" w:rsidTr="00133508">
              <w:tc>
                <w:tcPr>
                  <w:tcW w:w="2002" w:type="pct"/>
                  <w:shd w:val="clear" w:color="auto" w:fill="auto"/>
                  <w:vAlign w:val="center"/>
                </w:tcPr>
                <w:p w:rsidR="007544CA" w:rsidRPr="00E532D9" w:rsidRDefault="007544CA" w:rsidP="00133508">
                  <w:pPr>
                    <w:rPr>
                      <w:rFonts w:ascii="Arial" w:hAnsi="Arial" w:cs="Arial"/>
                      <w:sz w:val="18"/>
                      <w:szCs w:val="18"/>
                    </w:rPr>
                  </w:pPr>
                  <w:r w:rsidRPr="00E532D9">
                    <w:rPr>
                      <w:rFonts w:ascii="Arial" w:hAnsi="Arial" w:cs="Arial"/>
                      <w:sz w:val="18"/>
                      <w:szCs w:val="18"/>
                    </w:rPr>
                    <w:t>Aquaculture and fishing</w:t>
                  </w:r>
                </w:p>
              </w:tc>
              <w:tc>
                <w:tcPr>
                  <w:tcW w:w="502" w:type="pct"/>
                  <w:vAlign w:val="bottom"/>
                </w:tcPr>
                <w:p w:rsidR="007544CA" w:rsidRPr="006C358F" w:rsidRDefault="007544CA" w:rsidP="00133508">
                  <w:pPr>
                    <w:pStyle w:val="TableBodyText"/>
                    <w:spacing w:after="0"/>
                    <w:ind w:left="0" w:right="57"/>
                  </w:pPr>
                  <w:r w:rsidRPr="006C358F">
                    <w:t>66.5</w:t>
                  </w:r>
                </w:p>
              </w:tc>
              <w:tc>
                <w:tcPr>
                  <w:tcW w:w="501" w:type="pct"/>
                  <w:vAlign w:val="bottom"/>
                </w:tcPr>
                <w:p w:rsidR="007544CA" w:rsidRPr="006C358F" w:rsidRDefault="007544CA" w:rsidP="00133508">
                  <w:pPr>
                    <w:pStyle w:val="TableBodyText"/>
                    <w:spacing w:after="0"/>
                    <w:ind w:left="0" w:right="57"/>
                  </w:pPr>
                  <w:r w:rsidRPr="006C358F">
                    <w:t>64.6</w:t>
                  </w:r>
                </w:p>
              </w:tc>
              <w:tc>
                <w:tcPr>
                  <w:tcW w:w="501" w:type="pct"/>
                  <w:vAlign w:val="bottom"/>
                </w:tcPr>
                <w:p w:rsidR="007544CA" w:rsidRPr="006C358F" w:rsidRDefault="007544CA" w:rsidP="00133508">
                  <w:pPr>
                    <w:pStyle w:val="TableBodyText"/>
                    <w:spacing w:after="0"/>
                    <w:ind w:left="0" w:right="57"/>
                  </w:pPr>
                  <w:r w:rsidRPr="006C358F">
                    <w:t>53.8</w:t>
                  </w:r>
                </w:p>
              </w:tc>
              <w:tc>
                <w:tcPr>
                  <w:tcW w:w="499" w:type="pct"/>
                  <w:vAlign w:val="bottom"/>
                </w:tcPr>
                <w:p w:rsidR="007544CA" w:rsidRPr="006C358F" w:rsidRDefault="007544CA" w:rsidP="00133508">
                  <w:pPr>
                    <w:pStyle w:val="TableBodyText"/>
                    <w:spacing w:after="0"/>
                    <w:ind w:left="0" w:right="57"/>
                  </w:pPr>
                  <w:r w:rsidRPr="006C358F">
                    <w:t>48.5</w:t>
                  </w:r>
                </w:p>
              </w:tc>
              <w:tc>
                <w:tcPr>
                  <w:tcW w:w="499" w:type="pct"/>
                  <w:shd w:val="clear" w:color="auto" w:fill="auto"/>
                  <w:vAlign w:val="bottom"/>
                </w:tcPr>
                <w:p w:rsidR="007544CA" w:rsidRPr="006C358F" w:rsidRDefault="007544CA" w:rsidP="00133508">
                  <w:pPr>
                    <w:pStyle w:val="TableBodyText"/>
                    <w:spacing w:after="0"/>
                    <w:ind w:left="0" w:right="57"/>
                  </w:pPr>
                  <w:r w:rsidRPr="006C358F">
                    <w:t>51.5</w:t>
                  </w:r>
                </w:p>
              </w:tc>
              <w:tc>
                <w:tcPr>
                  <w:tcW w:w="496" w:type="pct"/>
                  <w:shd w:val="clear" w:color="auto" w:fill="auto"/>
                  <w:vAlign w:val="bottom"/>
                </w:tcPr>
                <w:p w:rsidR="007544CA" w:rsidRPr="006C358F" w:rsidRDefault="007544CA" w:rsidP="00133508">
                  <w:pPr>
                    <w:pStyle w:val="TableBodyText"/>
                    <w:spacing w:after="0"/>
                    <w:ind w:left="0" w:right="57"/>
                  </w:pPr>
                  <w:r w:rsidRPr="006C358F">
                    <w:t>54.9</w:t>
                  </w:r>
                </w:p>
              </w:tc>
            </w:tr>
            <w:tr w:rsidR="007544CA" w:rsidTr="00133508">
              <w:tc>
                <w:tcPr>
                  <w:tcW w:w="2002" w:type="pct"/>
                  <w:shd w:val="clear" w:color="auto" w:fill="auto"/>
                  <w:vAlign w:val="center"/>
                </w:tcPr>
                <w:p w:rsidR="007544CA" w:rsidRPr="00E532D9" w:rsidRDefault="007544CA" w:rsidP="00133508">
                  <w:pPr>
                    <w:rPr>
                      <w:rFonts w:ascii="Arial" w:hAnsi="Arial" w:cs="Arial"/>
                      <w:sz w:val="18"/>
                      <w:szCs w:val="18"/>
                    </w:rPr>
                  </w:pPr>
                  <w:r w:rsidRPr="00E532D9">
                    <w:rPr>
                      <w:rFonts w:ascii="Arial" w:hAnsi="Arial" w:cs="Arial"/>
                      <w:sz w:val="18"/>
                      <w:szCs w:val="18"/>
                    </w:rPr>
                    <w:t>Forestry and logging</w:t>
                  </w:r>
                </w:p>
              </w:tc>
              <w:tc>
                <w:tcPr>
                  <w:tcW w:w="502" w:type="pct"/>
                  <w:vAlign w:val="bottom"/>
                </w:tcPr>
                <w:p w:rsidR="007544CA" w:rsidRPr="006C358F" w:rsidRDefault="007544CA" w:rsidP="00133508">
                  <w:pPr>
                    <w:pStyle w:val="TableBodyText"/>
                    <w:spacing w:after="0"/>
                    <w:ind w:left="0" w:right="57"/>
                  </w:pPr>
                  <w:r w:rsidRPr="006C358F">
                    <w:t>18.2</w:t>
                  </w:r>
                </w:p>
              </w:tc>
              <w:tc>
                <w:tcPr>
                  <w:tcW w:w="501" w:type="pct"/>
                  <w:vAlign w:val="bottom"/>
                </w:tcPr>
                <w:p w:rsidR="007544CA" w:rsidRPr="006C358F" w:rsidRDefault="007544CA" w:rsidP="00133508">
                  <w:pPr>
                    <w:pStyle w:val="TableBodyText"/>
                    <w:spacing w:after="0"/>
                    <w:ind w:left="0" w:right="57"/>
                  </w:pPr>
                  <w:r w:rsidRPr="006C358F">
                    <w:t>34.2</w:t>
                  </w:r>
                </w:p>
              </w:tc>
              <w:tc>
                <w:tcPr>
                  <w:tcW w:w="501" w:type="pct"/>
                  <w:vAlign w:val="bottom"/>
                </w:tcPr>
                <w:p w:rsidR="007544CA" w:rsidRPr="006C358F" w:rsidRDefault="007544CA" w:rsidP="00133508">
                  <w:pPr>
                    <w:pStyle w:val="TableBodyText"/>
                    <w:spacing w:after="0"/>
                    <w:ind w:left="0" w:right="57"/>
                  </w:pPr>
                  <w:r w:rsidRPr="006C358F">
                    <w:t>64.1</w:t>
                  </w:r>
                </w:p>
              </w:tc>
              <w:tc>
                <w:tcPr>
                  <w:tcW w:w="499" w:type="pct"/>
                  <w:vAlign w:val="bottom"/>
                </w:tcPr>
                <w:p w:rsidR="007544CA" w:rsidRPr="006C358F" w:rsidRDefault="007544CA" w:rsidP="00133508">
                  <w:pPr>
                    <w:pStyle w:val="TableBodyText"/>
                    <w:spacing w:after="0"/>
                    <w:ind w:left="0" w:right="57"/>
                  </w:pPr>
                  <w:r w:rsidRPr="006C358F">
                    <w:t>36.2</w:t>
                  </w:r>
                </w:p>
              </w:tc>
              <w:tc>
                <w:tcPr>
                  <w:tcW w:w="499" w:type="pct"/>
                  <w:shd w:val="clear" w:color="auto" w:fill="auto"/>
                  <w:vAlign w:val="bottom"/>
                </w:tcPr>
                <w:p w:rsidR="007544CA" w:rsidRPr="006C358F" w:rsidRDefault="007544CA" w:rsidP="00133508">
                  <w:pPr>
                    <w:pStyle w:val="TableBodyText"/>
                    <w:spacing w:after="0"/>
                    <w:ind w:left="0" w:right="57"/>
                  </w:pPr>
                  <w:r w:rsidRPr="006C358F">
                    <w:t>14.6</w:t>
                  </w:r>
                </w:p>
              </w:tc>
              <w:tc>
                <w:tcPr>
                  <w:tcW w:w="496" w:type="pct"/>
                  <w:shd w:val="clear" w:color="auto" w:fill="auto"/>
                  <w:vAlign w:val="bottom"/>
                </w:tcPr>
                <w:p w:rsidR="007544CA" w:rsidRPr="006C358F" w:rsidRDefault="007544CA" w:rsidP="00133508">
                  <w:pPr>
                    <w:pStyle w:val="TableBodyText"/>
                    <w:spacing w:after="0"/>
                    <w:ind w:left="0" w:right="57"/>
                  </w:pPr>
                  <w:r w:rsidRPr="006C358F">
                    <w:t>12.6</w:t>
                  </w:r>
                </w:p>
              </w:tc>
            </w:tr>
            <w:tr w:rsidR="007544CA" w:rsidTr="00133508">
              <w:tc>
                <w:tcPr>
                  <w:tcW w:w="2002" w:type="pct"/>
                  <w:shd w:val="clear" w:color="auto" w:fill="auto"/>
                  <w:vAlign w:val="center"/>
                </w:tcPr>
                <w:p w:rsidR="007544CA" w:rsidRPr="00E532D9" w:rsidRDefault="007544CA" w:rsidP="00133508">
                  <w:pPr>
                    <w:rPr>
                      <w:rFonts w:ascii="Arial" w:hAnsi="Arial" w:cs="Arial"/>
                      <w:sz w:val="18"/>
                      <w:szCs w:val="18"/>
                    </w:rPr>
                  </w:pPr>
                  <w:r w:rsidRPr="00E532D9">
                    <w:rPr>
                      <w:rFonts w:ascii="Arial" w:hAnsi="Arial" w:cs="Arial"/>
                      <w:sz w:val="18"/>
                      <w:szCs w:val="18"/>
                    </w:rPr>
                    <w:t>Primary production support services</w:t>
                  </w:r>
                </w:p>
              </w:tc>
              <w:tc>
                <w:tcPr>
                  <w:tcW w:w="502" w:type="pct"/>
                  <w:vAlign w:val="bottom"/>
                </w:tcPr>
                <w:p w:rsidR="007544CA" w:rsidRPr="006C358F" w:rsidRDefault="007544CA" w:rsidP="00133508">
                  <w:pPr>
                    <w:pStyle w:val="TableBodyText"/>
                    <w:spacing w:after="0"/>
                    <w:ind w:left="0" w:right="57"/>
                  </w:pPr>
                  <w:r w:rsidRPr="006C358F">
                    <w:t>5.2</w:t>
                  </w:r>
                </w:p>
              </w:tc>
              <w:tc>
                <w:tcPr>
                  <w:tcW w:w="501" w:type="pct"/>
                  <w:vAlign w:val="bottom"/>
                </w:tcPr>
                <w:p w:rsidR="007544CA" w:rsidRPr="006C358F" w:rsidRDefault="007544CA" w:rsidP="00133508">
                  <w:pPr>
                    <w:pStyle w:val="TableBodyText"/>
                    <w:spacing w:after="0"/>
                    <w:ind w:left="0" w:right="57"/>
                  </w:pPr>
                  <w:r w:rsidRPr="006C358F">
                    <w:t>2.3</w:t>
                  </w:r>
                </w:p>
              </w:tc>
              <w:tc>
                <w:tcPr>
                  <w:tcW w:w="501" w:type="pct"/>
                  <w:vAlign w:val="bottom"/>
                </w:tcPr>
                <w:p w:rsidR="007544CA" w:rsidRPr="006C358F" w:rsidRDefault="007544CA" w:rsidP="00133508">
                  <w:pPr>
                    <w:pStyle w:val="TableBodyText"/>
                    <w:spacing w:after="0"/>
                    <w:ind w:left="0" w:right="57"/>
                  </w:pPr>
                  <w:r w:rsidRPr="006C358F">
                    <w:t>5.7</w:t>
                  </w:r>
                </w:p>
              </w:tc>
              <w:tc>
                <w:tcPr>
                  <w:tcW w:w="499" w:type="pct"/>
                  <w:vAlign w:val="bottom"/>
                </w:tcPr>
                <w:p w:rsidR="007544CA" w:rsidRPr="006C358F" w:rsidRDefault="007544CA" w:rsidP="00133508">
                  <w:pPr>
                    <w:pStyle w:val="TableBodyText"/>
                    <w:spacing w:after="0"/>
                    <w:ind w:left="0" w:right="57"/>
                  </w:pPr>
                  <w:r w:rsidRPr="006C358F">
                    <w:t>3.9</w:t>
                  </w:r>
                </w:p>
              </w:tc>
              <w:tc>
                <w:tcPr>
                  <w:tcW w:w="499" w:type="pct"/>
                  <w:shd w:val="clear" w:color="auto" w:fill="auto"/>
                  <w:vAlign w:val="bottom"/>
                </w:tcPr>
                <w:p w:rsidR="007544CA" w:rsidRPr="006C358F" w:rsidRDefault="007544CA" w:rsidP="00133508">
                  <w:pPr>
                    <w:pStyle w:val="TableBodyText"/>
                    <w:spacing w:after="0"/>
                    <w:ind w:left="0" w:right="57"/>
                  </w:pPr>
                  <w:r w:rsidRPr="006C358F">
                    <w:t>5.0</w:t>
                  </w:r>
                </w:p>
              </w:tc>
              <w:tc>
                <w:tcPr>
                  <w:tcW w:w="496" w:type="pct"/>
                  <w:shd w:val="clear" w:color="auto" w:fill="auto"/>
                  <w:vAlign w:val="bottom"/>
                </w:tcPr>
                <w:p w:rsidR="007544CA" w:rsidRPr="006C358F" w:rsidRDefault="007544CA" w:rsidP="00133508">
                  <w:pPr>
                    <w:pStyle w:val="TableBodyText"/>
                    <w:spacing w:after="0"/>
                    <w:ind w:left="0" w:right="57"/>
                  </w:pPr>
                  <w:r w:rsidRPr="006C358F">
                    <w:t>3.3</w:t>
                  </w:r>
                </w:p>
              </w:tc>
            </w:tr>
            <w:tr w:rsidR="007544CA" w:rsidTr="00133508">
              <w:tc>
                <w:tcPr>
                  <w:tcW w:w="2002" w:type="pct"/>
                  <w:shd w:val="clear" w:color="auto" w:fill="auto"/>
                  <w:vAlign w:val="center"/>
                </w:tcPr>
                <w:p w:rsidR="007544CA" w:rsidRPr="00E532D9" w:rsidRDefault="007544CA" w:rsidP="00133508">
                  <w:pPr>
                    <w:rPr>
                      <w:rFonts w:ascii="Arial" w:hAnsi="Arial" w:cs="Arial"/>
                      <w:sz w:val="18"/>
                      <w:szCs w:val="18"/>
                    </w:rPr>
                  </w:pPr>
                  <w:r w:rsidRPr="00E532D9">
                    <w:rPr>
                      <w:rFonts w:ascii="Arial" w:hAnsi="Arial" w:cs="Arial"/>
                      <w:sz w:val="18"/>
                      <w:szCs w:val="18"/>
                    </w:rPr>
                    <w:t>Unallocated primary production</w:t>
                  </w:r>
                  <w:r>
                    <w:rPr>
                      <w:rStyle w:val="NoteLabel"/>
                    </w:rPr>
                    <w:t>a</w:t>
                  </w:r>
                </w:p>
              </w:tc>
              <w:tc>
                <w:tcPr>
                  <w:tcW w:w="502" w:type="pct"/>
                  <w:vAlign w:val="bottom"/>
                </w:tcPr>
                <w:p w:rsidR="007544CA" w:rsidRPr="006C358F" w:rsidRDefault="007544CA" w:rsidP="00133508">
                  <w:pPr>
                    <w:pStyle w:val="TableBodyText"/>
                    <w:spacing w:after="0"/>
                    <w:ind w:left="0" w:right="57"/>
                  </w:pPr>
                  <w:r w:rsidRPr="006C358F">
                    <w:t>275.9</w:t>
                  </w:r>
                </w:p>
              </w:tc>
              <w:tc>
                <w:tcPr>
                  <w:tcW w:w="501" w:type="pct"/>
                  <w:vAlign w:val="bottom"/>
                </w:tcPr>
                <w:p w:rsidR="007544CA" w:rsidRPr="006C358F" w:rsidRDefault="007544CA" w:rsidP="00133508">
                  <w:pPr>
                    <w:pStyle w:val="TableBodyText"/>
                    <w:spacing w:after="0"/>
                    <w:ind w:left="0" w:right="57"/>
                  </w:pPr>
                  <w:r w:rsidRPr="006C358F">
                    <w:t>261.0</w:t>
                  </w:r>
                </w:p>
              </w:tc>
              <w:tc>
                <w:tcPr>
                  <w:tcW w:w="501" w:type="pct"/>
                  <w:vAlign w:val="bottom"/>
                </w:tcPr>
                <w:p w:rsidR="007544CA" w:rsidRPr="006C358F" w:rsidRDefault="007544CA" w:rsidP="00133508">
                  <w:pPr>
                    <w:pStyle w:val="TableBodyText"/>
                    <w:spacing w:after="0"/>
                    <w:ind w:left="0" w:right="57"/>
                  </w:pPr>
                  <w:r w:rsidRPr="006C358F">
                    <w:t>352.5</w:t>
                  </w:r>
                </w:p>
              </w:tc>
              <w:tc>
                <w:tcPr>
                  <w:tcW w:w="499" w:type="pct"/>
                  <w:vAlign w:val="bottom"/>
                </w:tcPr>
                <w:p w:rsidR="007544CA" w:rsidRPr="006C358F" w:rsidRDefault="007544CA" w:rsidP="00133508">
                  <w:pPr>
                    <w:pStyle w:val="TableBodyText"/>
                    <w:spacing w:after="0"/>
                    <w:ind w:left="0" w:right="57"/>
                  </w:pPr>
                  <w:r w:rsidRPr="006C358F">
                    <w:t>245.8</w:t>
                  </w:r>
                </w:p>
              </w:tc>
              <w:tc>
                <w:tcPr>
                  <w:tcW w:w="499" w:type="pct"/>
                  <w:shd w:val="clear" w:color="auto" w:fill="auto"/>
                  <w:vAlign w:val="bottom"/>
                </w:tcPr>
                <w:p w:rsidR="007544CA" w:rsidRPr="006C358F" w:rsidRDefault="007544CA" w:rsidP="00133508">
                  <w:pPr>
                    <w:pStyle w:val="TableBodyText"/>
                    <w:spacing w:after="0"/>
                    <w:ind w:left="0" w:right="57"/>
                  </w:pPr>
                  <w:r w:rsidRPr="006C358F">
                    <w:t>225.5</w:t>
                  </w:r>
                </w:p>
              </w:tc>
              <w:tc>
                <w:tcPr>
                  <w:tcW w:w="496" w:type="pct"/>
                  <w:shd w:val="clear" w:color="auto" w:fill="auto"/>
                  <w:vAlign w:val="bottom"/>
                </w:tcPr>
                <w:p w:rsidR="007544CA" w:rsidRPr="006C358F" w:rsidRDefault="007544CA" w:rsidP="00133508">
                  <w:pPr>
                    <w:pStyle w:val="TableBodyText"/>
                    <w:spacing w:after="0"/>
                    <w:ind w:left="0" w:right="57"/>
                  </w:pPr>
                  <w:r w:rsidRPr="006C358F">
                    <w:t>214.8</w:t>
                  </w:r>
                </w:p>
              </w:tc>
            </w:tr>
            <w:tr w:rsidR="007544CA" w:rsidRPr="007E34F5" w:rsidTr="00133508">
              <w:tc>
                <w:tcPr>
                  <w:tcW w:w="2002" w:type="pct"/>
                  <w:shd w:val="clear" w:color="auto" w:fill="auto"/>
                  <w:vAlign w:val="bottom"/>
                </w:tcPr>
                <w:p w:rsidR="007544CA" w:rsidRPr="007E34F5" w:rsidRDefault="007544CA" w:rsidP="00133508">
                  <w:pPr>
                    <w:rPr>
                      <w:rFonts w:ascii="Arial" w:hAnsi="Arial" w:cs="Arial"/>
                      <w:b/>
                      <w:bCs/>
                      <w:sz w:val="18"/>
                      <w:szCs w:val="18"/>
                    </w:rPr>
                  </w:pPr>
                  <w:r w:rsidRPr="007E34F5">
                    <w:rPr>
                      <w:rFonts w:ascii="Arial" w:hAnsi="Arial" w:cs="Arial"/>
                      <w:b/>
                      <w:bCs/>
                      <w:sz w:val="18"/>
                      <w:szCs w:val="18"/>
                    </w:rPr>
                    <w:t>Mining</w:t>
                  </w:r>
                </w:p>
              </w:tc>
              <w:tc>
                <w:tcPr>
                  <w:tcW w:w="502" w:type="pct"/>
                  <w:vAlign w:val="bottom"/>
                </w:tcPr>
                <w:p w:rsidR="007544CA" w:rsidRPr="006C358F" w:rsidRDefault="007544CA" w:rsidP="00133508">
                  <w:pPr>
                    <w:pStyle w:val="TableBodyText"/>
                    <w:spacing w:after="0"/>
                    <w:ind w:left="0" w:right="57"/>
                    <w:rPr>
                      <w:b/>
                    </w:rPr>
                  </w:pPr>
                  <w:r w:rsidRPr="006C358F">
                    <w:rPr>
                      <w:b/>
                    </w:rPr>
                    <w:t>171.4</w:t>
                  </w:r>
                </w:p>
              </w:tc>
              <w:tc>
                <w:tcPr>
                  <w:tcW w:w="501" w:type="pct"/>
                  <w:vAlign w:val="bottom"/>
                </w:tcPr>
                <w:p w:rsidR="007544CA" w:rsidRPr="006C358F" w:rsidRDefault="007544CA" w:rsidP="00133508">
                  <w:pPr>
                    <w:pStyle w:val="TableBodyText"/>
                    <w:spacing w:after="0"/>
                    <w:ind w:left="0" w:right="57"/>
                    <w:rPr>
                      <w:b/>
                    </w:rPr>
                  </w:pPr>
                  <w:r w:rsidRPr="006C358F">
                    <w:rPr>
                      <w:b/>
                    </w:rPr>
                    <w:t>186.3</w:t>
                  </w:r>
                </w:p>
              </w:tc>
              <w:tc>
                <w:tcPr>
                  <w:tcW w:w="501" w:type="pct"/>
                  <w:vAlign w:val="bottom"/>
                </w:tcPr>
                <w:p w:rsidR="007544CA" w:rsidRPr="006C358F" w:rsidRDefault="007544CA" w:rsidP="00133508">
                  <w:pPr>
                    <w:pStyle w:val="TableBodyText"/>
                    <w:spacing w:after="0"/>
                    <w:ind w:left="0" w:right="57"/>
                    <w:rPr>
                      <w:b/>
                    </w:rPr>
                  </w:pPr>
                  <w:r w:rsidRPr="006C358F">
                    <w:rPr>
                      <w:b/>
                    </w:rPr>
                    <w:t>398.1</w:t>
                  </w:r>
                </w:p>
              </w:tc>
              <w:tc>
                <w:tcPr>
                  <w:tcW w:w="499" w:type="pct"/>
                  <w:vAlign w:val="bottom"/>
                </w:tcPr>
                <w:p w:rsidR="007544CA" w:rsidRPr="006C358F" w:rsidRDefault="007544CA" w:rsidP="00133508">
                  <w:pPr>
                    <w:pStyle w:val="TableBodyText"/>
                    <w:spacing w:after="0"/>
                    <w:ind w:left="0" w:right="57"/>
                    <w:rPr>
                      <w:b/>
                    </w:rPr>
                  </w:pPr>
                  <w:r w:rsidRPr="006C358F">
                    <w:rPr>
                      <w:b/>
                    </w:rPr>
                    <w:t>171.7</w:t>
                  </w:r>
                </w:p>
              </w:tc>
              <w:tc>
                <w:tcPr>
                  <w:tcW w:w="499" w:type="pct"/>
                  <w:shd w:val="clear" w:color="auto" w:fill="auto"/>
                  <w:vAlign w:val="bottom"/>
                </w:tcPr>
                <w:p w:rsidR="007544CA" w:rsidRPr="006C358F" w:rsidRDefault="007544CA" w:rsidP="00133508">
                  <w:pPr>
                    <w:pStyle w:val="TableBodyText"/>
                    <w:spacing w:after="0"/>
                    <w:ind w:left="0" w:right="57"/>
                    <w:rPr>
                      <w:b/>
                    </w:rPr>
                  </w:pPr>
                  <w:r w:rsidRPr="006C358F">
                    <w:rPr>
                      <w:b/>
                    </w:rPr>
                    <w:t>259.1</w:t>
                  </w:r>
                </w:p>
              </w:tc>
              <w:tc>
                <w:tcPr>
                  <w:tcW w:w="496" w:type="pct"/>
                  <w:shd w:val="clear" w:color="auto" w:fill="auto"/>
                  <w:vAlign w:val="bottom"/>
                </w:tcPr>
                <w:p w:rsidR="007544CA" w:rsidRPr="006C358F" w:rsidRDefault="007544CA" w:rsidP="00133508">
                  <w:pPr>
                    <w:pStyle w:val="TableBodyText"/>
                    <w:spacing w:after="0"/>
                    <w:ind w:left="0" w:right="57"/>
                    <w:rPr>
                      <w:b/>
                    </w:rPr>
                  </w:pPr>
                  <w:r w:rsidRPr="006C358F">
                    <w:rPr>
                      <w:b/>
                    </w:rPr>
                    <w:t>263.8</w:t>
                  </w:r>
                </w:p>
              </w:tc>
            </w:tr>
            <w:tr w:rsidR="007544CA" w:rsidRPr="007E34F5" w:rsidTr="00133508">
              <w:tc>
                <w:tcPr>
                  <w:tcW w:w="2002" w:type="pct"/>
                  <w:shd w:val="clear" w:color="auto" w:fill="auto"/>
                  <w:vAlign w:val="bottom"/>
                </w:tcPr>
                <w:p w:rsidR="007544CA" w:rsidRPr="007E34F5" w:rsidRDefault="007544CA" w:rsidP="00133508">
                  <w:pPr>
                    <w:rPr>
                      <w:rFonts w:ascii="Arial" w:hAnsi="Arial" w:cs="Arial"/>
                      <w:b/>
                      <w:bCs/>
                      <w:sz w:val="18"/>
                      <w:szCs w:val="18"/>
                    </w:rPr>
                  </w:pPr>
                  <w:r w:rsidRPr="007E34F5">
                    <w:rPr>
                      <w:rFonts w:ascii="Arial" w:hAnsi="Arial" w:cs="Arial"/>
                      <w:b/>
                      <w:bCs/>
                      <w:sz w:val="18"/>
                      <w:szCs w:val="18"/>
                    </w:rPr>
                    <w:t>Manufacturing</w:t>
                  </w:r>
                </w:p>
              </w:tc>
              <w:tc>
                <w:tcPr>
                  <w:tcW w:w="502" w:type="pct"/>
                  <w:vAlign w:val="bottom"/>
                </w:tcPr>
                <w:p w:rsidR="007544CA" w:rsidRPr="006C358F" w:rsidRDefault="007544CA" w:rsidP="00133508">
                  <w:pPr>
                    <w:pStyle w:val="TableBodyText"/>
                    <w:spacing w:after="0"/>
                    <w:ind w:left="0" w:right="57"/>
                    <w:rPr>
                      <w:b/>
                    </w:rPr>
                  </w:pPr>
                  <w:r w:rsidRPr="006C358F">
                    <w:rPr>
                      <w:b/>
                    </w:rPr>
                    <w:t>971.1</w:t>
                  </w:r>
                </w:p>
              </w:tc>
              <w:tc>
                <w:tcPr>
                  <w:tcW w:w="501" w:type="pct"/>
                  <w:vAlign w:val="bottom"/>
                </w:tcPr>
                <w:p w:rsidR="007544CA" w:rsidRPr="006C358F" w:rsidRDefault="007544CA" w:rsidP="00133508">
                  <w:pPr>
                    <w:pStyle w:val="TableBodyText"/>
                    <w:spacing w:after="0"/>
                    <w:ind w:left="0" w:right="57"/>
                    <w:rPr>
                      <w:b/>
                    </w:rPr>
                  </w:pPr>
                  <w:r w:rsidRPr="006C358F">
                    <w:rPr>
                      <w:b/>
                    </w:rPr>
                    <w:t>947.4</w:t>
                  </w:r>
                </w:p>
              </w:tc>
              <w:tc>
                <w:tcPr>
                  <w:tcW w:w="501" w:type="pct"/>
                  <w:vAlign w:val="bottom"/>
                </w:tcPr>
                <w:p w:rsidR="007544CA" w:rsidRPr="006C358F" w:rsidRDefault="007544CA" w:rsidP="00133508">
                  <w:pPr>
                    <w:pStyle w:val="TableBodyText"/>
                    <w:spacing w:after="0"/>
                    <w:ind w:left="0" w:right="57"/>
                    <w:rPr>
                      <w:b/>
                    </w:rPr>
                  </w:pPr>
                  <w:r w:rsidRPr="006C358F">
                    <w:rPr>
                      <w:b/>
                    </w:rPr>
                    <w:t>1376.1</w:t>
                  </w:r>
                </w:p>
              </w:tc>
              <w:tc>
                <w:tcPr>
                  <w:tcW w:w="499" w:type="pct"/>
                  <w:vAlign w:val="bottom"/>
                </w:tcPr>
                <w:p w:rsidR="007544CA" w:rsidRPr="006C358F" w:rsidRDefault="007544CA" w:rsidP="00133508">
                  <w:pPr>
                    <w:pStyle w:val="TableBodyText"/>
                    <w:spacing w:after="0"/>
                    <w:ind w:left="0" w:right="57"/>
                    <w:rPr>
                      <w:b/>
                    </w:rPr>
                  </w:pPr>
                  <w:r w:rsidRPr="006C358F">
                    <w:rPr>
                      <w:b/>
                    </w:rPr>
                    <w:t>1034.4</w:t>
                  </w:r>
                </w:p>
              </w:tc>
              <w:tc>
                <w:tcPr>
                  <w:tcW w:w="499" w:type="pct"/>
                  <w:shd w:val="clear" w:color="auto" w:fill="auto"/>
                  <w:vAlign w:val="bottom"/>
                </w:tcPr>
                <w:p w:rsidR="007544CA" w:rsidRPr="006C358F" w:rsidRDefault="007544CA" w:rsidP="00133508">
                  <w:pPr>
                    <w:pStyle w:val="TableBodyText"/>
                    <w:spacing w:after="0"/>
                    <w:ind w:left="0" w:right="57"/>
                    <w:rPr>
                      <w:b/>
                    </w:rPr>
                  </w:pPr>
                  <w:r w:rsidRPr="006C358F">
                    <w:rPr>
                      <w:b/>
                    </w:rPr>
                    <w:t>1110.0</w:t>
                  </w:r>
                </w:p>
              </w:tc>
              <w:tc>
                <w:tcPr>
                  <w:tcW w:w="496" w:type="pct"/>
                  <w:shd w:val="clear" w:color="auto" w:fill="auto"/>
                  <w:vAlign w:val="bottom"/>
                </w:tcPr>
                <w:p w:rsidR="007544CA" w:rsidRPr="006C358F" w:rsidRDefault="007544CA" w:rsidP="00133508">
                  <w:pPr>
                    <w:pStyle w:val="TableBodyText"/>
                    <w:spacing w:after="0"/>
                    <w:ind w:left="0" w:right="57"/>
                    <w:rPr>
                      <w:b/>
                    </w:rPr>
                  </w:pPr>
                  <w:r w:rsidRPr="006C358F">
                    <w:rPr>
                      <w:b/>
                    </w:rPr>
                    <w:t>1091.7</w:t>
                  </w:r>
                </w:p>
              </w:tc>
            </w:tr>
            <w:tr w:rsidR="007544CA" w:rsidTr="00133508">
              <w:tc>
                <w:tcPr>
                  <w:tcW w:w="2002" w:type="pct"/>
                  <w:shd w:val="clear" w:color="auto" w:fill="auto"/>
                  <w:vAlign w:val="center"/>
                </w:tcPr>
                <w:p w:rsidR="007544CA" w:rsidRPr="00E532D9" w:rsidRDefault="007544CA" w:rsidP="00133508">
                  <w:pPr>
                    <w:rPr>
                      <w:rFonts w:ascii="Arial" w:hAnsi="Arial" w:cs="Arial"/>
                      <w:sz w:val="18"/>
                      <w:szCs w:val="18"/>
                    </w:rPr>
                  </w:pPr>
                  <w:r w:rsidRPr="00E532D9">
                    <w:rPr>
                      <w:rFonts w:ascii="Arial" w:hAnsi="Arial" w:cs="Arial"/>
                      <w:sz w:val="18"/>
                      <w:szCs w:val="18"/>
                    </w:rPr>
                    <w:t>Food, beverages and tobacco</w:t>
                  </w:r>
                </w:p>
              </w:tc>
              <w:tc>
                <w:tcPr>
                  <w:tcW w:w="502" w:type="pct"/>
                  <w:vAlign w:val="bottom"/>
                </w:tcPr>
                <w:p w:rsidR="007544CA" w:rsidRPr="006C358F" w:rsidRDefault="007544CA" w:rsidP="00133508">
                  <w:pPr>
                    <w:pStyle w:val="TableBodyText"/>
                    <w:spacing w:after="0"/>
                    <w:ind w:left="0" w:right="57"/>
                  </w:pPr>
                  <w:r w:rsidRPr="006C358F">
                    <w:t>53.0</w:t>
                  </w:r>
                </w:p>
              </w:tc>
              <w:tc>
                <w:tcPr>
                  <w:tcW w:w="501" w:type="pct"/>
                  <w:vAlign w:val="bottom"/>
                </w:tcPr>
                <w:p w:rsidR="007544CA" w:rsidRPr="006C358F" w:rsidRDefault="007544CA" w:rsidP="00133508">
                  <w:pPr>
                    <w:pStyle w:val="TableBodyText"/>
                    <w:spacing w:after="0"/>
                    <w:ind w:left="0" w:right="57"/>
                  </w:pPr>
                  <w:r w:rsidRPr="006C358F">
                    <w:t>51.4</w:t>
                  </w:r>
                </w:p>
              </w:tc>
              <w:tc>
                <w:tcPr>
                  <w:tcW w:w="501" w:type="pct"/>
                  <w:vAlign w:val="bottom"/>
                </w:tcPr>
                <w:p w:rsidR="007544CA" w:rsidRPr="006C358F" w:rsidRDefault="007544CA" w:rsidP="00133508">
                  <w:pPr>
                    <w:pStyle w:val="TableBodyText"/>
                    <w:spacing w:after="0"/>
                    <w:ind w:left="0" w:right="57"/>
                  </w:pPr>
                  <w:r w:rsidRPr="006C358F">
                    <w:t>27.4</w:t>
                  </w:r>
                </w:p>
              </w:tc>
              <w:tc>
                <w:tcPr>
                  <w:tcW w:w="499" w:type="pct"/>
                  <w:vAlign w:val="bottom"/>
                </w:tcPr>
                <w:p w:rsidR="007544CA" w:rsidRPr="006C358F" w:rsidRDefault="007544CA" w:rsidP="00133508">
                  <w:pPr>
                    <w:pStyle w:val="TableBodyText"/>
                    <w:spacing w:after="0"/>
                    <w:ind w:left="0" w:right="57"/>
                  </w:pPr>
                  <w:r w:rsidRPr="006C358F">
                    <w:t>41.9</w:t>
                  </w:r>
                </w:p>
              </w:tc>
              <w:tc>
                <w:tcPr>
                  <w:tcW w:w="499" w:type="pct"/>
                  <w:shd w:val="clear" w:color="auto" w:fill="auto"/>
                  <w:vAlign w:val="bottom"/>
                </w:tcPr>
                <w:p w:rsidR="007544CA" w:rsidRPr="006C358F" w:rsidRDefault="007544CA" w:rsidP="00133508">
                  <w:pPr>
                    <w:pStyle w:val="TableBodyText"/>
                    <w:spacing w:after="0"/>
                    <w:ind w:left="0" w:right="57"/>
                  </w:pPr>
                  <w:r w:rsidRPr="006C358F">
                    <w:t>89.1</w:t>
                  </w:r>
                </w:p>
              </w:tc>
              <w:tc>
                <w:tcPr>
                  <w:tcW w:w="496" w:type="pct"/>
                  <w:shd w:val="clear" w:color="auto" w:fill="auto"/>
                  <w:vAlign w:val="bottom"/>
                </w:tcPr>
                <w:p w:rsidR="007544CA" w:rsidRPr="006C358F" w:rsidRDefault="007544CA" w:rsidP="00133508">
                  <w:pPr>
                    <w:pStyle w:val="TableBodyText"/>
                    <w:spacing w:after="0"/>
                    <w:ind w:left="0" w:right="57"/>
                  </w:pPr>
                  <w:r w:rsidRPr="006C358F">
                    <w:t>72.0</w:t>
                  </w:r>
                </w:p>
              </w:tc>
            </w:tr>
            <w:tr w:rsidR="007544CA" w:rsidTr="00133508">
              <w:tc>
                <w:tcPr>
                  <w:tcW w:w="2002" w:type="pct"/>
                  <w:shd w:val="clear" w:color="auto" w:fill="auto"/>
                  <w:vAlign w:val="center"/>
                </w:tcPr>
                <w:p w:rsidR="007544CA" w:rsidRPr="00E532D9" w:rsidRDefault="007544CA" w:rsidP="00133508">
                  <w:pPr>
                    <w:rPr>
                      <w:rFonts w:ascii="Arial" w:hAnsi="Arial" w:cs="Arial"/>
                      <w:sz w:val="18"/>
                      <w:szCs w:val="18"/>
                    </w:rPr>
                  </w:pPr>
                  <w:r w:rsidRPr="00E532D9">
                    <w:rPr>
                      <w:rFonts w:ascii="Arial" w:hAnsi="Arial" w:cs="Arial"/>
                      <w:sz w:val="18"/>
                      <w:szCs w:val="18"/>
                    </w:rPr>
                    <w:t>Textile</w:t>
                  </w:r>
                  <w:r>
                    <w:rPr>
                      <w:rFonts w:ascii="Arial" w:hAnsi="Arial" w:cs="Arial"/>
                      <w:sz w:val="18"/>
                      <w:szCs w:val="18"/>
                    </w:rPr>
                    <w:t>s</w:t>
                  </w:r>
                  <w:r w:rsidRPr="00E532D9">
                    <w:rPr>
                      <w:rFonts w:ascii="Arial" w:hAnsi="Arial" w:cs="Arial"/>
                      <w:sz w:val="18"/>
                      <w:szCs w:val="18"/>
                    </w:rPr>
                    <w:t>, leather, clothing and footwear</w:t>
                  </w:r>
                </w:p>
              </w:tc>
              <w:tc>
                <w:tcPr>
                  <w:tcW w:w="502" w:type="pct"/>
                  <w:vAlign w:val="bottom"/>
                </w:tcPr>
                <w:p w:rsidR="007544CA" w:rsidRPr="006C358F" w:rsidRDefault="007544CA" w:rsidP="00133508">
                  <w:pPr>
                    <w:pStyle w:val="TableBodyText"/>
                    <w:spacing w:after="0"/>
                    <w:ind w:left="0" w:right="57"/>
                  </w:pPr>
                  <w:r w:rsidRPr="006C358F">
                    <w:t>122.2</w:t>
                  </w:r>
                </w:p>
              </w:tc>
              <w:tc>
                <w:tcPr>
                  <w:tcW w:w="501" w:type="pct"/>
                  <w:vAlign w:val="bottom"/>
                </w:tcPr>
                <w:p w:rsidR="007544CA" w:rsidRPr="006C358F" w:rsidRDefault="007544CA" w:rsidP="00133508">
                  <w:pPr>
                    <w:pStyle w:val="TableBodyText"/>
                    <w:spacing w:after="0"/>
                    <w:ind w:left="0" w:right="57"/>
                  </w:pPr>
                  <w:r w:rsidRPr="006C358F">
                    <w:t>122.6</w:t>
                  </w:r>
                </w:p>
              </w:tc>
              <w:tc>
                <w:tcPr>
                  <w:tcW w:w="501" w:type="pct"/>
                  <w:vAlign w:val="bottom"/>
                </w:tcPr>
                <w:p w:rsidR="007544CA" w:rsidRPr="006C358F" w:rsidRDefault="007544CA" w:rsidP="00133508">
                  <w:pPr>
                    <w:pStyle w:val="TableBodyText"/>
                    <w:spacing w:after="0"/>
                    <w:ind w:left="0" w:right="57"/>
                  </w:pPr>
                  <w:r w:rsidRPr="006C358F">
                    <w:t>50.4</w:t>
                  </w:r>
                </w:p>
              </w:tc>
              <w:tc>
                <w:tcPr>
                  <w:tcW w:w="499" w:type="pct"/>
                  <w:vAlign w:val="bottom"/>
                </w:tcPr>
                <w:p w:rsidR="007544CA" w:rsidRPr="006C358F" w:rsidRDefault="007544CA" w:rsidP="00133508">
                  <w:pPr>
                    <w:pStyle w:val="TableBodyText"/>
                    <w:spacing w:after="0"/>
                    <w:ind w:left="0" w:right="57"/>
                  </w:pPr>
                  <w:r w:rsidRPr="006C358F">
                    <w:t>46.0</w:t>
                  </w:r>
                </w:p>
              </w:tc>
              <w:tc>
                <w:tcPr>
                  <w:tcW w:w="499" w:type="pct"/>
                  <w:shd w:val="clear" w:color="auto" w:fill="auto"/>
                  <w:vAlign w:val="bottom"/>
                </w:tcPr>
                <w:p w:rsidR="007544CA" w:rsidRPr="006C358F" w:rsidRDefault="007544CA" w:rsidP="00133508">
                  <w:pPr>
                    <w:pStyle w:val="TableBodyText"/>
                    <w:spacing w:after="0"/>
                    <w:ind w:left="0" w:right="57"/>
                  </w:pPr>
                  <w:r w:rsidRPr="006C358F">
                    <w:t>51.6</w:t>
                  </w:r>
                </w:p>
              </w:tc>
              <w:tc>
                <w:tcPr>
                  <w:tcW w:w="496" w:type="pct"/>
                  <w:shd w:val="clear" w:color="auto" w:fill="auto"/>
                  <w:vAlign w:val="bottom"/>
                </w:tcPr>
                <w:p w:rsidR="007544CA" w:rsidRPr="006C358F" w:rsidRDefault="007544CA" w:rsidP="00133508">
                  <w:pPr>
                    <w:pStyle w:val="TableBodyText"/>
                    <w:spacing w:after="0"/>
                    <w:ind w:left="0" w:right="57"/>
                  </w:pPr>
                  <w:r w:rsidRPr="006C358F">
                    <w:t>48.4</w:t>
                  </w:r>
                </w:p>
              </w:tc>
            </w:tr>
            <w:tr w:rsidR="007544CA" w:rsidTr="00133508">
              <w:tc>
                <w:tcPr>
                  <w:tcW w:w="2002" w:type="pct"/>
                  <w:shd w:val="clear" w:color="auto" w:fill="auto"/>
                  <w:vAlign w:val="center"/>
                </w:tcPr>
                <w:p w:rsidR="007544CA" w:rsidRPr="00E532D9" w:rsidRDefault="007544CA" w:rsidP="00133508">
                  <w:pPr>
                    <w:rPr>
                      <w:rFonts w:ascii="Arial" w:hAnsi="Arial" w:cs="Arial"/>
                      <w:sz w:val="18"/>
                      <w:szCs w:val="18"/>
                    </w:rPr>
                  </w:pPr>
                  <w:r w:rsidRPr="00E532D9">
                    <w:rPr>
                      <w:rFonts w:ascii="Arial" w:hAnsi="Arial" w:cs="Arial"/>
                      <w:sz w:val="18"/>
                      <w:szCs w:val="18"/>
                    </w:rPr>
                    <w:t>Wood and paper products</w:t>
                  </w:r>
                </w:p>
              </w:tc>
              <w:tc>
                <w:tcPr>
                  <w:tcW w:w="502" w:type="pct"/>
                  <w:vAlign w:val="bottom"/>
                </w:tcPr>
                <w:p w:rsidR="007544CA" w:rsidRPr="006C358F" w:rsidRDefault="007544CA" w:rsidP="00133508">
                  <w:pPr>
                    <w:pStyle w:val="TableBodyText"/>
                    <w:spacing w:after="0"/>
                    <w:ind w:left="0" w:right="57"/>
                  </w:pPr>
                  <w:r w:rsidRPr="006C358F">
                    <w:t>14.5</w:t>
                  </w:r>
                </w:p>
              </w:tc>
              <w:tc>
                <w:tcPr>
                  <w:tcW w:w="501" w:type="pct"/>
                  <w:vAlign w:val="bottom"/>
                </w:tcPr>
                <w:p w:rsidR="007544CA" w:rsidRPr="006C358F" w:rsidRDefault="007544CA" w:rsidP="00133508">
                  <w:pPr>
                    <w:pStyle w:val="TableBodyText"/>
                    <w:spacing w:after="0"/>
                    <w:ind w:left="0" w:right="57"/>
                  </w:pPr>
                  <w:r w:rsidRPr="006C358F">
                    <w:t>10.5</w:t>
                  </w:r>
                </w:p>
              </w:tc>
              <w:tc>
                <w:tcPr>
                  <w:tcW w:w="501" w:type="pct"/>
                  <w:vAlign w:val="bottom"/>
                </w:tcPr>
                <w:p w:rsidR="007544CA" w:rsidRPr="006C358F" w:rsidRDefault="007544CA" w:rsidP="00133508">
                  <w:pPr>
                    <w:pStyle w:val="TableBodyText"/>
                    <w:spacing w:after="0"/>
                    <w:ind w:left="0" w:right="57"/>
                  </w:pPr>
                  <w:r w:rsidRPr="006C358F">
                    <w:t>5.6</w:t>
                  </w:r>
                </w:p>
              </w:tc>
              <w:tc>
                <w:tcPr>
                  <w:tcW w:w="499" w:type="pct"/>
                  <w:vAlign w:val="bottom"/>
                </w:tcPr>
                <w:p w:rsidR="007544CA" w:rsidRPr="006C358F" w:rsidRDefault="007544CA" w:rsidP="00133508">
                  <w:pPr>
                    <w:pStyle w:val="TableBodyText"/>
                    <w:spacing w:after="0"/>
                    <w:ind w:left="0" w:right="57"/>
                  </w:pPr>
                  <w:r w:rsidRPr="006C358F">
                    <w:t>16.8</w:t>
                  </w:r>
                </w:p>
              </w:tc>
              <w:tc>
                <w:tcPr>
                  <w:tcW w:w="499" w:type="pct"/>
                  <w:shd w:val="clear" w:color="auto" w:fill="auto"/>
                  <w:vAlign w:val="bottom"/>
                </w:tcPr>
                <w:p w:rsidR="007544CA" w:rsidRPr="006C358F" w:rsidRDefault="007544CA" w:rsidP="00133508">
                  <w:pPr>
                    <w:pStyle w:val="TableBodyText"/>
                    <w:spacing w:after="0"/>
                    <w:ind w:left="0" w:right="57"/>
                  </w:pPr>
                  <w:r w:rsidRPr="006C358F">
                    <w:t>11.2</w:t>
                  </w:r>
                </w:p>
              </w:tc>
              <w:tc>
                <w:tcPr>
                  <w:tcW w:w="496" w:type="pct"/>
                  <w:shd w:val="clear" w:color="auto" w:fill="auto"/>
                  <w:vAlign w:val="bottom"/>
                </w:tcPr>
                <w:p w:rsidR="007544CA" w:rsidRPr="006C358F" w:rsidRDefault="007544CA" w:rsidP="00133508">
                  <w:pPr>
                    <w:pStyle w:val="TableBodyText"/>
                    <w:spacing w:after="0"/>
                    <w:ind w:left="0" w:right="57"/>
                  </w:pPr>
                  <w:r w:rsidRPr="006C358F">
                    <w:t>11.5</w:t>
                  </w:r>
                </w:p>
              </w:tc>
            </w:tr>
            <w:tr w:rsidR="007544CA" w:rsidTr="00133508">
              <w:tc>
                <w:tcPr>
                  <w:tcW w:w="2002" w:type="pct"/>
                  <w:shd w:val="clear" w:color="auto" w:fill="auto"/>
                  <w:vAlign w:val="center"/>
                </w:tcPr>
                <w:p w:rsidR="007544CA" w:rsidRPr="00E532D9" w:rsidRDefault="007544CA" w:rsidP="00133508">
                  <w:pPr>
                    <w:rPr>
                      <w:rFonts w:ascii="Arial" w:hAnsi="Arial" w:cs="Arial"/>
                      <w:sz w:val="18"/>
                      <w:szCs w:val="18"/>
                    </w:rPr>
                  </w:pPr>
                  <w:r w:rsidRPr="00E532D9">
                    <w:rPr>
                      <w:rFonts w:ascii="Arial" w:hAnsi="Arial" w:cs="Arial"/>
                      <w:sz w:val="18"/>
                      <w:szCs w:val="18"/>
                    </w:rPr>
                    <w:t>Printing and recorded media</w:t>
                  </w:r>
                </w:p>
              </w:tc>
              <w:tc>
                <w:tcPr>
                  <w:tcW w:w="502" w:type="pct"/>
                  <w:vAlign w:val="bottom"/>
                </w:tcPr>
                <w:p w:rsidR="007544CA" w:rsidRPr="006C358F" w:rsidRDefault="007544CA" w:rsidP="00133508">
                  <w:pPr>
                    <w:pStyle w:val="TableBodyText"/>
                    <w:spacing w:after="0"/>
                    <w:ind w:left="0" w:right="57"/>
                  </w:pPr>
                  <w:r w:rsidRPr="006C358F">
                    <w:t>5.2</w:t>
                  </w:r>
                </w:p>
              </w:tc>
              <w:tc>
                <w:tcPr>
                  <w:tcW w:w="501" w:type="pct"/>
                  <w:vAlign w:val="bottom"/>
                </w:tcPr>
                <w:p w:rsidR="007544CA" w:rsidRPr="006C358F" w:rsidRDefault="007544CA" w:rsidP="00133508">
                  <w:pPr>
                    <w:pStyle w:val="TableBodyText"/>
                    <w:spacing w:after="0"/>
                    <w:ind w:left="0" w:right="57"/>
                  </w:pPr>
                  <w:r w:rsidRPr="006C358F">
                    <w:t>3.4</w:t>
                  </w:r>
                </w:p>
              </w:tc>
              <w:tc>
                <w:tcPr>
                  <w:tcW w:w="501" w:type="pct"/>
                  <w:vAlign w:val="bottom"/>
                </w:tcPr>
                <w:p w:rsidR="007544CA" w:rsidRPr="006C358F" w:rsidRDefault="007544CA" w:rsidP="00133508">
                  <w:pPr>
                    <w:pStyle w:val="TableBodyText"/>
                    <w:spacing w:after="0"/>
                    <w:ind w:left="0" w:right="57"/>
                  </w:pPr>
                  <w:r w:rsidRPr="006C358F">
                    <w:t>6.1</w:t>
                  </w:r>
                </w:p>
              </w:tc>
              <w:tc>
                <w:tcPr>
                  <w:tcW w:w="499" w:type="pct"/>
                  <w:vAlign w:val="bottom"/>
                </w:tcPr>
                <w:p w:rsidR="007544CA" w:rsidRPr="006C358F" w:rsidRDefault="007544CA" w:rsidP="00133508">
                  <w:pPr>
                    <w:pStyle w:val="TableBodyText"/>
                    <w:spacing w:after="0"/>
                    <w:ind w:left="0" w:right="57"/>
                  </w:pPr>
                  <w:r w:rsidRPr="006C358F">
                    <w:t>4.3</w:t>
                  </w:r>
                </w:p>
              </w:tc>
              <w:tc>
                <w:tcPr>
                  <w:tcW w:w="499" w:type="pct"/>
                  <w:shd w:val="clear" w:color="auto" w:fill="auto"/>
                  <w:vAlign w:val="bottom"/>
                </w:tcPr>
                <w:p w:rsidR="007544CA" w:rsidRPr="006C358F" w:rsidRDefault="007544CA" w:rsidP="00133508">
                  <w:pPr>
                    <w:pStyle w:val="TableBodyText"/>
                    <w:spacing w:after="0"/>
                    <w:ind w:left="0" w:right="57"/>
                  </w:pPr>
                  <w:r w:rsidRPr="006C358F">
                    <w:t>6.8</w:t>
                  </w:r>
                </w:p>
              </w:tc>
              <w:tc>
                <w:tcPr>
                  <w:tcW w:w="496" w:type="pct"/>
                  <w:shd w:val="clear" w:color="auto" w:fill="auto"/>
                  <w:vAlign w:val="bottom"/>
                </w:tcPr>
                <w:p w:rsidR="007544CA" w:rsidRPr="006C358F" w:rsidRDefault="007544CA" w:rsidP="00133508">
                  <w:pPr>
                    <w:pStyle w:val="TableBodyText"/>
                    <w:spacing w:after="0"/>
                    <w:ind w:left="0" w:right="57"/>
                  </w:pPr>
                  <w:r w:rsidRPr="006C358F">
                    <w:t>6.3</w:t>
                  </w:r>
                </w:p>
              </w:tc>
            </w:tr>
            <w:tr w:rsidR="007544CA" w:rsidTr="00133508">
              <w:tc>
                <w:tcPr>
                  <w:tcW w:w="2002" w:type="pct"/>
                  <w:shd w:val="clear" w:color="auto" w:fill="auto"/>
                  <w:vAlign w:val="center"/>
                </w:tcPr>
                <w:p w:rsidR="007544CA" w:rsidRPr="00E532D9" w:rsidRDefault="007544CA" w:rsidP="00133508">
                  <w:pPr>
                    <w:rPr>
                      <w:rFonts w:ascii="Arial" w:hAnsi="Arial" w:cs="Arial"/>
                      <w:sz w:val="18"/>
                      <w:szCs w:val="18"/>
                    </w:rPr>
                  </w:pPr>
                  <w:r w:rsidRPr="00E532D9">
                    <w:rPr>
                      <w:rFonts w:ascii="Arial" w:hAnsi="Arial" w:cs="Arial"/>
                      <w:sz w:val="18"/>
                      <w:szCs w:val="18"/>
                    </w:rPr>
                    <w:t>Petroleum, coal, chemical and rubber</w:t>
                  </w:r>
                </w:p>
              </w:tc>
              <w:tc>
                <w:tcPr>
                  <w:tcW w:w="502" w:type="pct"/>
                  <w:vAlign w:val="bottom"/>
                </w:tcPr>
                <w:p w:rsidR="007544CA" w:rsidRPr="006C358F" w:rsidRDefault="007544CA" w:rsidP="00133508">
                  <w:pPr>
                    <w:pStyle w:val="TableBodyText"/>
                    <w:spacing w:after="0"/>
                    <w:ind w:left="0" w:right="57"/>
                  </w:pPr>
                  <w:r w:rsidRPr="006C358F">
                    <w:t>209.6</w:t>
                  </w:r>
                </w:p>
              </w:tc>
              <w:tc>
                <w:tcPr>
                  <w:tcW w:w="501" w:type="pct"/>
                  <w:vAlign w:val="bottom"/>
                </w:tcPr>
                <w:p w:rsidR="007544CA" w:rsidRPr="006C358F" w:rsidRDefault="007544CA" w:rsidP="00133508">
                  <w:pPr>
                    <w:pStyle w:val="TableBodyText"/>
                    <w:spacing w:after="0"/>
                    <w:ind w:left="0" w:right="57"/>
                  </w:pPr>
                  <w:r w:rsidRPr="006C358F">
                    <w:t>234.2</w:t>
                  </w:r>
                </w:p>
              </w:tc>
              <w:tc>
                <w:tcPr>
                  <w:tcW w:w="501" w:type="pct"/>
                  <w:vAlign w:val="bottom"/>
                </w:tcPr>
                <w:p w:rsidR="007544CA" w:rsidRPr="006C358F" w:rsidRDefault="007544CA" w:rsidP="00133508">
                  <w:pPr>
                    <w:pStyle w:val="TableBodyText"/>
                    <w:spacing w:after="0"/>
                    <w:ind w:left="0" w:right="57"/>
                  </w:pPr>
                  <w:r w:rsidRPr="006C358F">
                    <w:t>220.1</w:t>
                  </w:r>
                </w:p>
              </w:tc>
              <w:tc>
                <w:tcPr>
                  <w:tcW w:w="499" w:type="pct"/>
                  <w:vAlign w:val="bottom"/>
                </w:tcPr>
                <w:p w:rsidR="007544CA" w:rsidRPr="006C358F" w:rsidRDefault="007544CA" w:rsidP="00133508">
                  <w:pPr>
                    <w:pStyle w:val="TableBodyText"/>
                    <w:spacing w:after="0"/>
                    <w:ind w:left="0" w:right="57"/>
                  </w:pPr>
                  <w:r w:rsidRPr="006C358F">
                    <w:t>227.0</w:t>
                  </w:r>
                </w:p>
              </w:tc>
              <w:tc>
                <w:tcPr>
                  <w:tcW w:w="499" w:type="pct"/>
                  <w:shd w:val="clear" w:color="auto" w:fill="auto"/>
                  <w:vAlign w:val="bottom"/>
                </w:tcPr>
                <w:p w:rsidR="007544CA" w:rsidRPr="006C358F" w:rsidRDefault="007544CA" w:rsidP="00133508">
                  <w:pPr>
                    <w:pStyle w:val="TableBodyText"/>
                    <w:spacing w:after="0"/>
                    <w:ind w:left="0" w:right="57"/>
                  </w:pPr>
                  <w:r w:rsidRPr="006C358F">
                    <w:t>258.8</w:t>
                  </w:r>
                </w:p>
              </w:tc>
              <w:tc>
                <w:tcPr>
                  <w:tcW w:w="496" w:type="pct"/>
                  <w:shd w:val="clear" w:color="auto" w:fill="auto"/>
                  <w:vAlign w:val="bottom"/>
                </w:tcPr>
                <w:p w:rsidR="007544CA" w:rsidRPr="006C358F" w:rsidRDefault="007544CA" w:rsidP="00133508">
                  <w:pPr>
                    <w:pStyle w:val="TableBodyText"/>
                    <w:spacing w:after="0"/>
                    <w:ind w:left="0" w:right="57"/>
                  </w:pPr>
                  <w:r w:rsidRPr="006C358F">
                    <w:t>269.3</w:t>
                  </w:r>
                </w:p>
              </w:tc>
            </w:tr>
            <w:tr w:rsidR="007544CA" w:rsidTr="00133508">
              <w:tc>
                <w:tcPr>
                  <w:tcW w:w="2002" w:type="pct"/>
                  <w:shd w:val="clear" w:color="auto" w:fill="auto"/>
                  <w:vAlign w:val="center"/>
                </w:tcPr>
                <w:p w:rsidR="007544CA" w:rsidRPr="00E532D9" w:rsidRDefault="007544CA" w:rsidP="00133508">
                  <w:pPr>
                    <w:rPr>
                      <w:rFonts w:ascii="Arial" w:hAnsi="Arial" w:cs="Arial"/>
                      <w:sz w:val="18"/>
                      <w:szCs w:val="18"/>
                    </w:rPr>
                  </w:pPr>
                  <w:r w:rsidRPr="00E532D9">
                    <w:rPr>
                      <w:rFonts w:ascii="Arial" w:hAnsi="Arial" w:cs="Arial"/>
                      <w:sz w:val="18"/>
                      <w:szCs w:val="18"/>
                    </w:rPr>
                    <w:t>Non</w:t>
                  </w:r>
                  <w:r>
                    <w:rPr>
                      <w:rFonts w:ascii="Arial" w:hAnsi="Arial" w:cs="Arial"/>
                      <w:sz w:val="18"/>
                      <w:szCs w:val="18"/>
                    </w:rPr>
                    <w:noBreakHyphen/>
                  </w:r>
                  <w:r w:rsidRPr="00E532D9">
                    <w:rPr>
                      <w:rFonts w:ascii="Arial" w:hAnsi="Arial" w:cs="Arial"/>
                      <w:sz w:val="18"/>
                      <w:szCs w:val="18"/>
                    </w:rPr>
                    <w:t>metallic mineral products</w:t>
                  </w:r>
                </w:p>
              </w:tc>
              <w:tc>
                <w:tcPr>
                  <w:tcW w:w="502" w:type="pct"/>
                  <w:vAlign w:val="bottom"/>
                </w:tcPr>
                <w:p w:rsidR="007544CA" w:rsidRPr="006C358F" w:rsidRDefault="007544CA" w:rsidP="00133508">
                  <w:pPr>
                    <w:pStyle w:val="TableBodyText"/>
                    <w:spacing w:after="0"/>
                    <w:ind w:left="0" w:right="57"/>
                  </w:pPr>
                  <w:r w:rsidRPr="006C358F">
                    <w:t>8.3</w:t>
                  </w:r>
                </w:p>
              </w:tc>
              <w:tc>
                <w:tcPr>
                  <w:tcW w:w="501" w:type="pct"/>
                  <w:vAlign w:val="bottom"/>
                </w:tcPr>
                <w:p w:rsidR="007544CA" w:rsidRPr="006C358F" w:rsidRDefault="007544CA" w:rsidP="00133508">
                  <w:pPr>
                    <w:pStyle w:val="TableBodyText"/>
                    <w:spacing w:after="0"/>
                    <w:ind w:left="0" w:right="57"/>
                  </w:pPr>
                  <w:r w:rsidRPr="006C358F">
                    <w:t>6.2</w:t>
                  </w:r>
                </w:p>
              </w:tc>
              <w:tc>
                <w:tcPr>
                  <w:tcW w:w="501" w:type="pct"/>
                  <w:vAlign w:val="bottom"/>
                </w:tcPr>
                <w:p w:rsidR="007544CA" w:rsidRPr="006C358F" w:rsidRDefault="007544CA" w:rsidP="00133508">
                  <w:pPr>
                    <w:pStyle w:val="TableBodyText"/>
                    <w:spacing w:after="0"/>
                    <w:ind w:left="0" w:right="57"/>
                  </w:pPr>
                  <w:r w:rsidRPr="006C358F">
                    <w:t>7.3</w:t>
                  </w:r>
                </w:p>
              </w:tc>
              <w:tc>
                <w:tcPr>
                  <w:tcW w:w="499" w:type="pct"/>
                  <w:vAlign w:val="bottom"/>
                </w:tcPr>
                <w:p w:rsidR="007544CA" w:rsidRPr="006C358F" w:rsidRDefault="007544CA" w:rsidP="00133508">
                  <w:pPr>
                    <w:pStyle w:val="TableBodyText"/>
                    <w:spacing w:after="0"/>
                    <w:ind w:left="0" w:right="57"/>
                  </w:pPr>
                  <w:r w:rsidRPr="006C358F">
                    <w:t>12.9</w:t>
                  </w:r>
                </w:p>
              </w:tc>
              <w:tc>
                <w:tcPr>
                  <w:tcW w:w="499" w:type="pct"/>
                  <w:shd w:val="clear" w:color="auto" w:fill="auto"/>
                  <w:vAlign w:val="bottom"/>
                </w:tcPr>
                <w:p w:rsidR="007544CA" w:rsidRPr="006C358F" w:rsidRDefault="007544CA" w:rsidP="00133508">
                  <w:pPr>
                    <w:pStyle w:val="TableBodyText"/>
                    <w:spacing w:after="0"/>
                    <w:ind w:left="0" w:right="57"/>
                  </w:pPr>
                  <w:r w:rsidRPr="006C358F">
                    <w:t>26.2</w:t>
                  </w:r>
                </w:p>
              </w:tc>
              <w:tc>
                <w:tcPr>
                  <w:tcW w:w="496" w:type="pct"/>
                  <w:shd w:val="clear" w:color="auto" w:fill="auto"/>
                  <w:vAlign w:val="bottom"/>
                </w:tcPr>
                <w:p w:rsidR="007544CA" w:rsidRPr="006C358F" w:rsidRDefault="007544CA" w:rsidP="00133508">
                  <w:pPr>
                    <w:pStyle w:val="TableBodyText"/>
                    <w:spacing w:after="0"/>
                    <w:ind w:left="0" w:right="57"/>
                  </w:pPr>
                  <w:r w:rsidRPr="006C358F">
                    <w:t>21.4</w:t>
                  </w:r>
                </w:p>
              </w:tc>
            </w:tr>
            <w:tr w:rsidR="007544CA" w:rsidTr="00133508">
              <w:tc>
                <w:tcPr>
                  <w:tcW w:w="2002" w:type="pct"/>
                  <w:shd w:val="clear" w:color="auto" w:fill="auto"/>
                  <w:vAlign w:val="center"/>
                </w:tcPr>
                <w:p w:rsidR="007544CA" w:rsidRPr="00E532D9" w:rsidRDefault="007544CA" w:rsidP="00133508">
                  <w:pPr>
                    <w:rPr>
                      <w:rFonts w:ascii="Arial" w:hAnsi="Arial" w:cs="Arial"/>
                      <w:sz w:val="18"/>
                      <w:szCs w:val="18"/>
                    </w:rPr>
                  </w:pPr>
                  <w:r w:rsidRPr="00E532D9">
                    <w:rPr>
                      <w:rFonts w:ascii="Arial" w:hAnsi="Arial" w:cs="Arial"/>
                      <w:sz w:val="18"/>
                      <w:szCs w:val="18"/>
                    </w:rPr>
                    <w:t>Metal and fabricated metal products</w:t>
                  </w:r>
                </w:p>
              </w:tc>
              <w:tc>
                <w:tcPr>
                  <w:tcW w:w="502" w:type="pct"/>
                  <w:vAlign w:val="bottom"/>
                </w:tcPr>
                <w:p w:rsidR="007544CA" w:rsidRPr="006C358F" w:rsidRDefault="007544CA" w:rsidP="00133508">
                  <w:pPr>
                    <w:pStyle w:val="TableBodyText"/>
                    <w:spacing w:after="0"/>
                    <w:ind w:left="0" w:right="57"/>
                  </w:pPr>
                  <w:r w:rsidRPr="006C358F">
                    <w:t>62.1</w:t>
                  </w:r>
                </w:p>
              </w:tc>
              <w:tc>
                <w:tcPr>
                  <w:tcW w:w="501" w:type="pct"/>
                  <w:vAlign w:val="bottom"/>
                </w:tcPr>
                <w:p w:rsidR="007544CA" w:rsidRPr="006C358F" w:rsidRDefault="007544CA" w:rsidP="00133508">
                  <w:pPr>
                    <w:pStyle w:val="TableBodyText"/>
                    <w:spacing w:after="0"/>
                    <w:ind w:left="0" w:right="57"/>
                  </w:pPr>
                  <w:r w:rsidRPr="006C358F">
                    <w:t>50.6</w:t>
                  </w:r>
                </w:p>
              </w:tc>
              <w:tc>
                <w:tcPr>
                  <w:tcW w:w="501" w:type="pct"/>
                  <w:vAlign w:val="bottom"/>
                </w:tcPr>
                <w:p w:rsidR="007544CA" w:rsidRPr="006C358F" w:rsidRDefault="007544CA" w:rsidP="00133508">
                  <w:pPr>
                    <w:pStyle w:val="TableBodyText"/>
                    <w:spacing w:after="0"/>
                    <w:ind w:left="0" w:right="57"/>
                  </w:pPr>
                  <w:r w:rsidRPr="006C358F">
                    <w:t>205.4</w:t>
                  </w:r>
                </w:p>
              </w:tc>
              <w:tc>
                <w:tcPr>
                  <w:tcW w:w="499" w:type="pct"/>
                  <w:vAlign w:val="bottom"/>
                </w:tcPr>
                <w:p w:rsidR="007544CA" w:rsidRPr="006C358F" w:rsidRDefault="007544CA" w:rsidP="00133508">
                  <w:pPr>
                    <w:pStyle w:val="TableBodyText"/>
                    <w:spacing w:after="0"/>
                    <w:ind w:left="0" w:right="57"/>
                  </w:pPr>
                  <w:r w:rsidRPr="006C358F">
                    <w:t>49.6</w:t>
                  </w:r>
                </w:p>
              </w:tc>
              <w:tc>
                <w:tcPr>
                  <w:tcW w:w="499" w:type="pct"/>
                  <w:shd w:val="clear" w:color="auto" w:fill="auto"/>
                  <w:vAlign w:val="bottom"/>
                </w:tcPr>
                <w:p w:rsidR="007544CA" w:rsidRPr="006C358F" w:rsidRDefault="007544CA" w:rsidP="00133508">
                  <w:pPr>
                    <w:pStyle w:val="TableBodyText"/>
                    <w:spacing w:after="0"/>
                    <w:ind w:left="0" w:right="57"/>
                  </w:pPr>
                  <w:r w:rsidRPr="006C358F">
                    <w:t>51.7</w:t>
                  </w:r>
                </w:p>
              </w:tc>
              <w:tc>
                <w:tcPr>
                  <w:tcW w:w="496" w:type="pct"/>
                  <w:shd w:val="clear" w:color="auto" w:fill="auto"/>
                  <w:vAlign w:val="bottom"/>
                </w:tcPr>
                <w:p w:rsidR="007544CA" w:rsidRPr="006C358F" w:rsidRDefault="007544CA" w:rsidP="00133508">
                  <w:pPr>
                    <w:pStyle w:val="TableBodyText"/>
                    <w:spacing w:after="0"/>
                    <w:ind w:left="0" w:right="57"/>
                  </w:pPr>
                  <w:r w:rsidRPr="006C358F">
                    <w:t>60.1</w:t>
                  </w:r>
                </w:p>
              </w:tc>
            </w:tr>
            <w:tr w:rsidR="007544CA" w:rsidTr="00133508">
              <w:tc>
                <w:tcPr>
                  <w:tcW w:w="2002" w:type="pct"/>
                  <w:shd w:val="clear" w:color="auto" w:fill="auto"/>
                  <w:vAlign w:val="center"/>
                </w:tcPr>
                <w:p w:rsidR="007544CA" w:rsidRPr="00E532D9" w:rsidRDefault="007544CA" w:rsidP="00133508">
                  <w:pPr>
                    <w:rPr>
                      <w:rFonts w:ascii="Arial" w:hAnsi="Arial" w:cs="Arial"/>
                      <w:sz w:val="18"/>
                      <w:szCs w:val="18"/>
                    </w:rPr>
                  </w:pPr>
                  <w:r w:rsidRPr="00E532D9">
                    <w:rPr>
                      <w:rFonts w:ascii="Arial" w:hAnsi="Arial" w:cs="Arial"/>
                      <w:sz w:val="18"/>
                      <w:szCs w:val="18"/>
                    </w:rPr>
                    <w:t>Motor vehicle</w:t>
                  </w:r>
                  <w:r>
                    <w:rPr>
                      <w:rFonts w:ascii="Arial" w:hAnsi="Arial" w:cs="Arial"/>
                      <w:sz w:val="18"/>
                      <w:szCs w:val="18"/>
                    </w:rPr>
                    <w:t>s</w:t>
                  </w:r>
                  <w:r w:rsidRPr="00E532D9">
                    <w:rPr>
                      <w:rFonts w:ascii="Arial" w:hAnsi="Arial" w:cs="Arial"/>
                      <w:sz w:val="18"/>
                      <w:szCs w:val="18"/>
                    </w:rPr>
                    <w:t xml:space="preserve"> and parts</w:t>
                  </w:r>
                </w:p>
              </w:tc>
              <w:tc>
                <w:tcPr>
                  <w:tcW w:w="502" w:type="pct"/>
                  <w:vAlign w:val="bottom"/>
                </w:tcPr>
                <w:p w:rsidR="007544CA" w:rsidRPr="006C358F" w:rsidRDefault="007544CA" w:rsidP="00133508">
                  <w:pPr>
                    <w:pStyle w:val="TableBodyText"/>
                    <w:spacing w:after="0"/>
                    <w:ind w:left="0" w:right="57"/>
                  </w:pPr>
                  <w:r w:rsidRPr="006C358F">
                    <w:t>150.6</w:t>
                  </w:r>
                </w:p>
              </w:tc>
              <w:tc>
                <w:tcPr>
                  <w:tcW w:w="501" w:type="pct"/>
                  <w:vAlign w:val="bottom"/>
                </w:tcPr>
                <w:p w:rsidR="007544CA" w:rsidRPr="006C358F" w:rsidRDefault="007544CA" w:rsidP="00133508">
                  <w:pPr>
                    <w:pStyle w:val="TableBodyText"/>
                    <w:spacing w:after="0"/>
                    <w:ind w:left="0" w:right="57"/>
                  </w:pPr>
                  <w:r w:rsidRPr="006C358F">
                    <w:t>192.9</w:t>
                  </w:r>
                </w:p>
              </w:tc>
              <w:tc>
                <w:tcPr>
                  <w:tcW w:w="501" w:type="pct"/>
                  <w:vAlign w:val="bottom"/>
                </w:tcPr>
                <w:p w:rsidR="007544CA" w:rsidRPr="006C358F" w:rsidRDefault="007544CA" w:rsidP="00133508">
                  <w:pPr>
                    <w:pStyle w:val="TableBodyText"/>
                    <w:spacing w:after="0"/>
                    <w:ind w:left="0" w:right="57"/>
                  </w:pPr>
                  <w:r w:rsidRPr="006C358F">
                    <w:t>580.4</w:t>
                  </w:r>
                </w:p>
              </w:tc>
              <w:tc>
                <w:tcPr>
                  <w:tcW w:w="499" w:type="pct"/>
                  <w:vAlign w:val="bottom"/>
                </w:tcPr>
                <w:p w:rsidR="007544CA" w:rsidRPr="006C358F" w:rsidRDefault="007544CA" w:rsidP="00133508">
                  <w:pPr>
                    <w:pStyle w:val="TableBodyText"/>
                    <w:spacing w:after="0"/>
                    <w:ind w:left="0" w:right="57"/>
                  </w:pPr>
                  <w:r w:rsidRPr="006C358F">
                    <w:t>408.7</w:t>
                  </w:r>
                </w:p>
              </w:tc>
              <w:tc>
                <w:tcPr>
                  <w:tcW w:w="499" w:type="pct"/>
                  <w:shd w:val="clear" w:color="auto" w:fill="auto"/>
                  <w:vAlign w:val="bottom"/>
                </w:tcPr>
                <w:p w:rsidR="007544CA" w:rsidRPr="006C358F" w:rsidRDefault="007544CA" w:rsidP="00133508">
                  <w:pPr>
                    <w:pStyle w:val="TableBodyText"/>
                    <w:spacing w:after="0"/>
                    <w:ind w:left="0" w:right="57"/>
                  </w:pPr>
                  <w:r w:rsidRPr="006C358F">
                    <w:t>357.7</w:t>
                  </w:r>
                </w:p>
              </w:tc>
              <w:tc>
                <w:tcPr>
                  <w:tcW w:w="496" w:type="pct"/>
                  <w:shd w:val="clear" w:color="auto" w:fill="auto"/>
                  <w:vAlign w:val="bottom"/>
                </w:tcPr>
                <w:p w:rsidR="007544CA" w:rsidRPr="006C358F" w:rsidRDefault="007544CA" w:rsidP="00133508">
                  <w:pPr>
                    <w:pStyle w:val="TableBodyText"/>
                    <w:spacing w:after="0"/>
                    <w:ind w:left="0" w:right="57"/>
                  </w:pPr>
                  <w:r w:rsidRPr="006C358F">
                    <w:t>291.9</w:t>
                  </w:r>
                </w:p>
              </w:tc>
            </w:tr>
            <w:tr w:rsidR="007544CA" w:rsidTr="00133508">
              <w:tc>
                <w:tcPr>
                  <w:tcW w:w="2002" w:type="pct"/>
                  <w:shd w:val="clear" w:color="auto" w:fill="auto"/>
                  <w:vAlign w:val="center"/>
                </w:tcPr>
                <w:p w:rsidR="007544CA" w:rsidRPr="00E532D9" w:rsidRDefault="007544CA" w:rsidP="00133508">
                  <w:pPr>
                    <w:rPr>
                      <w:rFonts w:ascii="Arial" w:hAnsi="Arial" w:cs="Arial"/>
                      <w:sz w:val="18"/>
                      <w:szCs w:val="18"/>
                    </w:rPr>
                  </w:pPr>
                  <w:r w:rsidRPr="00E532D9">
                    <w:rPr>
                      <w:rFonts w:ascii="Arial" w:hAnsi="Arial" w:cs="Arial"/>
                      <w:sz w:val="18"/>
                      <w:szCs w:val="18"/>
                    </w:rPr>
                    <w:t>Other transport equipment</w:t>
                  </w:r>
                </w:p>
              </w:tc>
              <w:tc>
                <w:tcPr>
                  <w:tcW w:w="502" w:type="pct"/>
                  <w:vAlign w:val="bottom"/>
                </w:tcPr>
                <w:p w:rsidR="007544CA" w:rsidRPr="006C358F" w:rsidRDefault="007544CA" w:rsidP="00133508">
                  <w:pPr>
                    <w:pStyle w:val="TableBodyText"/>
                    <w:spacing w:after="0"/>
                    <w:ind w:left="0" w:right="57"/>
                  </w:pPr>
                  <w:r w:rsidRPr="006C358F">
                    <w:t>24.4</w:t>
                  </w:r>
                </w:p>
              </w:tc>
              <w:tc>
                <w:tcPr>
                  <w:tcW w:w="501" w:type="pct"/>
                  <w:vAlign w:val="bottom"/>
                </w:tcPr>
                <w:p w:rsidR="007544CA" w:rsidRPr="006C358F" w:rsidRDefault="007544CA" w:rsidP="00133508">
                  <w:pPr>
                    <w:pStyle w:val="TableBodyText"/>
                    <w:spacing w:after="0"/>
                    <w:ind w:left="0" w:right="57"/>
                  </w:pPr>
                  <w:r w:rsidRPr="006C358F">
                    <w:t>16.4</w:t>
                  </w:r>
                </w:p>
              </w:tc>
              <w:tc>
                <w:tcPr>
                  <w:tcW w:w="501" w:type="pct"/>
                  <w:vAlign w:val="bottom"/>
                </w:tcPr>
                <w:p w:rsidR="007544CA" w:rsidRPr="006C358F" w:rsidRDefault="007544CA" w:rsidP="00133508">
                  <w:pPr>
                    <w:pStyle w:val="TableBodyText"/>
                    <w:spacing w:after="0"/>
                    <w:ind w:left="0" w:right="57"/>
                  </w:pPr>
                  <w:r w:rsidRPr="006C358F">
                    <w:t>13.4</w:t>
                  </w:r>
                </w:p>
              </w:tc>
              <w:tc>
                <w:tcPr>
                  <w:tcW w:w="499" w:type="pct"/>
                  <w:vAlign w:val="bottom"/>
                </w:tcPr>
                <w:p w:rsidR="007544CA" w:rsidRPr="006C358F" w:rsidRDefault="007544CA" w:rsidP="00133508">
                  <w:pPr>
                    <w:pStyle w:val="TableBodyText"/>
                    <w:spacing w:after="0"/>
                    <w:ind w:left="0" w:right="57"/>
                  </w:pPr>
                  <w:r w:rsidRPr="006C358F">
                    <w:t>14.0</w:t>
                  </w:r>
                </w:p>
              </w:tc>
              <w:tc>
                <w:tcPr>
                  <w:tcW w:w="499" w:type="pct"/>
                  <w:shd w:val="clear" w:color="auto" w:fill="auto"/>
                  <w:vAlign w:val="bottom"/>
                </w:tcPr>
                <w:p w:rsidR="007544CA" w:rsidRPr="006C358F" w:rsidRDefault="007544CA" w:rsidP="00133508">
                  <w:pPr>
                    <w:pStyle w:val="TableBodyText"/>
                    <w:spacing w:after="0"/>
                    <w:ind w:left="0" w:right="57"/>
                  </w:pPr>
                  <w:r w:rsidRPr="006C358F">
                    <w:t>14.5</w:t>
                  </w:r>
                </w:p>
              </w:tc>
              <w:tc>
                <w:tcPr>
                  <w:tcW w:w="496" w:type="pct"/>
                  <w:shd w:val="clear" w:color="auto" w:fill="auto"/>
                  <w:vAlign w:val="bottom"/>
                </w:tcPr>
                <w:p w:rsidR="007544CA" w:rsidRPr="006C358F" w:rsidRDefault="007544CA" w:rsidP="00133508">
                  <w:pPr>
                    <w:pStyle w:val="TableBodyText"/>
                    <w:spacing w:after="0"/>
                    <w:ind w:left="0" w:right="57"/>
                  </w:pPr>
                  <w:r w:rsidRPr="006C358F">
                    <w:t>18.2</w:t>
                  </w:r>
                </w:p>
              </w:tc>
            </w:tr>
            <w:tr w:rsidR="007544CA" w:rsidTr="00133508">
              <w:tc>
                <w:tcPr>
                  <w:tcW w:w="2002" w:type="pct"/>
                  <w:shd w:val="clear" w:color="auto" w:fill="auto"/>
                  <w:vAlign w:val="center"/>
                </w:tcPr>
                <w:p w:rsidR="007544CA" w:rsidRPr="00E532D9" w:rsidRDefault="007544CA" w:rsidP="00133508">
                  <w:pPr>
                    <w:rPr>
                      <w:rFonts w:ascii="Arial" w:hAnsi="Arial" w:cs="Arial"/>
                      <w:sz w:val="18"/>
                      <w:szCs w:val="18"/>
                    </w:rPr>
                  </w:pPr>
                  <w:r w:rsidRPr="00E532D9">
                    <w:rPr>
                      <w:rFonts w:ascii="Arial" w:hAnsi="Arial" w:cs="Arial"/>
                      <w:sz w:val="18"/>
                      <w:szCs w:val="18"/>
                    </w:rPr>
                    <w:t>Machinery &amp; equipment manufacturing</w:t>
                  </w:r>
                </w:p>
              </w:tc>
              <w:tc>
                <w:tcPr>
                  <w:tcW w:w="502" w:type="pct"/>
                  <w:vAlign w:val="bottom"/>
                </w:tcPr>
                <w:p w:rsidR="007544CA" w:rsidRPr="006C358F" w:rsidRDefault="007544CA" w:rsidP="00133508">
                  <w:pPr>
                    <w:pStyle w:val="TableBodyText"/>
                    <w:spacing w:after="0"/>
                    <w:ind w:left="0" w:right="57"/>
                  </w:pPr>
                  <w:r w:rsidRPr="006C358F">
                    <w:t>124.8</w:t>
                  </w:r>
                </w:p>
              </w:tc>
              <w:tc>
                <w:tcPr>
                  <w:tcW w:w="501" w:type="pct"/>
                  <w:vAlign w:val="bottom"/>
                </w:tcPr>
                <w:p w:rsidR="007544CA" w:rsidRPr="006C358F" w:rsidRDefault="007544CA" w:rsidP="00133508">
                  <w:pPr>
                    <w:pStyle w:val="TableBodyText"/>
                    <w:spacing w:after="0"/>
                    <w:ind w:left="0" w:right="57"/>
                  </w:pPr>
                  <w:r w:rsidRPr="006C358F">
                    <w:t>86.1</w:t>
                  </w:r>
                </w:p>
              </w:tc>
              <w:tc>
                <w:tcPr>
                  <w:tcW w:w="501" w:type="pct"/>
                  <w:vAlign w:val="bottom"/>
                </w:tcPr>
                <w:p w:rsidR="007544CA" w:rsidRPr="006C358F" w:rsidRDefault="007544CA" w:rsidP="00133508">
                  <w:pPr>
                    <w:pStyle w:val="TableBodyText"/>
                    <w:spacing w:after="0"/>
                    <w:ind w:left="0" w:right="57"/>
                  </w:pPr>
                  <w:r w:rsidRPr="006C358F">
                    <w:t>71.0</w:t>
                  </w:r>
                </w:p>
              </w:tc>
              <w:tc>
                <w:tcPr>
                  <w:tcW w:w="499" w:type="pct"/>
                  <w:vAlign w:val="bottom"/>
                </w:tcPr>
                <w:p w:rsidR="007544CA" w:rsidRPr="006C358F" w:rsidRDefault="007544CA" w:rsidP="00133508">
                  <w:pPr>
                    <w:pStyle w:val="TableBodyText"/>
                    <w:spacing w:after="0"/>
                    <w:ind w:left="0" w:right="57"/>
                  </w:pPr>
                  <w:r w:rsidRPr="006C358F">
                    <w:t>59.9</w:t>
                  </w:r>
                </w:p>
              </w:tc>
              <w:tc>
                <w:tcPr>
                  <w:tcW w:w="499" w:type="pct"/>
                  <w:shd w:val="clear" w:color="auto" w:fill="auto"/>
                  <w:vAlign w:val="bottom"/>
                </w:tcPr>
                <w:p w:rsidR="007544CA" w:rsidRPr="006C358F" w:rsidRDefault="007544CA" w:rsidP="00133508">
                  <w:pPr>
                    <w:pStyle w:val="TableBodyText"/>
                    <w:spacing w:after="0"/>
                    <w:ind w:left="0" w:right="57"/>
                  </w:pPr>
                  <w:r w:rsidRPr="006C358F">
                    <w:t>92.3</w:t>
                  </w:r>
                </w:p>
              </w:tc>
              <w:tc>
                <w:tcPr>
                  <w:tcW w:w="496" w:type="pct"/>
                  <w:shd w:val="clear" w:color="auto" w:fill="auto"/>
                  <w:vAlign w:val="bottom"/>
                </w:tcPr>
                <w:p w:rsidR="007544CA" w:rsidRPr="006C358F" w:rsidRDefault="007544CA" w:rsidP="00133508">
                  <w:pPr>
                    <w:pStyle w:val="TableBodyText"/>
                    <w:spacing w:after="0"/>
                    <w:ind w:left="0" w:right="57"/>
                  </w:pPr>
                  <w:r w:rsidRPr="006C358F">
                    <w:t>132.5</w:t>
                  </w:r>
                </w:p>
              </w:tc>
            </w:tr>
            <w:tr w:rsidR="007544CA" w:rsidTr="00133508">
              <w:tc>
                <w:tcPr>
                  <w:tcW w:w="2002" w:type="pct"/>
                  <w:shd w:val="clear" w:color="auto" w:fill="auto"/>
                  <w:vAlign w:val="center"/>
                </w:tcPr>
                <w:p w:rsidR="007544CA" w:rsidRPr="00E532D9" w:rsidRDefault="007544CA" w:rsidP="00133508">
                  <w:pPr>
                    <w:rPr>
                      <w:rFonts w:ascii="Arial" w:hAnsi="Arial" w:cs="Arial"/>
                      <w:sz w:val="18"/>
                      <w:szCs w:val="18"/>
                    </w:rPr>
                  </w:pPr>
                  <w:r w:rsidRPr="00E532D9">
                    <w:rPr>
                      <w:rFonts w:ascii="Arial" w:hAnsi="Arial" w:cs="Arial"/>
                      <w:sz w:val="18"/>
                      <w:szCs w:val="18"/>
                    </w:rPr>
                    <w:t>Furniture and other manufacturing</w:t>
                  </w:r>
                </w:p>
              </w:tc>
              <w:tc>
                <w:tcPr>
                  <w:tcW w:w="502" w:type="pct"/>
                  <w:vAlign w:val="bottom"/>
                </w:tcPr>
                <w:p w:rsidR="007544CA" w:rsidRPr="006C358F" w:rsidRDefault="007544CA" w:rsidP="00133508">
                  <w:pPr>
                    <w:pStyle w:val="TableBodyText"/>
                    <w:spacing w:after="0"/>
                    <w:ind w:left="0" w:right="57"/>
                  </w:pPr>
                  <w:r w:rsidRPr="006C358F">
                    <w:t>19.7</w:t>
                  </w:r>
                </w:p>
              </w:tc>
              <w:tc>
                <w:tcPr>
                  <w:tcW w:w="501" w:type="pct"/>
                  <w:vAlign w:val="bottom"/>
                </w:tcPr>
                <w:p w:rsidR="007544CA" w:rsidRPr="006C358F" w:rsidRDefault="007544CA" w:rsidP="00133508">
                  <w:pPr>
                    <w:pStyle w:val="TableBodyText"/>
                    <w:spacing w:after="0"/>
                    <w:ind w:left="0" w:right="57"/>
                  </w:pPr>
                  <w:r w:rsidRPr="006C358F">
                    <w:t>17.8</w:t>
                  </w:r>
                </w:p>
              </w:tc>
              <w:tc>
                <w:tcPr>
                  <w:tcW w:w="501" w:type="pct"/>
                  <w:vAlign w:val="bottom"/>
                </w:tcPr>
                <w:p w:rsidR="007544CA" w:rsidRPr="006C358F" w:rsidRDefault="007544CA" w:rsidP="00133508">
                  <w:pPr>
                    <w:pStyle w:val="TableBodyText"/>
                    <w:spacing w:after="0"/>
                    <w:ind w:left="0" w:right="57"/>
                  </w:pPr>
                  <w:r w:rsidRPr="006C358F">
                    <w:t>25.9</w:t>
                  </w:r>
                </w:p>
              </w:tc>
              <w:tc>
                <w:tcPr>
                  <w:tcW w:w="499" w:type="pct"/>
                  <w:vAlign w:val="bottom"/>
                </w:tcPr>
                <w:p w:rsidR="007544CA" w:rsidRPr="006C358F" w:rsidRDefault="007544CA" w:rsidP="00133508">
                  <w:pPr>
                    <w:pStyle w:val="TableBodyText"/>
                    <w:spacing w:after="0"/>
                    <w:ind w:left="0" w:right="57"/>
                  </w:pPr>
                  <w:r w:rsidRPr="006C358F">
                    <w:t>23.8</w:t>
                  </w:r>
                </w:p>
              </w:tc>
              <w:tc>
                <w:tcPr>
                  <w:tcW w:w="499" w:type="pct"/>
                  <w:shd w:val="clear" w:color="auto" w:fill="auto"/>
                  <w:vAlign w:val="bottom"/>
                </w:tcPr>
                <w:p w:rsidR="007544CA" w:rsidRPr="006C358F" w:rsidRDefault="007544CA" w:rsidP="00133508">
                  <w:pPr>
                    <w:pStyle w:val="TableBodyText"/>
                    <w:spacing w:after="0"/>
                    <w:ind w:left="0" w:right="57"/>
                  </w:pPr>
                  <w:r w:rsidRPr="006C358F">
                    <w:t>20.2</w:t>
                  </w:r>
                </w:p>
              </w:tc>
              <w:tc>
                <w:tcPr>
                  <w:tcW w:w="496" w:type="pct"/>
                  <w:shd w:val="clear" w:color="auto" w:fill="auto"/>
                  <w:vAlign w:val="bottom"/>
                </w:tcPr>
                <w:p w:rsidR="007544CA" w:rsidRPr="006C358F" w:rsidRDefault="007544CA" w:rsidP="00133508">
                  <w:pPr>
                    <w:pStyle w:val="TableBodyText"/>
                    <w:spacing w:after="0"/>
                    <w:ind w:left="0" w:right="57"/>
                  </w:pPr>
                  <w:r w:rsidRPr="006C358F">
                    <w:t>15.8</w:t>
                  </w:r>
                </w:p>
              </w:tc>
            </w:tr>
            <w:tr w:rsidR="007544CA" w:rsidTr="00133508">
              <w:tc>
                <w:tcPr>
                  <w:tcW w:w="2002" w:type="pct"/>
                  <w:shd w:val="clear" w:color="auto" w:fill="auto"/>
                  <w:vAlign w:val="center"/>
                </w:tcPr>
                <w:p w:rsidR="007544CA" w:rsidRPr="00E532D9" w:rsidRDefault="007544CA" w:rsidP="00133508">
                  <w:pPr>
                    <w:rPr>
                      <w:rFonts w:ascii="Arial" w:hAnsi="Arial" w:cs="Arial"/>
                      <w:sz w:val="18"/>
                      <w:szCs w:val="18"/>
                    </w:rPr>
                  </w:pPr>
                  <w:r w:rsidRPr="00E532D9">
                    <w:rPr>
                      <w:rFonts w:ascii="Arial" w:hAnsi="Arial" w:cs="Arial"/>
                      <w:sz w:val="18"/>
                      <w:szCs w:val="18"/>
                    </w:rPr>
                    <w:t>Unallocated manufacturing</w:t>
                  </w:r>
                  <w:r>
                    <w:rPr>
                      <w:rStyle w:val="NoteLabel"/>
                    </w:rPr>
                    <w:t>a</w:t>
                  </w:r>
                </w:p>
              </w:tc>
              <w:tc>
                <w:tcPr>
                  <w:tcW w:w="502" w:type="pct"/>
                  <w:vAlign w:val="bottom"/>
                </w:tcPr>
                <w:p w:rsidR="007544CA" w:rsidRPr="006C358F" w:rsidRDefault="007544CA" w:rsidP="00133508">
                  <w:pPr>
                    <w:pStyle w:val="TableBodyText"/>
                    <w:spacing w:after="0"/>
                    <w:ind w:left="0" w:right="57"/>
                  </w:pPr>
                  <w:r w:rsidRPr="006C358F">
                    <w:t>176.8</w:t>
                  </w:r>
                </w:p>
              </w:tc>
              <w:tc>
                <w:tcPr>
                  <w:tcW w:w="501" w:type="pct"/>
                  <w:vAlign w:val="bottom"/>
                </w:tcPr>
                <w:p w:rsidR="007544CA" w:rsidRPr="006C358F" w:rsidRDefault="007544CA" w:rsidP="00133508">
                  <w:pPr>
                    <w:pStyle w:val="TableBodyText"/>
                    <w:spacing w:after="0"/>
                    <w:ind w:left="0" w:right="57"/>
                  </w:pPr>
                  <w:r w:rsidRPr="006C358F">
                    <w:t>155.2</w:t>
                  </w:r>
                </w:p>
              </w:tc>
              <w:tc>
                <w:tcPr>
                  <w:tcW w:w="501" w:type="pct"/>
                  <w:vAlign w:val="bottom"/>
                </w:tcPr>
                <w:p w:rsidR="007544CA" w:rsidRPr="006C358F" w:rsidRDefault="007544CA" w:rsidP="00133508">
                  <w:pPr>
                    <w:pStyle w:val="TableBodyText"/>
                    <w:spacing w:after="0"/>
                    <w:ind w:left="0" w:right="57"/>
                  </w:pPr>
                  <w:r w:rsidRPr="006C358F">
                    <w:t>163.0</w:t>
                  </w:r>
                </w:p>
              </w:tc>
              <w:tc>
                <w:tcPr>
                  <w:tcW w:w="499" w:type="pct"/>
                  <w:vAlign w:val="bottom"/>
                </w:tcPr>
                <w:p w:rsidR="007544CA" w:rsidRPr="006C358F" w:rsidRDefault="007544CA" w:rsidP="00133508">
                  <w:pPr>
                    <w:pStyle w:val="TableBodyText"/>
                    <w:spacing w:after="0"/>
                    <w:ind w:left="0" w:right="57"/>
                  </w:pPr>
                  <w:r w:rsidRPr="006C358F">
                    <w:t>129.4</w:t>
                  </w:r>
                </w:p>
              </w:tc>
              <w:tc>
                <w:tcPr>
                  <w:tcW w:w="499" w:type="pct"/>
                  <w:shd w:val="clear" w:color="auto" w:fill="auto"/>
                  <w:vAlign w:val="bottom"/>
                </w:tcPr>
                <w:p w:rsidR="007544CA" w:rsidRPr="006C358F" w:rsidRDefault="007544CA" w:rsidP="00133508">
                  <w:pPr>
                    <w:pStyle w:val="TableBodyText"/>
                    <w:spacing w:after="0"/>
                    <w:ind w:left="0" w:right="57"/>
                  </w:pPr>
                  <w:r w:rsidRPr="006C358F">
                    <w:t>129.8</w:t>
                  </w:r>
                </w:p>
              </w:tc>
              <w:tc>
                <w:tcPr>
                  <w:tcW w:w="496" w:type="pct"/>
                  <w:shd w:val="clear" w:color="auto" w:fill="auto"/>
                  <w:vAlign w:val="bottom"/>
                </w:tcPr>
                <w:p w:rsidR="007544CA" w:rsidRPr="006C358F" w:rsidRDefault="007544CA" w:rsidP="00133508">
                  <w:pPr>
                    <w:pStyle w:val="TableBodyText"/>
                    <w:spacing w:after="0"/>
                    <w:ind w:left="0" w:right="57"/>
                  </w:pPr>
                  <w:r w:rsidRPr="006C358F">
                    <w:t>144.3</w:t>
                  </w:r>
                </w:p>
              </w:tc>
            </w:tr>
            <w:tr w:rsidR="007544CA" w:rsidRPr="007E34F5" w:rsidTr="00133508">
              <w:tc>
                <w:tcPr>
                  <w:tcW w:w="2002" w:type="pct"/>
                  <w:shd w:val="clear" w:color="auto" w:fill="auto"/>
                  <w:vAlign w:val="bottom"/>
                </w:tcPr>
                <w:p w:rsidR="007544CA" w:rsidRPr="007E34F5" w:rsidRDefault="007544CA" w:rsidP="00133508">
                  <w:pPr>
                    <w:rPr>
                      <w:rFonts w:ascii="Arial" w:hAnsi="Arial" w:cs="Arial"/>
                      <w:b/>
                      <w:bCs/>
                      <w:sz w:val="18"/>
                      <w:szCs w:val="18"/>
                    </w:rPr>
                  </w:pPr>
                  <w:r w:rsidRPr="007E34F5">
                    <w:rPr>
                      <w:rFonts w:ascii="Arial" w:hAnsi="Arial" w:cs="Arial"/>
                      <w:b/>
                      <w:bCs/>
                      <w:sz w:val="18"/>
                      <w:szCs w:val="18"/>
                    </w:rPr>
                    <w:t>Services</w:t>
                  </w:r>
                </w:p>
              </w:tc>
              <w:tc>
                <w:tcPr>
                  <w:tcW w:w="502" w:type="pct"/>
                  <w:vAlign w:val="bottom"/>
                </w:tcPr>
                <w:p w:rsidR="007544CA" w:rsidRPr="006C358F" w:rsidRDefault="007544CA" w:rsidP="00133508">
                  <w:pPr>
                    <w:pStyle w:val="TableBodyText"/>
                    <w:spacing w:after="0"/>
                    <w:ind w:left="0" w:right="57"/>
                    <w:rPr>
                      <w:b/>
                    </w:rPr>
                  </w:pPr>
                  <w:r w:rsidRPr="006C358F">
                    <w:rPr>
                      <w:b/>
                    </w:rPr>
                    <w:t>1176.4</w:t>
                  </w:r>
                </w:p>
              </w:tc>
              <w:tc>
                <w:tcPr>
                  <w:tcW w:w="501" w:type="pct"/>
                  <w:vAlign w:val="bottom"/>
                </w:tcPr>
                <w:p w:rsidR="007544CA" w:rsidRPr="006C358F" w:rsidRDefault="007544CA" w:rsidP="00133508">
                  <w:pPr>
                    <w:pStyle w:val="TableBodyText"/>
                    <w:spacing w:after="0"/>
                    <w:ind w:left="0" w:right="57"/>
                    <w:rPr>
                      <w:b/>
                    </w:rPr>
                  </w:pPr>
                  <w:r w:rsidRPr="006C358F">
                    <w:rPr>
                      <w:b/>
                    </w:rPr>
                    <w:t>1174.8</w:t>
                  </w:r>
                </w:p>
              </w:tc>
              <w:tc>
                <w:tcPr>
                  <w:tcW w:w="501" w:type="pct"/>
                  <w:vAlign w:val="bottom"/>
                </w:tcPr>
                <w:p w:rsidR="007544CA" w:rsidRPr="006C358F" w:rsidRDefault="007544CA" w:rsidP="00133508">
                  <w:pPr>
                    <w:pStyle w:val="TableBodyText"/>
                    <w:spacing w:after="0"/>
                    <w:ind w:left="0" w:right="57"/>
                    <w:rPr>
                      <w:b/>
                    </w:rPr>
                  </w:pPr>
                  <w:r w:rsidRPr="006C358F">
                    <w:rPr>
                      <w:b/>
                    </w:rPr>
                    <w:t>2234.8</w:t>
                  </w:r>
                </w:p>
              </w:tc>
              <w:tc>
                <w:tcPr>
                  <w:tcW w:w="499" w:type="pct"/>
                  <w:vAlign w:val="bottom"/>
                </w:tcPr>
                <w:p w:rsidR="007544CA" w:rsidRPr="006C358F" w:rsidRDefault="007544CA" w:rsidP="00133508">
                  <w:pPr>
                    <w:pStyle w:val="TableBodyText"/>
                    <w:spacing w:after="0"/>
                    <w:ind w:left="0" w:right="57"/>
                    <w:rPr>
                      <w:b/>
                    </w:rPr>
                  </w:pPr>
                  <w:r w:rsidRPr="006C358F">
                    <w:rPr>
                      <w:b/>
                    </w:rPr>
                    <w:t>1160.5</w:t>
                  </w:r>
                </w:p>
              </w:tc>
              <w:tc>
                <w:tcPr>
                  <w:tcW w:w="499" w:type="pct"/>
                  <w:shd w:val="clear" w:color="auto" w:fill="auto"/>
                  <w:vAlign w:val="bottom"/>
                </w:tcPr>
                <w:p w:rsidR="007544CA" w:rsidRPr="006C358F" w:rsidRDefault="007544CA" w:rsidP="00133508">
                  <w:pPr>
                    <w:pStyle w:val="TableBodyText"/>
                    <w:spacing w:after="0"/>
                    <w:ind w:left="0" w:right="57"/>
                    <w:rPr>
                      <w:b/>
                    </w:rPr>
                  </w:pPr>
                  <w:r w:rsidRPr="006C358F">
                    <w:rPr>
                      <w:b/>
                    </w:rPr>
                    <w:t>1426.2</w:t>
                  </w:r>
                </w:p>
              </w:tc>
              <w:tc>
                <w:tcPr>
                  <w:tcW w:w="496" w:type="pct"/>
                  <w:shd w:val="clear" w:color="auto" w:fill="auto"/>
                  <w:vAlign w:val="bottom"/>
                </w:tcPr>
                <w:p w:rsidR="007544CA" w:rsidRPr="006C358F" w:rsidRDefault="007544CA" w:rsidP="00133508">
                  <w:pPr>
                    <w:pStyle w:val="TableBodyText"/>
                    <w:spacing w:after="0"/>
                    <w:ind w:left="0" w:right="57"/>
                    <w:rPr>
                      <w:b/>
                    </w:rPr>
                  </w:pPr>
                  <w:r w:rsidRPr="006C358F">
                    <w:rPr>
                      <w:b/>
                    </w:rPr>
                    <w:t>1754.3</w:t>
                  </w:r>
                </w:p>
              </w:tc>
            </w:tr>
            <w:tr w:rsidR="007544CA" w:rsidTr="00133508">
              <w:tc>
                <w:tcPr>
                  <w:tcW w:w="2002" w:type="pct"/>
                  <w:shd w:val="clear" w:color="auto" w:fill="auto"/>
                  <w:vAlign w:val="center"/>
                </w:tcPr>
                <w:p w:rsidR="007544CA" w:rsidRPr="002E0713" w:rsidRDefault="007544CA" w:rsidP="00133508">
                  <w:pPr>
                    <w:rPr>
                      <w:rFonts w:ascii="Arial" w:hAnsi="Arial" w:cs="Arial"/>
                      <w:sz w:val="18"/>
                      <w:szCs w:val="18"/>
                    </w:rPr>
                  </w:pPr>
                  <w:r w:rsidRPr="002E0713">
                    <w:rPr>
                      <w:rFonts w:ascii="Arial" w:hAnsi="Arial" w:cs="Arial"/>
                      <w:sz w:val="18"/>
                      <w:szCs w:val="18"/>
                    </w:rPr>
                    <w:t>Electricity, gas, water &amp; waste services</w:t>
                  </w:r>
                </w:p>
              </w:tc>
              <w:tc>
                <w:tcPr>
                  <w:tcW w:w="502" w:type="pct"/>
                  <w:vAlign w:val="bottom"/>
                </w:tcPr>
                <w:p w:rsidR="007544CA" w:rsidRPr="006C358F" w:rsidRDefault="007544CA" w:rsidP="00133508">
                  <w:pPr>
                    <w:pStyle w:val="TableBodyText"/>
                    <w:spacing w:after="0"/>
                    <w:ind w:left="0" w:right="57"/>
                  </w:pPr>
                  <w:r w:rsidRPr="006C358F">
                    <w:t>119.8</w:t>
                  </w:r>
                </w:p>
              </w:tc>
              <w:tc>
                <w:tcPr>
                  <w:tcW w:w="501" w:type="pct"/>
                  <w:vAlign w:val="bottom"/>
                </w:tcPr>
                <w:p w:rsidR="007544CA" w:rsidRPr="006C358F" w:rsidRDefault="007544CA" w:rsidP="00133508">
                  <w:pPr>
                    <w:pStyle w:val="TableBodyText"/>
                    <w:spacing w:after="0"/>
                    <w:ind w:left="0" w:right="57"/>
                  </w:pPr>
                  <w:r w:rsidRPr="006C358F">
                    <w:t>71.6</w:t>
                  </w:r>
                </w:p>
              </w:tc>
              <w:tc>
                <w:tcPr>
                  <w:tcW w:w="501" w:type="pct"/>
                  <w:vAlign w:val="bottom"/>
                </w:tcPr>
                <w:p w:rsidR="007544CA" w:rsidRPr="006C358F" w:rsidRDefault="007544CA" w:rsidP="00133508">
                  <w:pPr>
                    <w:pStyle w:val="TableBodyText"/>
                    <w:spacing w:after="0"/>
                    <w:ind w:left="0" w:right="57"/>
                  </w:pPr>
                  <w:r w:rsidRPr="006C358F">
                    <w:t>1072.2</w:t>
                  </w:r>
                </w:p>
              </w:tc>
              <w:tc>
                <w:tcPr>
                  <w:tcW w:w="499" w:type="pct"/>
                  <w:vAlign w:val="bottom"/>
                </w:tcPr>
                <w:p w:rsidR="007544CA" w:rsidRPr="006C358F" w:rsidRDefault="007544CA" w:rsidP="00133508">
                  <w:pPr>
                    <w:pStyle w:val="TableBodyText"/>
                    <w:spacing w:after="0"/>
                    <w:ind w:left="0" w:right="57"/>
                  </w:pPr>
                  <w:r w:rsidRPr="006C358F">
                    <w:t>87.3</w:t>
                  </w:r>
                </w:p>
              </w:tc>
              <w:tc>
                <w:tcPr>
                  <w:tcW w:w="499" w:type="pct"/>
                  <w:shd w:val="clear" w:color="auto" w:fill="auto"/>
                  <w:vAlign w:val="bottom"/>
                </w:tcPr>
                <w:p w:rsidR="007544CA" w:rsidRPr="006C358F" w:rsidRDefault="007544CA" w:rsidP="00133508">
                  <w:pPr>
                    <w:pStyle w:val="TableBodyText"/>
                    <w:spacing w:after="0"/>
                    <w:ind w:left="0" w:right="57"/>
                  </w:pPr>
                  <w:r w:rsidRPr="006C358F">
                    <w:t>125.2</w:t>
                  </w:r>
                </w:p>
              </w:tc>
              <w:tc>
                <w:tcPr>
                  <w:tcW w:w="496" w:type="pct"/>
                  <w:shd w:val="clear" w:color="auto" w:fill="auto"/>
                  <w:vAlign w:val="bottom"/>
                </w:tcPr>
                <w:p w:rsidR="007544CA" w:rsidRPr="006C358F" w:rsidRDefault="007544CA" w:rsidP="00133508">
                  <w:pPr>
                    <w:pStyle w:val="TableBodyText"/>
                    <w:spacing w:after="0"/>
                    <w:ind w:left="0" w:right="57"/>
                  </w:pPr>
                  <w:r w:rsidRPr="006C358F">
                    <w:t>196.4</w:t>
                  </w:r>
                </w:p>
              </w:tc>
            </w:tr>
            <w:tr w:rsidR="007544CA" w:rsidTr="00133508">
              <w:tc>
                <w:tcPr>
                  <w:tcW w:w="2002" w:type="pct"/>
                  <w:shd w:val="clear" w:color="auto" w:fill="auto"/>
                  <w:vAlign w:val="center"/>
                </w:tcPr>
                <w:p w:rsidR="007544CA" w:rsidRPr="002E0713" w:rsidRDefault="007544CA" w:rsidP="00133508">
                  <w:pPr>
                    <w:rPr>
                      <w:rFonts w:ascii="Arial" w:hAnsi="Arial" w:cs="Arial"/>
                      <w:sz w:val="18"/>
                      <w:szCs w:val="18"/>
                    </w:rPr>
                  </w:pPr>
                  <w:r w:rsidRPr="002E0713">
                    <w:rPr>
                      <w:rFonts w:ascii="Arial" w:hAnsi="Arial" w:cs="Arial"/>
                      <w:sz w:val="18"/>
                      <w:szCs w:val="18"/>
                    </w:rPr>
                    <w:t>Construction</w:t>
                  </w:r>
                </w:p>
              </w:tc>
              <w:tc>
                <w:tcPr>
                  <w:tcW w:w="502" w:type="pct"/>
                  <w:vAlign w:val="bottom"/>
                </w:tcPr>
                <w:p w:rsidR="007544CA" w:rsidRPr="006C358F" w:rsidRDefault="007544CA" w:rsidP="00133508">
                  <w:pPr>
                    <w:pStyle w:val="TableBodyText"/>
                    <w:spacing w:after="0"/>
                    <w:ind w:left="0" w:right="57"/>
                  </w:pPr>
                  <w:r w:rsidRPr="006C358F">
                    <w:t>23.1</w:t>
                  </w:r>
                </w:p>
              </w:tc>
              <w:tc>
                <w:tcPr>
                  <w:tcW w:w="501" w:type="pct"/>
                  <w:vAlign w:val="bottom"/>
                </w:tcPr>
                <w:p w:rsidR="007544CA" w:rsidRPr="006C358F" w:rsidRDefault="007544CA" w:rsidP="00133508">
                  <w:pPr>
                    <w:pStyle w:val="TableBodyText"/>
                    <w:spacing w:after="0"/>
                    <w:ind w:left="0" w:right="57"/>
                  </w:pPr>
                  <w:r w:rsidRPr="006C358F">
                    <w:t>15.0</w:t>
                  </w:r>
                </w:p>
              </w:tc>
              <w:tc>
                <w:tcPr>
                  <w:tcW w:w="501" w:type="pct"/>
                  <w:vAlign w:val="bottom"/>
                </w:tcPr>
                <w:p w:rsidR="007544CA" w:rsidRPr="006C358F" w:rsidRDefault="007544CA" w:rsidP="00133508">
                  <w:pPr>
                    <w:pStyle w:val="TableBodyText"/>
                    <w:spacing w:after="0"/>
                    <w:ind w:left="0" w:right="57"/>
                  </w:pPr>
                  <w:r w:rsidRPr="006C358F">
                    <w:t>18.3</w:t>
                  </w:r>
                </w:p>
              </w:tc>
              <w:tc>
                <w:tcPr>
                  <w:tcW w:w="499" w:type="pct"/>
                  <w:vAlign w:val="bottom"/>
                </w:tcPr>
                <w:p w:rsidR="007544CA" w:rsidRPr="006C358F" w:rsidRDefault="007544CA" w:rsidP="00133508">
                  <w:pPr>
                    <w:pStyle w:val="TableBodyText"/>
                    <w:spacing w:after="0"/>
                    <w:ind w:left="0" w:right="57"/>
                  </w:pPr>
                  <w:r w:rsidRPr="006C358F">
                    <w:t>20.6</w:t>
                  </w:r>
                </w:p>
              </w:tc>
              <w:tc>
                <w:tcPr>
                  <w:tcW w:w="499" w:type="pct"/>
                  <w:shd w:val="clear" w:color="auto" w:fill="auto"/>
                  <w:vAlign w:val="bottom"/>
                </w:tcPr>
                <w:p w:rsidR="007544CA" w:rsidRPr="006C358F" w:rsidRDefault="007544CA" w:rsidP="00133508">
                  <w:pPr>
                    <w:pStyle w:val="TableBodyText"/>
                    <w:spacing w:after="0"/>
                    <w:ind w:left="0" w:right="57"/>
                  </w:pPr>
                  <w:r w:rsidRPr="006C358F">
                    <w:t>29.8</w:t>
                  </w:r>
                </w:p>
              </w:tc>
              <w:tc>
                <w:tcPr>
                  <w:tcW w:w="496" w:type="pct"/>
                  <w:shd w:val="clear" w:color="auto" w:fill="auto"/>
                  <w:vAlign w:val="bottom"/>
                </w:tcPr>
                <w:p w:rsidR="007544CA" w:rsidRPr="006C358F" w:rsidRDefault="007544CA" w:rsidP="00133508">
                  <w:pPr>
                    <w:pStyle w:val="TableBodyText"/>
                    <w:spacing w:after="0"/>
                    <w:ind w:left="0" w:right="57"/>
                  </w:pPr>
                  <w:r w:rsidRPr="006C358F">
                    <w:t>40.6</w:t>
                  </w:r>
                </w:p>
              </w:tc>
            </w:tr>
            <w:tr w:rsidR="007544CA" w:rsidTr="00133508">
              <w:tc>
                <w:tcPr>
                  <w:tcW w:w="2002" w:type="pct"/>
                  <w:shd w:val="clear" w:color="auto" w:fill="auto"/>
                  <w:vAlign w:val="center"/>
                </w:tcPr>
                <w:p w:rsidR="007544CA" w:rsidRPr="002E0713" w:rsidRDefault="007544CA" w:rsidP="00133508">
                  <w:pPr>
                    <w:rPr>
                      <w:rFonts w:ascii="Arial" w:hAnsi="Arial" w:cs="Arial"/>
                      <w:sz w:val="18"/>
                      <w:szCs w:val="18"/>
                    </w:rPr>
                  </w:pPr>
                  <w:r w:rsidRPr="002E0713">
                    <w:rPr>
                      <w:rFonts w:ascii="Arial" w:hAnsi="Arial" w:cs="Arial"/>
                      <w:sz w:val="18"/>
                      <w:szCs w:val="18"/>
                    </w:rPr>
                    <w:t>Wholesale trade</w:t>
                  </w:r>
                </w:p>
              </w:tc>
              <w:tc>
                <w:tcPr>
                  <w:tcW w:w="502" w:type="pct"/>
                  <w:vAlign w:val="bottom"/>
                </w:tcPr>
                <w:p w:rsidR="007544CA" w:rsidRPr="006C358F" w:rsidRDefault="007544CA" w:rsidP="00133508">
                  <w:pPr>
                    <w:pStyle w:val="TableBodyText"/>
                    <w:spacing w:after="0"/>
                    <w:ind w:left="0" w:right="57"/>
                  </w:pPr>
                  <w:r w:rsidRPr="006C358F">
                    <w:t>58.1</w:t>
                  </w:r>
                </w:p>
              </w:tc>
              <w:tc>
                <w:tcPr>
                  <w:tcW w:w="501" w:type="pct"/>
                  <w:vAlign w:val="bottom"/>
                </w:tcPr>
                <w:p w:rsidR="007544CA" w:rsidRPr="006C358F" w:rsidRDefault="007544CA" w:rsidP="00133508">
                  <w:pPr>
                    <w:pStyle w:val="TableBodyText"/>
                    <w:spacing w:after="0"/>
                    <w:ind w:left="0" w:right="57"/>
                  </w:pPr>
                  <w:r w:rsidRPr="006C358F">
                    <w:t>35.0</w:t>
                  </w:r>
                </w:p>
              </w:tc>
              <w:tc>
                <w:tcPr>
                  <w:tcW w:w="501" w:type="pct"/>
                  <w:vAlign w:val="bottom"/>
                </w:tcPr>
                <w:p w:rsidR="007544CA" w:rsidRPr="006C358F" w:rsidRDefault="007544CA" w:rsidP="00133508">
                  <w:pPr>
                    <w:pStyle w:val="TableBodyText"/>
                    <w:spacing w:after="0"/>
                    <w:ind w:left="0" w:right="57"/>
                  </w:pPr>
                  <w:r w:rsidRPr="006C358F">
                    <w:t>38.6</w:t>
                  </w:r>
                </w:p>
              </w:tc>
              <w:tc>
                <w:tcPr>
                  <w:tcW w:w="499" w:type="pct"/>
                  <w:vAlign w:val="bottom"/>
                </w:tcPr>
                <w:p w:rsidR="007544CA" w:rsidRPr="006C358F" w:rsidRDefault="007544CA" w:rsidP="00133508">
                  <w:pPr>
                    <w:pStyle w:val="TableBodyText"/>
                    <w:spacing w:after="0"/>
                    <w:ind w:left="0" w:right="57"/>
                  </w:pPr>
                  <w:r w:rsidRPr="006C358F">
                    <w:t>33.6</w:t>
                  </w:r>
                </w:p>
              </w:tc>
              <w:tc>
                <w:tcPr>
                  <w:tcW w:w="499" w:type="pct"/>
                  <w:shd w:val="clear" w:color="auto" w:fill="auto"/>
                  <w:vAlign w:val="bottom"/>
                </w:tcPr>
                <w:p w:rsidR="007544CA" w:rsidRPr="006C358F" w:rsidRDefault="007544CA" w:rsidP="00133508">
                  <w:pPr>
                    <w:pStyle w:val="TableBodyText"/>
                    <w:spacing w:after="0"/>
                    <w:ind w:left="0" w:right="57"/>
                  </w:pPr>
                  <w:r w:rsidRPr="006C358F">
                    <w:t>43.1</w:t>
                  </w:r>
                </w:p>
              </w:tc>
              <w:tc>
                <w:tcPr>
                  <w:tcW w:w="496" w:type="pct"/>
                  <w:shd w:val="clear" w:color="auto" w:fill="auto"/>
                  <w:vAlign w:val="bottom"/>
                </w:tcPr>
                <w:p w:rsidR="007544CA" w:rsidRPr="006C358F" w:rsidRDefault="007544CA" w:rsidP="00133508">
                  <w:pPr>
                    <w:pStyle w:val="TableBodyText"/>
                    <w:spacing w:after="0"/>
                    <w:ind w:left="0" w:right="57"/>
                  </w:pPr>
                  <w:r w:rsidRPr="006C358F">
                    <w:t>63.7</w:t>
                  </w:r>
                </w:p>
              </w:tc>
            </w:tr>
            <w:tr w:rsidR="007544CA" w:rsidTr="00133508">
              <w:tc>
                <w:tcPr>
                  <w:tcW w:w="2002" w:type="pct"/>
                  <w:shd w:val="clear" w:color="auto" w:fill="auto"/>
                  <w:vAlign w:val="center"/>
                </w:tcPr>
                <w:p w:rsidR="007544CA" w:rsidRPr="002E0713" w:rsidRDefault="007544CA" w:rsidP="00133508">
                  <w:pPr>
                    <w:rPr>
                      <w:rFonts w:ascii="Arial" w:hAnsi="Arial" w:cs="Arial"/>
                      <w:sz w:val="18"/>
                      <w:szCs w:val="18"/>
                    </w:rPr>
                  </w:pPr>
                  <w:r w:rsidRPr="002E0713">
                    <w:rPr>
                      <w:rFonts w:ascii="Arial" w:hAnsi="Arial" w:cs="Arial"/>
                      <w:sz w:val="18"/>
                      <w:szCs w:val="18"/>
                    </w:rPr>
                    <w:t>Retail trade</w:t>
                  </w:r>
                </w:p>
              </w:tc>
              <w:tc>
                <w:tcPr>
                  <w:tcW w:w="502" w:type="pct"/>
                  <w:vAlign w:val="bottom"/>
                </w:tcPr>
                <w:p w:rsidR="007544CA" w:rsidRPr="006C358F" w:rsidRDefault="007544CA" w:rsidP="00133508">
                  <w:pPr>
                    <w:pStyle w:val="TableBodyText"/>
                    <w:spacing w:after="0"/>
                    <w:ind w:left="0" w:right="57"/>
                  </w:pPr>
                  <w:r w:rsidRPr="006C358F">
                    <w:t>82.9</w:t>
                  </w:r>
                </w:p>
              </w:tc>
              <w:tc>
                <w:tcPr>
                  <w:tcW w:w="501" w:type="pct"/>
                  <w:vAlign w:val="bottom"/>
                </w:tcPr>
                <w:p w:rsidR="007544CA" w:rsidRPr="006C358F" w:rsidRDefault="007544CA" w:rsidP="00133508">
                  <w:pPr>
                    <w:pStyle w:val="TableBodyText"/>
                    <w:spacing w:after="0"/>
                    <w:ind w:left="0" w:right="57"/>
                  </w:pPr>
                  <w:r w:rsidRPr="006C358F">
                    <w:t>52.9</w:t>
                  </w:r>
                </w:p>
              </w:tc>
              <w:tc>
                <w:tcPr>
                  <w:tcW w:w="501" w:type="pct"/>
                  <w:vAlign w:val="bottom"/>
                </w:tcPr>
                <w:p w:rsidR="007544CA" w:rsidRPr="006C358F" w:rsidRDefault="007544CA" w:rsidP="00133508">
                  <w:pPr>
                    <w:pStyle w:val="TableBodyText"/>
                    <w:spacing w:after="0"/>
                    <w:ind w:left="0" w:right="57"/>
                  </w:pPr>
                  <w:r w:rsidRPr="006C358F">
                    <w:t>32.2</w:t>
                  </w:r>
                </w:p>
              </w:tc>
              <w:tc>
                <w:tcPr>
                  <w:tcW w:w="499" w:type="pct"/>
                  <w:vAlign w:val="bottom"/>
                </w:tcPr>
                <w:p w:rsidR="007544CA" w:rsidRPr="006C358F" w:rsidRDefault="007544CA" w:rsidP="00133508">
                  <w:pPr>
                    <w:pStyle w:val="TableBodyText"/>
                    <w:spacing w:after="0"/>
                    <w:ind w:left="0" w:right="57"/>
                  </w:pPr>
                  <w:r w:rsidRPr="006C358F">
                    <w:t>16.5</w:t>
                  </w:r>
                </w:p>
              </w:tc>
              <w:tc>
                <w:tcPr>
                  <w:tcW w:w="499" w:type="pct"/>
                  <w:shd w:val="clear" w:color="auto" w:fill="auto"/>
                  <w:vAlign w:val="bottom"/>
                </w:tcPr>
                <w:p w:rsidR="007544CA" w:rsidRPr="006C358F" w:rsidRDefault="007544CA" w:rsidP="00133508">
                  <w:pPr>
                    <w:pStyle w:val="TableBodyText"/>
                    <w:spacing w:after="0"/>
                    <w:ind w:left="0" w:right="57"/>
                  </w:pPr>
                  <w:r w:rsidRPr="006C358F">
                    <w:t>17.4</w:t>
                  </w:r>
                </w:p>
              </w:tc>
              <w:tc>
                <w:tcPr>
                  <w:tcW w:w="496" w:type="pct"/>
                  <w:shd w:val="clear" w:color="auto" w:fill="auto"/>
                  <w:vAlign w:val="bottom"/>
                </w:tcPr>
                <w:p w:rsidR="007544CA" w:rsidRPr="006C358F" w:rsidRDefault="007544CA" w:rsidP="00133508">
                  <w:pPr>
                    <w:pStyle w:val="TableBodyText"/>
                    <w:spacing w:after="0"/>
                    <w:ind w:left="0" w:right="57"/>
                  </w:pPr>
                  <w:r w:rsidRPr="006C358F">
                    <w:t>26.8</w:t>
                  </w:r>
                </w:p>
              </w:tc>
            </w:tr>
            <w:tr w:rsidR="007544CA" w:rsidTr="00133508">
              <w:tc>
                <w:tcPr>
                  <w:tcW w:w="2002" w:type="pct"/>
                  <w:shd w:val="clear" w:color="auto" w:fill="auto"/>
                  <w:vAlign w:val="center"/>
                </w:tcPr>
                <w:p w:rsidR="007544CA" w:rsidRPr="002E0713" w:rsidRDefault="007544CA" w:rsidP="00133508">
                  <w:pPr>
                    <w:rPr>
                      <w:rFonts w:ascii="Arial" w:hAnsi="Arial" w:cs="Arial"/>
                      <w:sz w:val="18"/>
                      <w:szCs w:val="18"/>
                    </w:rPr>
                  </w:pPr>
                  <w:r w:rsidRPr="002E0713">
                    <w:rPr>
                      <w:rFonts w:ascii="Arial" w:hAnsi="Arial" w:cs="Arial"/>
                      <w:sz w:val="18"/>
                      <w:szCs w:val="18"/>
                    </w:rPr>
                    <w:t>Accommodation &amp; food services</w:t>
                  </w:r>
                </w:p>
              </w:tc>
              <w:tc>
                <w:tcPr>
                  <w:tcW w:w="502" w:type="pct"/>
                  <w:vAlign w:val="bottom"/>
                </w:tcPr>
                <w:p w:rsidR="007544CA" w:rsidRPr="006C358F" w:rsidRDefault="007544CA" w:rsidP="00133508">
                  <w:pPr>
                    <w:pStyle w:val="TableBodyText"/>
                    <w:spacing w:after="0"/>
                    <w:ind w:left="0" w:right="57"/>
                  </w:pPr>
                  <w:r w:rsidRPr="006C358F">
                    <w:t>8.0</w:t>
                  </w:r>
                </w:p>
              </w:tc>
              <w:tc>
                <w:tcPr>
                  <w:tcW w:w="501" w:type="pct"/>
                  <w:vAlign w:val="bottom"/>
                </w:tcPr>
                <w:p w:rsidR="007544CA" w:rsidRPr="006C358F" w:rsidRDefault="007544CA" w:rsidP="00133508">
                  <w:pPr>
                    <w:pStyle w:val="TableBodyText"/>
                    <w:spacing w:after="0"/>
                    <w:ind w:left="0" w:right="57"/>
                  </w:pPr>
                  <w:r w:rsidRPr="006C358F">
                    <w:t>5.4</w:t>
                  </w:r>
                </w:p>
              </w:tc>
              <w:tc>
                <w:tcPr>
                  <w:tcW w:w="501" w:type="pct"/>
                  <w:vAlign w:val="bottom"/>
                </w:tcPr>
                <w:p w:rsidR="007544CA" w:rsidRPr="006C358F" w:rsidRDefault="007544CA" w:rsidP="00133508">
                  <w:pPr>
                    <w:pStyle w:val="TableBodyText"/>
                    <w:spacing w:after="0"/>
                    <w:ind w:left="0" w:right="57"/>
                  </w:pPr>
                  <w:r w:rsidRPr="006C358F">
                    <w:t>4.6</w:t>
                  </w:r>
                </w:p>
              </w:tc>
              <w:tc>
                <w:tcPr>
                  <w:tcW w:w="499" w:type="pct"/>
                  <w:vAlign w:val="bottom"/>
                </w:tcPr>
                <w:p w:rsidR="007544CA" w:rsidRPr="006C358F" w:rsidRDefault="007544CA" w:rsidP="00133508">
                  <w:pPr>
                    <w:pStyle w:val="TableBodyText"/>
                    <w:spacing w:after="0"/>
                    <w:ind w:left="0" w:right="57"/>
                  </w:pPr>
                  <w:r w:rsidRPr="006C358F">
                    <w:t>4.7</w:t>
                  </w:r>
                </w:p>
              </w:tc>
              <w:tc>
                <w:tcPr>
                  <w:tcW w:w="499" w:type="pct"/>
                  <w:shd w:val="clear" w:color="auto" w:fill="auto"/>
                  <w:vAlign w:val="bottom"/>
                </w:tcPr>
                <w:p w:rsidR="007544CA" w:rsidRPr="006C358F" w:rsidRDefault="007544CA" w:rsidP="00133508">
                  <w:pPr>
                    <w:pStyle w:val="TableBodyText"/>
                    <w:spacing w:after="0"/>
                    <w:ind w:left="0" w:right="57"/>
                  </w:pPr>
                  <w:r w:rsidRPr="006C358F">
                    <w:t>4.8</w:t>
                  </w:r>
                </w:p>
              </w:tc>
              <w:tc>
                <w:tcPr>
                  <w:tcW w:w="496" w:type="pct"/>
                  <w:shd w:val="clear" w:color="auto" w:fill="auto"/>
                  <w:vAlign w:val="bottom"/>
                </w:tcPr>
                <w:p w:rsidR="007544CA" w:rsidRPr="006C358F" w:rsidRDefault="007544CA" w:rsidP="00133508">
                  <w:pPr>
                    <w:pStyle w:val="TableBodyText"/>
                    <w:spacing w:after="0"/>
                    <w:ind w:left="0" w:right="57"/>
                  </w:pPr>
                  <w:r w:rsidRPr="006C358F">
                    <w:t>6.4</w:t>
                  </w:r>
                </w:p>
              </w:tc>
            </w:tr>
            <w:tr w:rsidR="007544CA" w:rsidTr="00133508">
              <w:tc>
                <w:tcPr>
                  <w:tcW w:w="2002" w:type="pct"/>
                  <w:shd w:val="clear" w:color="auto" w:fill="auto"/>
                  <w:vAlign w:val="center"/>
                </w:tcPr>
                <w:p w:rsidR="007544CA" w:rsidRPr="002E0713" w:rsidRDefault="007544CA" w:rsidP="00133508">
                  <w:pPr>
                    <w:rPr>
                      <w:rFonts w:ascii="Arial" w:hAnsi="Arial" w:cs="Arial"/>
                      <w:sz w:val="18"/>
                      <w:szCs w:val="18"/>
                    </w:rPr>
                  </w:pPr>
                  <w:r w:rsidRPr="002E0713">
                    <w:rPr>
                      <w:rFonts w:ascii="Arial" w:hAnsi="Arial" w:cs="Arial"/>
                      <w:sz w:val="18"/>
                      <w:szCs w:val="18"/>
                    </w:rPr>
                    <w:t>Transport, postal &amp; warehousing</w:t>
                  </w:r>
                </w:p>
              </w:tc>
              <w:tc>
                <w:tcPr>
                  <w:tcW w:w="502" w:type="pct"/>
                  <w:vAlign w:val="bottom"/>
                </w:tcPr>
                <w:p w:rsidR="007544CA" w:rsidRPr="006C358F" w:rsidRDefault="007544CA" w:rsidP="00133508">
                  <w:pPr>
                    <w:pStyle w:val="TableBodyText"/>
                    <w:spacing w:after="0"/>
                    <w:ind w:left="0" w:right="57"/>
                  </w:pPr>
                  <w:r w:rsidRPr="006C358F">
                    <w:t>56.5</w:t>
                  </w:r>
                </w:p>
              </w:tc>
              <w:tc>
                <w:tcPr>
                  <w:tcW w:w="501" w:type="pct"/>
                  <w:vAlign w:val="bottom"/>
                </w:tcPr>
                <w:p w:rsidR="007544CA" w:rsidRPr="006C358F" w:rsidRDefault="007544CA" w:rsidP="00133508">
                  <w:pPr>
                    <w:pStyle w:val="TableBodyText"/>
                    <w:spacing w:after="0"/>
                    <w:ind w:left="0" w:right="57"/>
                  </w:pPr>
                  <w:r w:rsidRPr="006C358F">
                    <w:t>52.1</w:t>
                  </w:r>
                </w:p>
              </w:tc>
              <w:tc>
                <w:tcPr>
                  <w:tcW w:w="501" w:type="pct"/>
                  <w:vAlign w:val="bottom"/>
                </w:tcPr>
                <w:p w:rsidR="007544CA" w:rsidRPr="006C358F" w:rsidRDefault="007544CA" w:rsidP="00133508">
                  <w:pPr>
                    <w:pStyle w:val="TableBodyText"/>
                    <w:spacing w:after="0"/>
                    <w:ind w:left="0" w:right="57"/>
                  </w:pPr>
                  <w:r w:rsidRPr="006C358F">
                    <w:t>57.9</w:t>
                  </w:r>
                </w:p>
              </w:tc>
              <w:tc>
                <w:tcPr>
                  <w:tcW w:w="499" w:type="pct"/>
                  <w:vAlign w:val="bottom"/>
                </w:tcPr>
                <w:p w:rsidR="007544CA" w:rsidRPr="006C358F" w:rsidRDefault="007544CA" w:rsidP="00133508">
                  <w:pPr>
                    <w:pStyle w:val="TableBodyText"/>
                    <w:spacing w:after="0"/>
                    <w:ind w:left="0" w:right="57"/>
                  </w:pPr>
                  <w:r w:rsidRPr="006C358F">
                    <w:t>43.5</w:t>
                  </w:r>
                </w:p>
              </w:tc>
              <w:tc>
                <w:tcPr>
                  <w:tcW w:w="499" w:type="pct"/>
                  <w:shd w:val="clear" w:color="auto" w:fill="auto"/>
                  <w:vAlign w:val="bottom"/>
                </w:tcPr>
                <w:p w:rsidR="007544CA" w:rsidRPr="006C358F" w:rsidRDefault="007544CA" w:rsidP="00133508">
                  <w:pPr>
                    <w:pStyle w:val="TableBodyText"/>
                    <w:spacing w:after="0"/>
                    <w:ind w:left="0" w:right="57"/>
                  </w:pPr>
                  <w:r w:rsidRPr="006C358F">
                    <w:t>49.4</w:t>
                  </w:r>
                </w:p>
              </w:tc>
              <w:tc>
                <w:tcPr>
                  <w:tcW w:w="496" w:type="pct"/>
                  <w:shd w:val="clear" w:color="auto" w:fill="auto"/>
                  <w:vAlign w:val="bottom"/>
                </w:tcPr>
                <w:p w:rsidR="007544CA" w:rsidRPr="006C358F" w:rsidRDefault="007544CA" w:rsidP="00133508">
                  <w:pPr>
                    <w:pStyle w:val="TableBodyText"/>
                    <w:spacing w:after="0"/>
                    <w:ind w:left="0" w:right="57"/>
                  </w:pPr>
                  <w:r w:rsidRPr="006C358F">
                    <w:t>57.9</w:t>
                  </w:r>
                </w:p>
              </w:tc>
            </w:tr>
            <w:tr w:rsidR="007544CA" w:rsidTr="00133508">
              <w:tc>
                <w:tcPr>
                  <w:tcW w:w="2002" w:type="pct"/>
                  <w:shd w:val="clear" w:color="auto" w:fill="auto"/>
                  <w:vAlign w:val="center"/>
                </w:tcPr>
                <w:p w:rsidR="007544CA" w:rsidRPr="002E0713" w:rsidRDefault="007544CA" w:rsidP="00133508">
                  <w:pPr>
                    <w:rPr>
                      <w:rFonts w:ascii="Arial" w:hAnsi="Arial" w:cs="Arial"/>
                      <w:sz w:val="18"/>
                      <w:szCs w:val="18"/>
                    </w:rPr>
                  </w:pPr>
                  <w:r w:rsidRPr="002E0713">
                    <w:rPr>
                      <w:rFonts w:ascii="Arial" w:hAnsi="Arial" w:cs="Arial"/>
                      <w:sz w:val="18"/>
                      <w:szCs w:val="18"/>
                    </w:rPr>
                    <w:t>Information &amp; telecommunications</w:t>
                  </w:r>
                </w:p>
              </w:tc>
              <w:tc>
                <w:tcPr>
                  <w:tcW w:w="502" w:type="pct"/>
                  <w:vAlign w:val="bottom"/>
                </w:tcPr>
                <w:p w:rsidR="007544CA" w:rsidRPr="006C358F" w:rsidRDefault="007544CA" w:rsidP="00133508">
                  <w:pPr>
                    <w:pStyle w:val="TableBodyText"/>
                    <w:spacing w:after="0"/>
                    <w:ind w:left="0" w:right="57"/>
                  </w:pPr>
                  <w:r w:rsidRPr="006C358F">
                    <w:t>111.4</w:t>
                  </w:r>
                </w:p>
              </w:tc>
              <w:tc>
                <w:tcPr>
                  <w:tcW w:w="501" w:type="pct"/>
                  <w:vAlign w:val="bottom"/>
                </w:tcPr>
                <w:p w:rsidR="007544CA" w:rsidRPr="006C358F" w:rsidRDefault="007544CA" w:rsidP="00133508">
                  <w:pPr>
                    <w:pStyle w:val="TableBodyText"/>
                    <w:spacing w:after="0"/>
                    <w:ind w:left="0" w:right="57"/>
                  </w:pPr>
                  <w:r w:rsidRPr="006C358F">
                    <w:t>96.9</w:t>
                  </w:r>
                </w:p>
              </w:tc>
              <w:tc>
                <w:tcPr>
                  <w:tcW w:w="501" w:type="pct"/>
                  <w:vAlign w:val="bottom"/>
                </w:tcPr>
                <w:p w:rsidR="007544CA" w:rsidRPr="006C358F" w:rsidRDefault="007544CA" w:rsidP="00133508">
                  <w:pPr>
                    <w:pStyle w:val="TableBodyText"/>
                    <w:spacing w:after="0"/>
                    <w:ind w:left="0" w:right="57"/>
                  </w:pPr>
                  <w:r w:rsidRPr="006C358F">
                    <w:t>88.0</w:t>
                  </w:r>
                </w:p>
              </w:tc>
              <w:tc>
                <w:tcPr>
                  <w:tcW w:w="499" w:type="pct"/>
                  <w:vAlign w:val="bottom"/>
                </w:tcPr>
                <w:p w:rsidR="007544CA" w:rsidRPr="006C358F" w:rsidRDefault="007544CA" w:rsidP="00133508">
                  <w:pPr>
                    <w:pStyle w:val="TableBodyText"/>
                    <w:spacing w:after="0"/>
                    <w:ind w:left="0" w:right="57"/>
                  </w:pPr>
                  <w:r w:rsidRPr="006C358F">
                    <w:t>107.6</w:t>
                  </w:r>
                </w:p>
              </w:tc>
              <w:tc>
                <w:tcPr>
                  <w:tcW w:w="499" w:type="pct"/>
                  <w:shd w:val="clear" w:color="auto" w:fill="auto"/>
                  <w:vAlign w:val="bottom"/>
                </w:tcPr>
                <w:p w:rsidR="007544CA" w:rsidRPr="006C358F" w:rsidRDefault="007544CA" w:rsidP="00133508">
                  <w:pPr>
                    <w:pStyle w:val="TableBodyText"/>
                    <w:spacing w:after="0"/>
                    <w:ind w:left="0" w:right="57"/>
                  </w:pPr>
                  <w:r w:rsidRPr="006C358F">
                    <w:t>121.0</w:t>
                  </w:r>
                </w:p>
              </w:tc>
              <w:tc>
                <w:tcPr>
                  <w:tcW w:w="496" w:type="pct"/>
                  <w:shd w:val="clear" w:color="auto" w:fill="auto"/>
                  <w:vAlign w:val="bottom"/>
                </w:tcPr>
                <w:p w:rsidR="007544CA" w:rsidRPr="006C358F" w:rsidRDefault="007544CA" w:rsidP="00133508">
                  <w:pPr>
                    <w:pStyle w:val="TableBodyText"/>
                    <w:spacing w:after="0"/>
                    <w:ind w:left="0" w:right="57"/>
                  </w:pPr>
                  <w:r w:rsidRPr="006C358F">
                    <w:t>112.6</w:t>
                  </w:r>
                </w:p>
              </w:tc>
            </w:tr>
            <w:tr w:rsidR="007544CA" w:rsidTr="00133508">
              <w:tc>
                <w:tcPr>
                  <w:tcW w:w="2002" w:type="pct"/>
                  <w:shd w:val="clear" w:color="auto" w:fill="auto"/>
                  <w:vAlign w:val="center"/>
                </w:tcPr>
                <w:p w:rsidR="007544CA" w:rsidRPr="002E0713" w:rsidRDefault="007544CA" w:rsidP="00133508">
                  <w:pPr>
                    <w:rPr>
                      <w:rFonts w:ascii="Arial" w:hAnsi="Arial" w:cs="Arial"/>
                      <w:sz w:val="18"/>
                      <w:szCs w:val="18"/>
                    </w:rPr>
                  </w:pPr>
                  <w:r w:rsidRPr="002E0713">
                    <w:rPr>
                      <w:rFonts w:ascii="Arial" w:hAnsi="Arial" w:cs="Arial"/>
                      <w:sz w:val="18"/>
                      <w:szCs w:val="18"/>
                    </w:rPr>
                    <w:t>Financial and insurance services</w:t>
                  </w:r>
                </w:p>
              </w:tc>
              <w:tc>
                <w:tcPr>
                  <w:tcW w:w="502" w:type="pct"/>
                  <w:vAlign w:val="bottom"/>
                </w:tcPr>
                <w:p w:rsidR="007544CA" w:rsidRPr="006C358F" w:rsidRDefault="007544CA" w:rsidP="00133508">
                  <w:pPr>
                    <w:pStyle w:val="TableBodyText"/>
                    <w:spacing w:after="0"/>
                    <w:ind w:left="0" w:right="57"/>
                  </w:pPr>
                  <w:r w:rsidRPr="006C358F">
                    <w:t>62.0</w:t>
                  </w:r>
                </w:p>
              </w:tc>
              <w:tc>
                <w:tcPr>
                  <w:tcW w:w="501" w:type="pct"/>
                  <w:vAlign w:val="bottom"/>
                </w:tcPr>
                <w:p w:rsidR="007544CA" w:rsidRPr="006C358F" w:rsidRDefault="007544CA" w:rsidP="00133508">
                  <w:pPr>
                    <w:pStyle w:val="TableBodyText"/>
                    <w:spacing w:after="0"/>
                    <w:ind w:left="0" w:right="57"/>
                  </w:pPr>
                  <w:r w:rsidRPr="006C358F">
                    <w:t>120.4</w:t>
                  </w:r>
                </w:p>
              </w:tc>
              <w:tc>
                <w:tcPr>
                  <w:tcW w:w="501" w:type="pct"/>
                  <w:vAlign w:val="bottom"/>
                </w:tcPr>
                <w:p w:rsidR="007544CA" w:rsidRPr="006C358F" w:rsidRDefault="007544CA" w:rsidP="00133508">
                  <w:pPr>
                    <w:pStyle w:val="TableBodyText"/>
                    <w:spacing w:after="0"/>
                    <w:ind w:left="0" w:right="57"/>
                  </w:pPr>
                  <w:r w:rsidRPr="006C358F">
                    <w:t>137.2</w:t>
                  </w:r>
                </w:p>
              </w:tc>
              <w:tc>
                <w:tcPr>
                  <w:tcW w:w="499" w:type="pct"/>
                  <w:vAlign w:val="bottom"/>
                </w:tcPr>
                <w:p w:rsidR="007544CA" w:rsidRPr="006C358F" w:rsidRDefault="007544CA" w:rsidP="00133508">
                  <w:pPr>
                    <w:pStyle w:val="TableBodyText"/>
                    <w:spacing w:after="0"/>
                    <w:ind w:left="0" w:right="57"/>
                  </w:pPr>
                  <w:r w:rsidRPr="006C358F">
                    <w:t>127.6</w:t>
                  </w:r>
                </w:p>
              </w:tc>
              <w:tc>
                <w:tcPr>
                  <w:tcW w:w="499" w:type="pct"/>
                  <w:shd w:val="clear" w:color="auto" w:fill="auto"/>
                  <w:vAlign w:val="bottom"/>
                </w:tcPr>
                <w:p w:rsidR="007544CA" w:rsidRPr="006C358F" w:rsidRDefault="007544CA" w:rsidP="00133508">
                  <w:pPr>
                    <w:pStyle w:val="TableBodyText"/>
                    <w:spacing w:after="0"/>
                    <w:ind w:left="0" w:right="57"/>
                  </w:pPr>
                  <w:r w:rsidRPr="006C358F">
                    <w:t>183.8</w:t>
                  </w:r>
                </w:p>
              </w:tc>
              <w:tc>
                <w:tcPr>
                  <w:tcW w:w="496" w:type="pct"/>
                  <w:shd w:val="clear" w:color="auto" w:fill="auto"/>
                  <w:vAlign w:val="bottom"/>
                </w:tcPr>
                <w:p w:rsidR="007544CA" w:rsidRPr="006C358F" w:rsidRDefault="007544CA" w:rsidP="00133508">
                  <w:pPr>
                    <w:pStyle w:val="TableBodyText"/>
                    <w:spacing w:after="0"/>
                    <w:ind w:left="0" w:right="57"/>
                  </w:pPr>
                  <w:r w:rsidRPr="006C358F">
                    <w:t>278.6</w:t>
                  </w:r>
                </w:p>
              </w:tc>
            </w:tr>
            <w:tr w:rsidR="007544CA" w:rsidTr="00133508">
              <w:tc>
                <w:tcPr>
                  <w:tcW w:w="2002" w:type="pct"/>
                  <w:shd w:val="clear" w:color="auto" w:fill="auto"/>
                  <w:vAlign w:val="center"/>
                </w:tcPr>
                <w:p w:rsidR="007544CA" w:rsidRPr="002E0713" w:rsidRDefault="007544CA" w:rsidP="00133508">
                  <w:pPr>
                    <w:rPr>
                      <w:rFonts w:ascii="Arial" w:hAnsi="Arial" w:cs="Arial"/>
                      <w:sz w:val="18"/>
                      <w:szCs w:val="18"/>
                    </w:rPr>
                  </w:pPr>
                  <w:r w:rsidRPr="002E0713">
                    <w:rPr>
                      <w:rFonts w:ascii="Arial" w:hAnsi="Arial" w:cs="Arial"/>
                      <w:sz w:val="18"/>
                      <w:szCs w:val="18"/>
                    </w:rPr>
                    <w:t>Property, professional &amp; admin.</w:t>
                  </w:r>
                </w:p>
              </w:tc>
              <w:tc>
                <w:tcPr>
                  <w:tcW w:w="502" w:type="pct"/>
                  <w:vAlign w:val="bottom"/>
                </w:tcPr>
                <w:p w:rsidR="007544CA" w:rsidRPr="006C358F" w:rsidRDefault="007544CA" w:rsidP="00133508">
                  <w:pPr>
                    <w:pStyle w:val="TableBodyText"/>
                    <w:spacing w:after="0"/>
                    <w:ind w:left="0" w:right="57"/>
                  </w:pPr>
                  <w:r w:rsidRPr="006C358F">
                    <w:t>185.6</w:t>
                  </w:r>
                </w:p>
              </w:tc>
              <w:tc>
                <w:tcPr>
                  <w:tcW w:w="501" w:type="pct"/>
                  <w:vAlign w:val="bottom"/>
                </w:tcPr>
                <w:p w:rsidR="007544CA" w:rsidRPr="006C358F" w:rsidRDefault="007544CA" w:rsidP="00133508">
                  <w:pPr>
                    <w:pStyle w:val="TableBodyText"/>
                    <w:spacing w:after="0"/>
                    <w:ind w:left="0" w:right="57"/>
                  </w:pPr>
                  <w:r w:rsidRPr="006C358F">
                    <w:t>302.8</w:t>
                  </w:r>
                </w:p>
              </w:tc>
              <w:tc>
                <w:tcPr>
                  <w:tcW w:w="501" w:type="pct"/>
                  <w:vAlign w:val="bottom"/>
                </w:tcPr>
                <w:p w:rsidR="007544CA" w:rsidRPr="006C358F" w:rsidRDefault="007544CA" w:rsidP="00133508">
                  <w:pPr>
                    <w:pStyle w:val="TableBodyText"/>
                    <w:spacing w:after="0"/>
                    <w:ind w:left="0" w:right="57"/>
                  </w:pPr>
                  <w:r w:rsidRPr="006C358F">
                    <w:t>328.6</w:t>
                  </w:r>
                </w:p>
              </w:tc>
              <w:tc>
                <w:tcPr>
                  <w:tcW w:w="499" w:type="pct"/>
                  <w:vAlign w:val="bottom"/>
                </w:tcPr>
                <w:p w:rsidR="007544CA" w:rsidRPr="006C358F" w:rsidRDefault="007544CA" w:rsidP="00133508">
                  <w:pPr>
                    <w:pStyle w:val="TableBodyText"/>
                    <w:spacing w:after="0"/>
                    <w:ind w:left="0" w:right="57"/>
                  </w:pPr>
                  <w:r w:rsidRPr="006C358F">
                    <w:t>276.2</w:t>
                  </w:r>
                </w:p>
              </w:tc>
              <w:tc>
                <w:tcPr>
                  <w:tcW w:w="499" w:type="pct"/>
                  <w:shd w:val="clear" w:color="auto" w:fill="auto"/>
                  <w:vAlign w:val="bottom"/>
                </w:tcPr>
                <w:p w:rsidR="007544CA" w:rsidRPr="006C358F" w:rsidRDefault="007544CA" w:rsidP="00133508">
                  <w:pPr>
                    <w:pStyle w:val="TableBodyText"/>
                    <w:spacing w:after="0"/>
                    <w:ind w:left="0" w:right="57"/>
                  </w:pPr>
                  <w:r w:rsidRPr="006C358F">
                    <w:t>405.2</w:t>
                  </w:r>
                </w:p>
              </w:tc>
              <w:tc>
                <w:tcPr>
                  <w:tcW w:w="496" w:type="pct"/>
                  <w:shd w:val="clear" w:color="auto" w:fill="auto"/>
                  <w:vAlign w:val="bottom"/>
                </w:tcPr>
                <w:p w:rsidR="007544CA" w:rsidRPr="006C358F" w:rsidRDefault="007544CA" w:rsidP="00133508">
                  <w:pPr>
                    <w:pStyle w:val="TableBodyText"/>
                    <w:spacing w:after="0"/>
                    <w:ind w:left="0" w:right="57"/>
                  </w:pPr>
                  <w:r w:rsidRPr="006C358F">
                    <w:t>587.3</w:t>
                  </w:r>
                </w:p>
              </w:tc>
            </w:tr>
            <w:tr w:rsidR="007544CA" w:rsidTr="00133508">
              <w:tc>
                <w:tcPr>
                  <w:tcW w:w="2002" w:type="pct"/>
                  <w:shd w:val="clear" w:color="auto" w:fill="auto"/>
                  <w:vAlign w:val="center"/>
                </w:tcPr>
                <w:p w:rsidR="007544CA" w:rsidRPr="002E0713" w:rsidRDefault="007544CA" w:rsidP="00133508">
                  <w:pPr>
                    <w:rPr>
                      <w:rFonts w:ascii="Arial" w:hAnsi="Arial" w:cs="Arial"/>
                      <w:sz w:val="18"/>
                      <w:szCs w:val="18"/>
                    </w:rPr>
                  </w:pPr>
                  <w:r w:rsidRPr="002E0713">
                    <w:rPr>
                      <w:rFonts w:ascii="Arial" w:hAnsi="Arial" w:cs="Arial"/>
                      <w:sz w:val="18"/>
                      <w:szCs w:val="18"/>
                    </w:rPr>
                    <w:t>Public administration and safety</w:t>
                  </w:r>
                </w:p>
              </w:tc>
              <w:tc>
                <w:tcPr>
                  <w:tcW w:w="502" w:type="pct"/>
                  <w:vAlign w:val="bottom"/>
                </w:tcPr>
                <w:p w:rsidR="007544CA" w:rsidRPr="006C358F" w:rsidRDefault="007544CA" w:rsidP="00133508">
                  <w:pPr>
                    <w:pStyle w:val="TableBodyText"/>
                    <w:spacing w:after="0"/>
                    <w:ind w:left="0" w:right="57"/>
                  </w:pPr>
                  <w:r w:rsidRPr="006C358F">
                    <w:t>19.0</w:t>
                  </w:r>
                </w:p>
              </w:tc>
              <w:tc>
                <w:tcPr>
                  <w:tcW w:w="501" w:type="pct"/>
                  <w:vAlign w:val="bottom"/>
                </w:tcPr>
                <w:p w:rsidR="007544CA" w:rsidRPr="006C358F" w:rsidRDefault="007544CA" w:rsidP="00133508">
                  <w:pPr>
                    <w:pStyle w:val="TableBodyText"/>
                    <w:spacing w:after="0"/>
                    <w:ind w:left="0" w:right="57"/>
                  </w:pPr>
                  <w:r w:rsidRPr="006C358F">
                    <w:t>13.9</w:t>
                  </w:r>
                </w:p>
              </w:tc>
              <w:tc>
                <w:tcPr>
                  <w:tcW w:w="501" w:type="pct"/>
                  <w:vAlign w:val="bottom"/>
                </w:tcPr>
                <w:p w:rsidR="007544CA" w:rsidRPr="006C358F" w:rsidRDefault="007544CA" w:rsidP="00133508">
                  <w:pPr>
                    <w:pStyle w:val="TableBodyText"/>
                    <w:spacing w:after="0"/>
                    <w:ind w:left="0" w:right="57"/>
                  </w:pPr>
                  <w:r w:rsidRPr="006C358F">
                    <w:t>10.6</w:t>
                  </w:r>
                </w:p>
              </w:tc>
              <w:tc>
                <w:tcPr>
                  <w:tcW w:w="499" w:type="pct"/>
                  <w:vAlign w:val="bottom"/>
                </w:tcPr>
                <w:p w:rsidR="007544CA" w:rsidRPr="006C358F" w:rsidRDefault="007544CA" w:rsidP="00133508">
                  <w:pPr>
                    <w:pStyle w:val="TableBodyText"/>
                    <w:spacing w:after="0"/>
                    <w:ind w:left="0" w:right="57"/>
                  </w:pPr>
                  <w:r w:rsidRPr="006C358F">
                    <w:t>7.1</w:t>
                  </w:r>
                </w:p>
              </w:tc>
              <w:tc>
                <w:tcPr>
                  <w:tcW w:w="499" w:type="pct"/>
                  <w:shd w:val="clear" w:color="auto" w:fill="auto"/>
                  <w:vAlign w:val="bottom"/>
                </w:tcPr>
                <w:p w:rsidR="007544CA" w:rsidRPr="006C358F" w:rsidRDefault="007544CA" w:rsidP="00133508">
                  <w:pPr>
                    <w:pStyle w:val="TableBodyText"/>
                    <w:spacing w:after="0"/>
                    <w:ind w:left="0" w:right="57"/>
                  </w:pPr>
                  <w:r w:rsidRPr="006C358F">
                    <w:t>6.4</w:t>
                  </w:r>
                </w:p>
              </w:tc>
              <w:tc>
                <w:tcPr>
                  <w:tcW w:w="496" w:type="pct"/>
                  <w:shd w:val="clear" w:color="auto" w:fill="auto"/>
                  <w:vAlign w:val="bottom"/>
                </w:tcPr>
                <w:p w:rsidR="007544CA" w:rsidRPr="006C358F" w:rsidRDefault="007544CA" w:rsidP="00133508">
                  <w:pPr>
                    <w:pStyle w:val="TableBodyText"/>
                    <w:spacing w:after="0"/>
                    <w:ind w:left="0" w:right="57"/>
                  </w:pPr>
                  <w:r w:rsidRPr="006C358F">
                    <w:t>13.5</w:t>
                  </w:r>
                </w:p>
              </w:tc>
            </w:tr>
            <w:tr w:rsidR="007544CA" w:rsidTr="00133508">
              <w:tc>
                <w:tcPr>
                  <w:tcW w:w="2002" w:type="pct"/>
                  <w:shd w:val="clear" w:color="auto" w:fill="auto"/>
                  <w:vAlign w:val="center"/>
                </w:tcPr>
                <w:p w:rsidR="007544CA" w:rsidRPr="002E0713" w:rsidRDefault="007544CA" w:rsidP="00133508">
                  <w:pPr>
                    <w:rPr>
                      <w:rFonts w:ascii="Arial" w:hAnsi="Arial" w:cs="Arial"/>
                      <w:sz w:val="18"/>
                      <w:szCs w:val="18"/>
                    </w:rPr>
                  </w:pPr>
                  <w:r w:rsidRPr="002E0713">
                    <w:rPr>
                      <w:rFonts w:ascii="Arial" w:hAnsi="Arial" w:cs="Arial"/>
                      <w:sz w:val="18"/>
                      <w:szCs w:val="18"/>
                    </w:rPr>
                    <w:t>Education and training</w:t>
                  </w:r>
                </w:p>
              </w:tc>
              <w:tc>
                <w:tcPr>
                  <w:tcW w:w="502" w:type="pct"/>
                  <w:vAlign w:val="bottom"/>
                </w:tcPr>
                <w:p w:rsidR="007544CA" w:rsidRPr="006C358F" w:rsidRDefault="007544CA" w:rsidP="00133508">
                  <w:pPr>
                    <w:pStyle w:val="TableBodyText"/>
                    <w:spacing w:after="0"/>
                    <w:ind w:left="0" w:right="57"/>
                  </w:pPr>
                  <w:r w:rsidRPr="006C358F">
                    <w:t>22.6</w:t>
                  </w:r>
                </w:p>
              </w:tc>
              <w:tc>
                <w:tcPr>
                  <w:tcW w:w="501" w:type="pct"/>
                  <w:vAlign w:val="bottom"/>
                </w:tcPr>
                <w:p w:rsidR="007544CA" w:rsidRPr="006C358F" w:rsidRDefault="007544CA" w:rsidP="00133508">
                  <w:pPr>
                    <w:pStyle w:val="TableBodyText"/>
                    <w:spacing w:after="0"/>
                    <w:ind w:left="0" w:right="57"/>
                  </w:pPr>
                  <w:r w:rsidRPr="006C358F">
                    <w:t>19.2</w:t>
                  </w:r>
                </w:p>
              </w:tc>
              <w:tc>
                <w:tcPr>
                  <w:tcW w:w="501" w:type="pct"/>
                  <w:vAlign w:val="bottom"/>
                </w:tcPr>
                <w:p w:rsidR="007544CA" w:rsidRPr="006C358F" w:rsidRDefault="007544CA" w:rsidP="00133508">
                  <w:pPr>
                    <w:pStyle w:val="TableBodyText"/>
                    <w:spacing w:after="0"/>
                    <w:ind w:left="0" w:right="57"/>
                  </w:pPr>
                  <w:r w:rsidRPr="006C358F">
                    <w:t>18.6</w:t>
                  </w:r>
                </w:p>
              </w:tc>
              <w:tc>
                <w:tcPr>
                  <w:tcW w:w="499" w:type="pct"/>
                  <w:vAlign w:val="bottom"/>
                </w:tcPr>
                <w:p w:rsidR="007544CA" w:rsidRPr="006C358F" w:rsidRDefault="007544CA" w:rsidP="00133508">
                  <w:pPr>
                    <w:pStyle w:val="TableBodyText"/>
                    <w:spacing w:after="0"/>
                    <w:ind w:left="0" w:right="57"/>
                  </w:pPr>
                  <w:r w:rsidRPr="006C358F">
                    <w:t>14.9</w:t>
                  </w:r>
                </w:p>
              </w:tc>
              <w:tc>
                <w:tcPr>
                  <w:tcW w:w="499" w:type="pct"/>
                  <w:shd w:val="clear" w:color="auto" w:fill="auto"/>
                  <w:vAlign w:val="bottom"/>
                </w:tcPr>
                <w:p w:rsidR="007544CA" w:rsidRPr="006C358F" w:rsidRDefault="007544CA" w:rsidP="00133508">
                  <w:pPr>
                    <w:pStyle w:val="TableBodyText"/>
                    <w:spacing w:after="0"/>
                    <w:ind w:left="0" w:right="57"/>
                  </w:pPr>
                  <w:r w:rsidRPr="006C358F">
                    <w:t>15.2</w:t>
                  </w:r>
                </w:p>
              </w:tc>
              <w:tc>
                <w:tcPr>
                  <w:tcW w:w="496" w:type="pct"/>
                  <w:shd w:val="clear" w:color="auto" w:fill="auto"/>
                  <w:vAlign w:val="bottom"/>
                </w:tcPr>
                <w:p w:rsidR="007544CA" w:rsidRPr="006C358F" w:rsidRDefault="007544CA" w:rsidP="00133508">
                  <w:pPr>
                    <w:pStyle w:val="TableBodyText"/>
                    <w:spacing w:after="0"/>
                    <w:ind w:left="0" w:right="57"/>
                  </w:pPr>
                  <w:r w:rsidRPr="006C358F">
                    <w:t>18.0</w:t>
                  </w:r>
                </w:p>
              </w:tc>
            </w:tr>
            <w:tr w:rsidR="007544CA" w:rsidTr="00133508">
              <w:tc>
                <w:tcPr>
                  <w:tcW w:w="2002" w:type="pct"/>
                  <w:shd w:val="clear" w:color="auto" w:fill="auto"/>
                  <w:vAlign w:val="center"/>
                </w:tcPr>
                <w:p w:rsidR="007544CA" w:rsidRPr="002E0713" w:rsidRDefault="007544CA" w:rsidP="00133508">
                  <w:pPr>
                    <w:rPr>
                      <w:rFonts w:ascii="Arial" w:hAnsi="Arial" w:cs="Arial"/>
                      <w:sz w:val="18"/>
                      <w:szCs w:val="18"/>
                    </w:rPr>
                  </w:pPr>
                  <w:r w:rsidRPr="002E0713">
                    <w:rPr>
                      <w:rFonts w:ascii="Arial" w:hAnsi="Arial" w:cs="Arial"/>
                      <w:sz w:val="18"/>
                      <w:szCs w:val="18"/>
                    </w:rPr>
                    <w:t>Health care and social assistance</w:t>
                  </w:r>
                </w:p>
              </w:tc>
              <w:tc>
                <w:tcPr>
                  <w:tcW w:w="502" w:type="pct"/>
                  <w:vAlign w:val="bottom"/>
                </w:tcPr>
                <w:p w:rsidR="007544CA" w:rsidRPr="006C358F" w:rsidRDefault="007544CA" w:rsidP="00133508">
                  <w:pPr>
                    <w:pStyle w:val="TableBodyText"/>
                    <w:spacing w:after="0"/>
                    <w:ind w:left="0" w:right="57"/>
                  </w:pPr>
                  <w:r w:rsidRPr="006C358F">
                    <w:t>96.1</w:t>
                  </w:r>
                </w:p>
              </w:tc>
              <w:tc>
                <w:tcPr>
                  <w:tcW w:w="501" w:type="pct"/>
                  <w:vAlign w:val="bottom"/>
                </w:tcPr>
                <w:p w:rsidR="007544CA" w:rsidRPr="006C358F" w:rsidRDefault="007544CA" w:rsidP="00133508">
                  <w:pPr>
                    <w:pStyle w:val="TableBodyText"/>
                    <w:spacing w:after="0"/>
                    <w:ind w:left="0" w:right="57"/>
                  </w:pPr>
                  <w:r w:rsidRPr="006C358F">
                    <w:t>95.8</w:t>
                  </w:r>
                </w:p>
              </w:tc>
              <w:tc>
                <w:tcPr>
                  <w:tcW w:w="501" w:type="pct"/>
                  <w:vAlign w:val="bottom"/>
                </w:tcPr>
                <w:p w:rsidR="007544CA" w:rsidRPr="006C358F" w:rsidRDefault="007544CA" w:rsidP="00133508">
                  <w:pPr>
                    <w:pStyle w:val="TableBodyText"/>
                    <w:spacing w:after="0"/>
                    <w:ind w:left="0" w:right="57"/>
                  </w:pPr>
                  <w:r w:rsidRPr="006C358F">
                    <w:t>113.5</w:t>
                  </w:r>
                </w:p>
              </w:tc>
              <w:tc>
                <w:tcPr>
                  <w:tcW w:w="499" w:type="pct"/>
                  <w:vAlign w:val="bottom"/>
                </w:tcPr>
                <w:p w:rsidR="007544CA" w:rsidRPr="006C358F" w:rsidRDefault="007544CA" w:rsidP="00133508">
                  <w:pPr>
                    <w:pStyle w:val="TableBodyText"/>
                    <w:spacing w:after="0"/>
                    <w:ind w:left="0" w:right="57"/>
                  </w:pPr>
                  <w:r w:rsidRPr="006C358F">
                    <w:t>109.2</w:t>
                  </w:r>
                </w:p>
              </w:tc>
              <w:tc>
                <w:tcPr>
                  <w:tcW w:w="499" w:type="pct"/>
                  <w:shd w:val="clear" w:color="auto" w:fill="auto"/>
                  <w:vAlign w:val="bottom"/>
                </w:tcPr>
                <w:p w:rsidR="007544CA" w:rsidRPr="006C358F" w:rsidRDefault="007544CA" w:rsidP="00133508">
                  <w:pPr>
                    <w:pStyle w:val="TableBodyText"/>
                    <w:spacing w:after="0"/>
                    <w:ind w:left="0" w:right="57"/>
                  </w:pPr>
                  <w:r w:rsidRPr="006C358F">
                    <w:t>123.3</w:t>
                  </w:r>
                </w:p>
              </w:tc>
              <w:tc>
                <w:tcPr>
                  <w:tcW w:w="496" w:type="pct"/>
                  <w:shd w:val="clear" w:color="auto" w:fill="auto"/>
                  <w:vAlign w:val="bottom"/>
                </w:tcPr>
                <w:p w:rsidR="007544CA" w:rsidRPr="006C358F" w:rsidRDefault="007544CA" w:rsidP="00133508">
                  <w:pPr>
                    <w:pStyle w:val="TableBodyText"/>
                    <w:spacing w:after="0"/>
                    <w:ind w:left="0" w:right="57"/>
                  </w:pPr>
                  <w:r w:rsidRPr="006C358F">
                    <w:t>98.1</w:t>
                  </w:r>
                </w:p>
              </w:tc>
            </w:tr>
            <w:tr w:rsidR="007544CA" w:rsidTr="00133508">
              <w:tc>
                <w:tcPr>
                  <w:tcW w:w="2002" w:type="pct"/>
                  <w:shd w:val="clear" w:color="auto" w:fill="auto"/>
                  <w:vAlign w:val="center"/>
                </w:tcPr>
                <w:p w:rsidR="007544CA" w:rsidRPr="002E0713" w:rsidRDefault="007544CA" w:rsidP="00133508">
                  <w:pPr>
                    <w:rPr>
                      <w:rFonts w:ascii="Arial" w:hAnsi="Arial" w:cs="Arial"/>
                      <w:sz w:val="18"/>
                      <w:szCs w:val="18"/>
                    </w:rPr>
                  </w:pPr>
                  <w:r w:rsidRPr="002E0713">
                    <w:rPr>
                      <w:rFonts w:ascii="Arial" w:hAnsi="Arial" w:cs="Arial"/>
                      <w:sz w:val="18"/>
                      <w:szCs w:val="18"/>
                    </w:rPr>
                    <w:t>Arts and recreation services</w:t>
                  </w:r>
                </w:p>
              </w:tc>
              <w:tc>
                <w:tcPr>
                  <w:tcW w:w="502" w:type="pct"/>
                  <w:vAlign w:val="bottom"/>
                </w:tcPr>
                <w:p w:rsidR="007544CA" w:rsidRPr="006C358F" w:rsidRDefault="007544CA" w:rsidP="00133508">
                  <w:pPr>
                    <w:pStyle w:val="TableBodyText"/>
                    <w:spacing w:after="0"/>
                    <w:ind w:left="0" w:right="57"/>
                  </w:pPr>
                  <w:r w:rsidRPr="006C358F">
                    <w:t>120.5</w:t>
                  </w:r>
                </w:p>
              </w:tc>
              <w:tc>
                <w:tcPr>
                  <w:tcW w:w="501" w:type="pct"/>
                  <w:vAlign w:val="bottom"/>
                </w:tcPr>
                <w:p w:rsidR="007544CA" w:rsidRPr="006C358F" w:rsidRDefault="007544CA" w:rsidP="00133508">
                  <w:pPr>
                    <w:pStyle w:val="TableBodyText"/>
                    <w:spacing w:after="0"/>
                    <w:ind w:left="0" w:right="57"/>
                  </w:pPr>
                  <w:r w:rsidRPr="006C358F">
                    <w:t>112.0</w:t>
                  </w:r>
                </w:p>
              </w:tc>
              <w:tc>
                <w:tcPr>
                  <w:tcW w:w="501" w:type="pct"/>
                  <w:vAlign w:val="bottom"/>
                </w:tcPr>
                <w:p w:rsidR="007544CA" w:rsidRPr="006C358F" w:rsidRDefault="007544CA" w:rsidP="00133508">
                  <w:pPr>
                    <w:pStyle w:val="TableBodyText"/>
                    <w:spacing w:after="0"/>
                    <w:ind w:left="0" w:right="57"/>
                  </w:pPr>
                  <w:r w:rsidRPr="006C358F">
                    <w:t>116.0</w:t>
                  </w:r>
                </w:p>
              </w:tc>
              <w:tc>
                <w:tcPr>
                  <w:tcW w:w="499" w:type="pct"/>
                  <w:vAlign w:val="bottom"/>
                </w:tcPr>
                <w:p w:rsidR="007544CA" w:rsidRPr="006C358F" w:rsidRDefault="007544CA" w:rsidP="00133508">
                  <w:pPr>
                    <w:pStyle w:val="TableBodyText"/>
                    <w:spacing w:after="0"/>
                    <w:ind w:left="0" w:right="57"/>
                  </w:pPr>
                  <w:r w:rsidRPr="006C358F">
                    <w:t>121.9</w:t>
                  </w:r>
                </w:p>
              </w:tc>
              <w:tc>
                <w:tcPr>
                  <w:tcW w:w="499" w:type="pct"/>
                  <w:shd w:val="clear" w:color="auto" w:fill="auto"/>
                  <w:vAlign w:val="bottom"/>
                </w:tcPr>
                <w:p w:rsidR="007544CA" w:rsidRPr="006C358F" w:rsidRDefault="007544CA" w:rsidP="00133508">
                  <w:pPr>
                    <w:pStyle w:val="TableBodyText"/>
                    <w:spacing w:after="0"/>
                    <w:ind w:left="0" w:right="57"/>
                  </w:pPr>
                  <w:r w:rsidRPr="006C358F">
                    <w:t>125.5</w:t>
                  </w:r>
                </w:p>
              </w:tc>
              <w:tc>
                <w:tcPr>
                  <w:tcW w:w="496" w:type="pct"/>
                  <w:shd w:val="clear" w:color="auto" w:fill="auto"/>
                  <w:vAlign w:val="bottom"/>
                </w:tcPr>
                <w:p w:rsidR="007544CA" w:rsidRPr="006C358F" w:rsidRDefault="007544CA" w:rsidP="00133508">
                  <w:pPr>
                    <w:pStyle w:val="TableBodyText"/>
                    <w:spacing w:after="0"/>
                    <w:ind w:left="0" w:right="57"/>
                  </w:pPr>
                  <w:r w:rsidRPr="006C358F">
                    <w:t>100.6</w:t>
                  </w:r>
                </w:p>
              </w:tc>
            </w:tr>
            <w:tr w:rsidR="007544CA" w:rsidTr="00133508">
              <w:tc>
                <w:tcPr>
                  <w:tcW w:w="2002" w:type="pct"/>
                  <w:shd w:val="clear" w:color="auto" w:fill="auto"/>
                  <w:vAlign w:val="center"/>
                </w:tcPr>
                <w:p w:rsidR="007544CA" w:rsidRPr="002E0713" w:rsidRDefault="007544CA" w:rsidP="00133508">
                  <w:pPr>
                    <w:rPr>
                      <w:rFonts w:ascii="Arial" w:hAnsi="Arial" w:cs="Arial"/>
                      <w:sz w:val="18"/>
                      <w:szCs w:val="18"/>
                    </w:rPr>
                  </w:pPr>
                  <w:r w:rsidRPr="002E0713">
                    <w:rPr>
                      <w:rFonts w:ascii="Arial" w:hAnsi="Arial" w:cs="Arial"/>
                      <w:sz w:val="18"/>
                      <w:szCs w:val="18"/>
                    </w:rPr>
                    <w:t>Other services</w:t>
                  </w:r>
                </w:p>
              </w:tc>
              <w:tc>
                <w:tcPr>
                  <w:tcW w:w="502" w:type="pct"/>
                  <w:vAlign w:val="bottom"/>
                </w:tcPr>
                <w:p w:rsidR="007544CA" w:rsidRPr="006C358F" w:rsidRDefault="007544CA" w:rsidP="00133508">
                  <w:pPr>
                    <w:pStyle w:val="TableBodyText"/>
                    <w:spacing w:after="0"/>
                    <w:ind w:left="0" w:right="57"/>
                  </w:pPr>
                  <w:r w:rsidRPr="006C358F">
                    <w:t>16.1</w:t>
                  </w:r>
                </w:p>
              </w:tc>
              <w:tc>
                <w:tcPr>
                  <w:tcW w:w="501" w:type="pct"/>
                  <w:vAlign w:val="bottom"/>
                </w:tcPr>
                <w:p w:rsidR="007544CA" w:rsidRPr="006C358F" w:rsidRDefault="007544CA" w:rsidP="00133508">
                  <w:pPr>
                    <w:pStyle w:val="TableBodyText"/>
                    <w:spacing w:after="0"/>
                    <w:ind w:left="0" w:right="57"/>
                  </w:pPr>
                  <w:r w:rsidRPr="006C358F">
                    <w:t>12.3</w:t>
                  </w:r>
                </w:p>
              </w:tc>
              <w:tc>
                <w:tcPr>
                  <w:tcW w:w="501" w:type="pct"/>
                  <w:vAlign w:val="bottom"/>
                </w:tcPr>
                <w:p w:rsidR="007544CA" w:rsidRPr="006C358F" w:rsidRDefault="007544CA" w:rsidP="00133508">
                  <w:pPr>
                    <w:pStyle w:val="TableBodyText"/>
                    <w:spacing w:after="0"/>
                    <w:ind w:left="0" w:right="57"/>
                  </w:pPr>
                  <w:r w:rsidRPr="006C358F">
                    <w:t>19.4</w:t>
                  </w:r>
                </w:p>
              </w:tc>
              <w:tc>
                <w:tcPr>
                  <w:tcW w:w="499" w:type="pct"/>
                  <w:vAlign w:val="bottom"/>
                </w:tcPr>
                <w:p w:rsidR="007544CA" w:rsidRPr="006C358F" w:rsidRDefault="007544CA" w:rsidP="00133508">
                  <w:pPr>
                    <w:pStyle w:val="TableBodyText"/>
                    <w:spacing w:after="0"/>
                    <w:ind w:left="0" w:right="57"/>
                  </w:pPr>
                  <w:r w:rsidRPr="006C358F">
                    <w:t>19.2</w:t>
                  </w:r>
                </w:p>
              </w:tc>
              <w:tc>
                <w:tcPr>
                  <w:tcW w:w="499" w:type="pct"/>
                  <w:shd w:val="clear" w:color="auto" w:fill="auto"/>
                  <w:vAlign w:val="bottom"/>
                </w:tcPr>
                <w:p w:rsidR="007544CA" w:rsidRPr="006C358F" w:rsidRDefault="007544CA" w:rsidP="00133508">
                  <w:pPr>
                    <w:pStyle w:val="TableBodyText"/>
                    <w:spacing w:after="0"/>
                    <w:ind w:left="0" w:right="57"/>
                  </w:pPr>
                  <w:r w:rsidRPr="006C358F">
                    <w:t>19.2</w:t>
                  </w:r>
                </w:p>
              </w:tc>
              <w:tc>
                <w:tcPr>
                  <w:tcW w:w="496" w:type="pct"/>
                  <w:shd w:val="clear" w:color="auto" w:fill="auto"/>
                  <w:vAlign w:val="bottom"/>
                </w:tcPr>
                <w:p w:rsidR="007544CA" w:rsidRPr="006C358F" w:rsidRDefault="007544CA" w:rsidP="00133508">
                  <w:pPr>
                    <w:pStyle w:val="TableBodyText"/>
                    <w:spacing w:after="0"/>
                    <w:ind w:left="0" w:right="57"/>
                  </w:pPr>
                  <w:r w:rsidRPr="006C358F">
                    <w:t>14.8</w:t>
                  </w:r>
                </w:p>
              </w:tc>
            </w:tr>
            <w:tr w:rsidR="007544CA" w:rsidTr="00133508">
              <w:tc>
                <w:tcPr>
                  <w:tcW w:w="2002" w:type="pct"/>
                  <w:shd w:val="clear" w:color="auto" w:fill="auto"/>
                  <w:vAlign w:val="center"/>
                </w:tcPr>
                <w:p w:rsidR="007544CA" w:rsidRPr="002E0713" w:rsidRDefault="007544CA" w:rsidP="00133508">
                  <w:pPr>
                    <w:rPr>
                      <w:rFonts w:ascii="Arial" w:hAnsi="Arial" w:cs="Arial"/>
                      <w:sz w:val="18"/>
                      <w:szCs w:val="18"/>
                    </w:rPr>
                  </w:pPr>
                  <w:r w:rsidRPr="002E0713">
                    <w:rPr>
                      <w:rFonts w:ascii="Arial" w:hAnsi="Arial" w:cs="Arial"/>
                      <w:sz w:val="18"/>
                      <w:szCs w:val="18"/>
                    </w:rPr>
                    <w:t>Unallocated services</w:t>
                  </w:r>
                  <w:r>
                    <w:rPr>
                      <w:rStyle w:val="NoteLabel"/>
                    </w:rPr>
                    <w:t>a</w:t>
                  </w:r>
                </w:p>
              </w:tc>
              <w:tc>
                <w:tcPr>
                  <w:tcW w:w="502" w:type="pct"/>
                  <w:vAlign w:val="bottom"/>
                </w:tcPr>
                <w:p w:rsidR="007544CA" w:rsidRPr="006C358F" w:rsidRDefault="007544CA" w:rsidP="00133508">
                  <w:pPr>
                    <w:pStyle w:val="TableBodyText"/>
                    <w:spacing w:after="0"/>
                    <w:ind w:left="0" w:right="57"/>
                  </w:pPr>
                  <w:r w:rsidRPr="006C358F">
                    <w:t>194.7</w:t>
                  </w:r>
                </w:p>
              </w:tc>
              <w:tc>
                <w:tcPr>
                  <w:tcW w:w="501" w:type="pct"/>
                  <w:vAlign w:val="bottom"/>
                </w:tcPr>
                <w:p w:rsidR="007544CA" w:rsidRPr="006C358F" w:rsidRDefault="007544CA" w:rsidP="00133508">
                  <w:pPr>
                    <w:pStyle w:val="TableBodyText"/>
                    <w:spacing w:after="0"/>
                    <w:ind w:left="0" w:right="57"/>
                  </w:pPr>
                  <w:r w:rsidRPr="006C358F">
                    <w:t>169.3</w:t>
                  </w:r>
                </w:p>
              </w:tc>
              <w:tc>
                <w:tcPr>
                  <w:tcW w:w="501" w:type="pct"/>
                  <w:vAlign w:val="bottom"/>
                </w:tcPr>
                <w:p w:rsidR="007544CA" w:rsidRPr="006C358F" w:rsidRDefault="007544CA" w:rsidP="00133508">
                  <w:pPr>
                    <w:pStyle w:val="TableBodyText"/>
                    <w:spacing w:after="0"/>
                    <w:ind w:left="0" w:right="57"/>
                  </w:pPr>
                  <w:r w:rsidRPr="006C358F">
                    <w:t>179.0</w:t>
                  </w:r>
                </w:p>
              </w:tc>
              <w:tc>
                <w:tcPr>
                  <w:tcW w:w="499" w:type="pct"/>
                  <w:vAlign w:val="bottom"/>
                </w:tcPr>
                <w:p w:rsidR="007544CA" w:rsidRPr="006C358F" w:rsidRDefault="007544CA" w:rsidP="00133508">
                  <w:pPr>
                    <w:pStyle w:val="TableBodyText"/>
                    <w:spacing w:after="0"/>
                    <w:ind w:left="0" w:right="57"/>
                  </w:pPr>
                  <w:r w:rsidRPr="006C358F">
                    <w:t>170.8</w:t>
                  </w:r>
                </w:p>
              </w:tc>
              <w:tc>
                <w:tcPr>
                  <w:tcW w:w="499" w:type="pct"/>
                  <w:shd w:val="clear" w:color="auto" w:fill="auto"/>
                  <w:vAlign w:val="bottom"/>
                </w:tcPr>
                <w:p w:rsidR="007544CA" w:rsidRPr="006C358F" w:rsidRDefault="007544CA" w:rsidP="00133508">
                  <w:pPr>
                    <w:pStyle w:val="TableBodyText"/>
                    <w:spacing w:after="0"/>
                    <w:ind w:left="0" w:right="57"/>
                  </w:pPr>
                  <w:r w:rsidRPr="006C358F">
                    <w:t>156.8</w:t>
                  </w:r>
                </w:p>
              </w:tc>
              <w:tc>
                <w:tcPr>
                  <w:tcW w:w="496" w:type="pct"/>
                  <w:shd w:val="clear" w:color="auto" w:fill="auto"/>
                  <w:vAlign w:val="bottom"/>
                </w:tcPr>
                <w:p w:rsidR="007544CA" w:rsidRPr="006C358F" w:rsidRDefault="007544CA" w:rsidP="00133508">
                  <w:pPr>
                    <w:pStyle w:val="TableBodyText"/>
                    <w:spacing w:after="0"/>
                    <w:ind w:left="0" w:right="57"/>
                  </w:pPr>
                  <w:r w:rsidRPr="006C358F">
                    <w:t>138.9</w:t>
                  </w:r>
                </w:p>
              </w:tc>
            </w:tr>
            <w:tr w:rsidR="007544CA" w:rsidRPr="007E34F5" w:rsidTr="00133508">
              <w:tc>
                <w:tcPr>
                  <w:tcW w:w="2002" w:type="pct"/>
                  <w:shd w:val="clear" w:color="auto" w:fill="auto"/>
                  <w:vAlign w:val="center"/>
                </w:tcPr>
                <w:p w:rsidR="007544CA" w:rsidRPr="007E34F5" w:rsidRDefault="007544CA" w:rsidP="00133508">
                  <w:pPr>
                    <w:rPr>
                      <w:rFonts w:ascii="Arial" w:hAnsi="Arial" w:cs="Arial"/>
                      <w:b/>
                      <w:bCs/>
                      <w:sz w:val="18"/>
                      <w:szCs w:val="18"/>
                    </w:rPr>
                  </w:pPr>
                  <w:r w:rsidRPr="007E34F5">
                    <w:rPr>
                      <w:rFonts w:ascii="Arial" w:hAnsi="Arial" w:cs="Arial"/>
                      <w:b/>
                      <w:bCs/>
                      <w:sz w:val="18"/>
                      <w:szCs w:val="18"/>
                    </w:rPr>
                    <w:t>Unallocated other</w:t>
                  </w:r>
                  <w:r>
                    <w:rPr>
                      <w:rStyle w:val="NoteLabel"/>
                    </w:rPr>
                    <w:t>a</w:t>
                  </w:r>
                </w:p>
              </w:tc>
              <w:tc>
                <w:tcPr>
                  <w:tcW w:w="502" w:type="pct"/>
                  <w:vAlign w:val="bottom"/>
                </w:tcPr>
                <w:p w:rsidR="007544CA" w:rsidRPr="006C358F" w:rsidRDefault="007544CA" w:rsidP="00133508">
                  <w:pPr>
                    <w:pStyle w:val="TableBodyText"/>
                    <w:spacing w:after="0"/>
                    <w:ind w:left="0" w:right="57"/>
                    <w:rPr>
                      <w:b/>
                    </w:rPr>
                  </w:pPr>
                  <w:r w:rsidRPr="006C358F">
                    <w:rPr>
                      <w:b/>
                    </w:rPr>
                    <w:t>293.4</w:t>
                  </w:r>
                </w:p>
              </w:tc>
              <w:tc>
                <w:tcPr>
                  <w:tcW w:w="501" w:type="pct"/>
                  <w:vAlign w:val="bottom"/>
                </w:tcPr>
                <w:p w:rsidR="007544CA" w:rsidRPr="006C358F" w:rsidRDefault="007544CA" w:rsidP="00133508">
                  <w:pPr>
                    <w:pStyle w:val="TableBodyText"/>
                    <w:spacing w:after="0"/>
                    <w:ind w:left="0" w:right="57"/>
                    <w:rPr>
                      <w:b/>
                    </w:rPr>
                  </w:pPr>
                  <w:r w:rsidRPr="006C358F">
                    <w:rPr>
                      <w:b/>
                    </w:rPr>
                    <w:t>303.8</w:t>
                  </w:r>
                </w:p>
              </w:tc>
              <w:tc>
                <w:tcPr>
                  <w:tcW w:w="501" w:type="pct"/>
                  <w:vAlign w:val="bottom"/>
                </w:tcPr>
                <w:p w:rsidR="007544CA" w:rsidRPr="006C358F" w:rsidRDefault="007544CA" w:rsidP="00133508">
                  <w:pPr>
                    <w:pStyle w:val="TableBodyText"/>
                    <w:spacing w:after="0"/>
                    <w:ind w:left="0" w:right="57"/>
                    <w:rPr>
                      <w:b/>
                    </w:rPr>
                  </w:pPr>
                  <w:r w:rsidRPr="006C358F">
                    <w:rPr>
                      <w:b/>
                    </w:rPr>
                    <w:t>337.1</w:t>
                  </w:r>
                </w:p>
              </w:tc>
              <w:tc>
                <w:tcPr>
                  <w:tcW w:w="499" w:type="pct"/>
                  <w:vAlign w:val="bottom"/>
                </w:tcPr>
                <w:p w:rsidR="007544CA" w:rsidRPr="006C358F" w:rsidRDefault="007544CA" w:rsidP="00133508">
                  <w:pPr>
                    <w:pStyle w:val="TableBodyText"/>
                    <w:spacing w:after="0"/>
                    <w:ind w:left="0" w:right="57"/>
                    <w:rPr>
                      <w:b/>
                    </w:rPr>
                  </w:pPr>
                  <w:r w:rsidRPr="006C358F">
                    <w:rPr>
                      <w:b/>
                    </w:rPr>
                    <w:t>297.4</w:t>
                  </w:r>
                </w:p>
              </w:tc>
              <w:tc>
                <w:tcPr>
                  <w:tcW w:w="499" w:type="pct"/>
                  <w:shd w:val="clear" w:color="auto" w:fill="auto"/>
                  <w:vAlign w:val="bottom"/>
                </w:tcPr>
                <w:p w:rsidR="007544CA" w:rsidRPr="006C358F" w:rsidRDefault="007544CA" w:rsidP="00133508">
                  <w:pPr>
                    <w:pStyle w:val="TableBodyText"/>
                    <w:spacing w:after="0"/>
                    <w:ind w:left="0" w:right="57"/>
                    <w:rPr>
                      <w:b/>
                    </w:rPr>
                  </w:pPr>
                  <w:r w:rsidRPr="006C358F">
                    <w:rPr>
                      <w:b/>
                    </w:rPr>
                    <w:t>436.0</w:t>
                  </w:r>
                </w:p>
              </w:tc>
              <w:tc>
                <w:tcPr>
                  <w:tcW w:w="496" w:type="pct"/>
                  <w:shd w:val="clear" w:color="auto" w:fill="auto"/>
                  <w:vAlign w:val="bottom"/>
                </w:tcPr>
                <w:p w:rsidR="007544CA" w:rsidRPr="006C358F" w:rsidRDefault="007544CA" w:rsidP="00133508">
                  <w:pPr>
                    <w:pStyle w:val="TableBodyText"/>
                    <w:spacing w:after="0"/>
                    <w:ind w:left="0" w:right="57"/>
                    <w:rPr>
                      <w:b/>
                    </w:rPr>
                  </w:pPr>
                  <w:r w:rsidRPr="006C358F">
                    <w:rPr>
                      <w:b/>
                    </w:rPr>
                    <w:t>399.1</w:t>
                  </w:r>
                </w:p>
              </w:tc>
            </w:tr>
            <w:tr w:rsidR="007544CA" w:rsidRPr="007E34F5" w:rsidTr="00133508">
              <w:tc>
                <w:tcPr>
                  <w:tcW w:w="2002" w:type="pct"/>
                  <w:tcBorders>
                    <w:bottom w:val="single" w:sz="6" w:space="0" w:color="BFBFBF"/>
                  </w:tcBorders>
                  <w:shd w:val="clear" w:color="auto" w:fill="auto"/>
                  <w:vAlign w:val="center"/>
                </w:tcPr>
                <w:p w:rsidR="007544CA" w:rsidRPr="007E34F5" w:rsidRDefault="007544CA" w:rsidP="00F74259">
                  <w:pPr>
                    <w:spacing w:after="40"/>
                    <w:rPr>
                      <w:rFonts w:ascii="Arial" w:hAnsi="Arial" w:cs="Arial"/>
                      <w:b/>
                      <w:bCs/>
                      <w:sz w:val="18"/>
                      <w:szCs w:val="18"/>
                    </w:rPr>
                  </w:pPr>
                  <w:r w:rsidRPr="007E34F5">
                    <w:rPr>
                      <w:rFonts w:ascii="Arial" w:hAnsi="Arial" w:cs="Arial"/>
                      <w:b/>
                      <w:bCs/>
                      <w:sz w:val="18"/>
                      <w:szCs w:val="18"/>
                    </w:rPr>
                    <w:t>Total</w:t>
                  </w:r>
                </w:p>
              </w:tc>
              <w:tc>
                <w:tcPr>
                  <w:tcW w:w="502" w:type="pct"/>
                  <w:tcBorders>
                    <w:bottom w:val="single" w:sz="6" w:space="0" w:color="BFBFBF"/>
                  </w:tcBorders>
                  <w:vAlign w:val="bottom"/>
                </w:tcPr>
                <w:p w:rsidR="007544CA" w:rsidRPr="006C358F" w:rsidRDefault="007544CA" w:rsidP="00F74259">
                  <w:pPr>
                    <w:pStyle w:val="TableBodyText"/>
                    <w:ind w:left="0" w:right="57"/>
                    <w:rPr>
                      <w:b/>
                    </w:rPr>
                  </w:pPr>
                  <w:r w:rsidRPr="006C358F">
                    <w:rPr>
                      <w:b/>
                    </w:rPr>
                    <w:t>3887.4</w:t>
                  </w:r>
                </w:p>
              </w:tc>
              <w:tc>
                <w:tcPr>
                  <w:tcW w:w="501" w:type="pct"/>
                  <w:tcBorders>
                    <w:bottom w:val="single" w:sz="6" w:space="0" w:color="BFBFBF"/>
                  </w:tcBorders>
                  <w:vAlign w:val="bottom"/>
                </w:tcPr>
                <w:p w:rsidR="007544CA" w:rsidRPr="006C358F" w:rsidRDefault="007544CA" w:rsidP="00F74259">
                  <w:pPr>
                    <w:pStyle w:val="TableBodyText"/>
                    <w:ind w:left="0" w:right="57"/>
                    <w:rPr>
                      <w:b/>
                    </w:rPr>
                  </w:pPr>
                  <w:r w:rsidRPr="006C358F">
                    <w:rPr>
                      <w:b/>
                    </w:rPr>
                    <w:t>3656.6</w:t>
                  </w:r>
                </w:p>
              </w:tc>
              <w:tc>
                <w:tcPr>
                  <w:tcW w:w="501" w:type="pct"/>
                  <w:tcBorders>
                    <w:bottom w:val="single" w:sz="6" w:space="0" w:color="BFBFBF"/>
                  </w:tcBorders>
                  <w:vAlign w:val="bottom"/>
                </w:tcPr>
                <w:p w:rsidR="007544CA" w:rsidRPr="006C358F" w:rsidRDefault="007544CA" w:rsidP="00F74259">
                  <w:pPr>
                    <w:pStyle w:val="TableBodyText"/>
                    <w:ind w:left="0" w:right="57"/>
                    <w:rPr>
                      <w:b/>
                    </w:rPr>
                  </w:pPr>
                  <w:r w:rsidRPr="006C358F">
                    <w:rPr>
                      <w:b/>
                    </w:rPr>
                    <w:t>5292.7</w:t>
                  </w:r>
                </w:p>
              </w:tc>
              <w:tc>
                <w:tcPr>
                  <w:tcW w:w="499" w:type="pct"/>
                  <w:tcBorders>
                    <w:bottom w:val="single" w:sz="6" w:space="0" w:color="BFBFBF"/>
                  </w:tcBorders>
                  <w:vAlign w:val="bottom"/>
                </w:tcPr>
                <w:p w:rsidR="007544CA" w:rsidRPr="006C358F" w:rsidRDefault="007544CA" w:rsidP="00F74259">
                  <w:pPr>
                    <w:pStyle w:val="TableBodyText"/>
                    <w:ind w:left="0" w:right="57"/>
                    <w:rPr>
                      <w:b/>
                    </w:rPr>
                  </w:pPr>
                  <w:r w:rsidRPr="006C358F">
                    <w:rPr>
                      <w:b/>
                    </w:rPr>
                    <w:t>3387.4</w:t>
                  </w:r>
                </w:p>
              </w:tc>
              <w:tc>
                <w:tcPr>
                  <w:tcW w:w="499" w:type="pct"/>
                  <w:tcBorders>
                    <w:bottom w:val="single" w:sz="6" w:space="0" w:color="BFBFBF"/>
                  </w:tcBorders>
                  <w:shd w:val="clear" w:color="auto" w:fill="auto"/>
                  <w:vAlign w:val="bottom"/>
                </w:tcPr>
                <w:p w:rsidR="007544CA" w:rsidRPr="006C358F" w:rsidRDefault="007544CA" w:rsidP="00F74259">
                  <w:pPr>
                    <w:pStyle w:val="TableBodyText"/>
                    <w:ind w:left="0" w:right="57"/>
                    <w:rPr>
                      <w:b/>
                    </w:rPr>
                  </w:pPr>
                  <w:r w:rsidRPr="006C358F">
                    <w:rPr>
                      <w:b/>
                    </w:rPr>
                    <w:t>4001.6</w:t>
                  </w:r>
                </w:p>
              </w:tc>
              <w:tc>
                <w:tcPr>
                  <w:tcW w:w="496" w:type="pct"/>
                  <w:tcBorders>
                    <w:bottom w:val="single" w:sz="6" w:space="0" w:color="BFBFBF"/>
                  </w:tcBorders>
                  <w:shd w:val="clear" w:color="auto" w:fill="auto"/>
                  <w:vAlign w:val="bottom"/>
                </w:tcPr>
                <w:p w:rsidR="007544CA" w:rsidRPr="006C358F" w:rsidRDefault="007544CA" w:rsidP="00F74259">
                  <w:pPr>
                    <w:pStyle w:val="TableBodyText"/>
                    <w:ind w:left="0" w:right="57"/>
                    <w:rPr>
                      <w:b/>
                    </w:rPr>
                  </w:pPr>
                  <w:r w:rsidRPr="006C358F">
                    <w:rPr>
                      <w:b/>
                    </w:rPr>
                    <w:t>4255.7</w:t>
                  </w:r>
                </w:p>
              </w:tc>
            </w:tr>
          </w:tbl>
          <w:p w:rsidR="007544CA" w:rsidRDefault="007544CA" w:rsidP="00133508">
            <w:pPr>
              <w:pStyle w:val="Box"/>
            </w:pP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Note"/>
              <w:rPr>
                <w:i/>
              </w:rPr>
            </w:pPr>
            <w:r>
              <w:rPr>
                <w:rFonts w:cs="Arial"/>
                <w:szCs w:val="18"/>
              </w:rPr>
              <w:t xml:space="preserve">– Nil. </w:t>
            </w:r>
            <w:r w:rsidRPr="00C74A79">
              <w:rPr>
                <w:rFonts w:cs="Arial"/>
                <w:szCs w:val="18"/>
              </w:rPr>
              <w:t>Figures may not add to totals due to rounding.</w:t>
            </w:r>
            <w:r>
              <w:rPr>
                <w:rFonts w:cs="Arial"/>
                <w:szCs w:val="18"/>
              </w:rPr>
              <w:t xml:space="preserve"> </w:t>
            </w:r>
            <w:r w:rsidRPr="008E77FE">
              <w:rPr>
                <w:rStyle w:val="NoteLabel"/>
              </w:rPr>
              <w:t>a</w:t>
            </w:r>
            <w:r>
              <w:t> </w:t>
            </w:r>
            <w:r w:rsidRPr="008405D4">
              <w:t>Unallocated includes budgetary measures where details of beneficiaries are unknown.</w:t>
            </w: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Source"/>
            </w:pPr>
            <w:r>
              <w:rPr>
                <w:i/>
              </w:rPr>
              <w:t>Source</w:t>
            </w:r>
            <w:r w:rsidRPr="00167F06">
              <w:t xml:space="preserve">: </w:t>
            </w:r>
            <w:r>
              <w:t>Commission estimates.</w:t>
            </w:r>
          </w:p>
        </w:tc>
      </w:tr>
      <w:tr w:rsidR="007544CA" w:rsidTr="00133508">
        <w:trPr>
          <w:cantSplit/>
        </w:trPr>
        <w:tc>
          <w:tcPr>
            <w:tcW w:w="8771" w:type="dxa"/>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92"/>
      </w:tblGrid>
      <w:tr w:rsidR="007544CA" w:rsidTr="00133508">
        <w:tc>
          <w:tcPr>
            <w:tcW w:w="8771" w:type="dxa"/>
            <w:tcBorders>
              <w:top w:val="single" w:sz="6" w:space="0" w:color="78A22F"/>
              <w:left w:val="nil"/>
              <w:bottom w:val="nil"/>
              <w:right w:val="nil"/>
            </w:tcBorders>
            <w:shd w:val="clear" w:color="auto" w:fill="auto"/>
          </w:tcPr>
          <w:p w:rsidR="007544CA" w:rsidRDefault="007544CA" w:rsidP="00133508">
            <w:pPr>
              <w:pStyle w:val="TableTitle"/>
            </w:pPr>
            <w:r>
              <w:rPr>
                <w:b w:val="0"/>
              </w:rPr>
              <w:t xml:space="preserve">Table </w:t>
            </w:r>
            <w:r>
              <w:rPr>
                <w:b w:val="0"/>
              </w:rPr>
              <w:fldChar w:fldCharType="begin" w:fldLock="1"/>
            </w:r>
            <w:r>
              <w:rPr>
                <w:b w:val="0"/>
              </w:rPr>
              <w:instrText xml:space="preserve"> COMMENTS  \* MERGEFORMAT </w:instrText>
            </w:r>
            <w:r>
              <w:rPr>
                <w:b w:val="0"/>
              </w:rPr>
              <w:fldChar w:fldCharType="separate"/>
            </w:r>
            <w:proofErr w:type="spellStart"/>
            <w:r>
              <w:rPr>
                <w:b w:val="0"/>
              </w:rPr>
              <w:t>A.</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7</w:t>
            </w:r>
            <w:proofErr w:type="spellEnd"/>
            <w:r>
              <w:rPr>
                <w:b w:val="0"/>
              </w:rPr>
              <w:fldChar w:fldCharType="end"/>
            </w:r>
            <w:r>
              <w:tab/>
            </w:r>
            <w:r w:rsidRPr="003803B3">
              <w:t xml:space="preserve">Budgetary tax concessions by industry grouping, </w:t>
            </w:r>
            <w:r>
              <w:br/>
            </w:r>
            <w:r w:rsidRPr="003803B3">
              <w:t>200</w:t>
            </w:r>
            <w:r>
              <w:t>9</w:t>
            </w:r>
            <w:r>
              <w:noBreakHyphen/>
              <w:t>10</w:t>
            </w:r>
            <w:r w:rsidRPr="003803B3">
              <w:t xml:space="preserve"> to 201</w:t>
            </w:r>
            <w:r>
              <w:t>4</w:t>
            </w:r>
            <w:r>
              <w:noBreakHyphen/>
            </w:r>
            <w:r w:rsidRPr="003803B3">
              <w:t>1</w:t>
            </w:r>
            <w:r>
              <w:t>5</w:t>
            </w:r>
          </w:p>
          <w:p w:rsidR="007544CA" w:rsidRPr="00784A05" w:rsidRDefault="007544CA" w:rsidP="00133508">
            <w:pPr>
              <w:pStyle w:val="Subtitle"/>
            </w:pPr>
            <w:r w:rsidRPr="003803B3">
              <w:t>$ million (nominal)</w:t>
            </w:r>
          </w:p>
        </w:tc>
      </w:tr>
      <w:tr w:rsidR="007544CA" w:rsidTr="00133508">
        <w:trPr>
          <w:cantSplit/>
        </w:trPr>
        <w:tc>
          <w:tcPr>
            <w:tcW w:w="8771" w:type="dxa"/>
            <w:tcBorders>
              <w:top w:val="nil"/>
              <w:left w:val="nil"/>
              <w:bottom w:val="nil"/>
              <w:right w:val="nil"/>
            </w:tcBorders>
            <w:shd w:val="clear" w:color="auto" w:fill="auto"/>
          </w:tcPr>
          <w:tbl>
            <w:tblPr>
              <w:tblW w:w="8508" w:type="dxa"/>
              <w:tblCellMar>
                <w:top w:w="28" w:type="dxa"/>
                <w:left w:w="0" w:type="dxa"/>
                <w:right w:w="0" w:type="dxa"/>
              </w:tblCellMar>
              <w:tblLook w:val="0000" w:firstRow="0" w:lastRow="0" w:firstColumn="0" w:lastColumn="0" w:noHBand="0" w:noVBand="0"/>
            </w:tblPr>
            <w:tblGrid>
              <w:gridCol w:w="3400"/>
              <w:gridCol w:w="853"/>
              <w:gridCol w:w="853"/>
              <w:gridCol w:w="853"/>
              <w:gridCol w:w="849"/>
              <w:gridCol w:w="849"/>
              <w:gridCol w:w="851"/>
            </w:tblGrid>
            <w:tr w:rsidR="007544CA" w:rsidTr="00133508">
              <w:tc>
                <w:tcPr>
                  <w:tcW w:w="1998" w:type="pct"/>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r>
                    <w:t>Industry grouping</w:t>
                  </w:r>
                </w:p>
              </w:tc>
              <w:tc>
                <w:tcPr>
                  <w:tcW w:w="501"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2009</w:t>
                  </w:r>
                  <w:r>
                    <w:rPr>
                      <w:szCs w:val="18"/>
                    </w:rPr>
                    <w:noBreakHyphen/>
                  </w:r>
                  <w:r w:rsidRPr="00AB1D7C">
                    <w:rPr>
                      <w:szCs w:val="18"/>
                    </w:rPr>
                    <w:t>10</w:t>
                  </w:r>
                </w:p>
              </w:tc>
              <w:tc>
                <w:tcPr>
                  <w:tcW w:w="501"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2010</w:t>
                  </w:r>
                  <w:r>
                    <w:rPr>
                      <w:szCs w:val="18"/>
                    </w:rPr>
                    <w:noBreakHyphen/>
                  </w:r>
                  <w:r w:rsidRPr="00AB1D7C">
                    <w:rPr>
                      <w:szCs w:val="18"/>
                    </w:rPr>
                    <w:t>11</w:t>
                  </w:r>
                </w:p>
              </w:tc>
              <w:tc>
                <w:tcPr>
                  <w:tcW w:w="501"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2011</w:t>
                  </w:r>
                  <w:r>
                    <w:rPr>
                      <w:szCs w:val="18"/>
                    </w:rPr>
                    <w:noBreakHyphen/>
                  </w:r>
                  <w:r w:rsidRPr="00AB1D7C">
                    <w:rPr>
                      <w:szCs w:val="18"/>
                    </w:rPr>
                    <w:t>12</w:t>
                  </w:r>
                </w:p>
              </w:tc>
              <w:tc>
                <w:tcPr>
                  <w:tcW w:w="499"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2012</w:t>
                  </w:r>
                  <w:r>
                    <w:rPr>
                      <w:szCs w:val="18"/>
                    </w:rPr>
                    <w:noBreakHyphen/>
                  </w:r>
                  <w:r w:rsidRPr="00AB1D7C">
                    <w:rPr>
                      <w:szCs w:val="18"/>
                    </w:rPr>
                    <w:t>13</w:t>
                  </w:r>
                </w:p>
              </w:tc>
              <w:tc>
                <w:tcPr>
                  <w:tcW w:w="499" w:type="pct"/>
                  <w:tcBorders>
                    <w:top w:val="single" w:sz="6" w:space="0" w:color="BFBFBF"/>
                    <w:bottom w:val="single" w:sz="6" w:space="0" w:color="BFBFBF"/>
                  </w:tcBorders>
                  <w:shd w:val="clear" w:color="auto" w:fill="auto"/>
                  <w:tcMar>
                    <w:top w:w="28" w:type="dxa"/>
                  </w:tcMar>
                </w:tcPr>
                <w:p w:rsidR="007544CA" w:rsidRPr="00AB1D7C" w:rsidRDefault="007544CA" w:rsidP="00133508">
                  <w:pPr>
                    <w:pStyle w:val="TableColumnHeading"/>
                    <w:ind w:left="0" w:right="57"/>
                    <w:rPr>
                      <w:szCs w:val="18"/>
                    </w:rPr>
                  </w:pPr>
                  <w:r w:rsidRPr="00AB1D7C">
                    <w:rPr>
                      <w:szCs w:val="18"/>
                    </w:rPr>
                    <w:t>2013</w:t>
                  </w:r>
                  <w:r>
                    <w:rPr>
                      <w:szCs w:val="18"/>
                    </w:rPr>
                    <w:noBreakHyphen/>
                  </w:r>
                  <w:r w:rsidRPr="00AB1D7C">
                    <w:rPr>
                      <w:szCs w:val="18"/>
                    </w:rPr>
                    <w:t>14</w:t>
                  </w:r>
                </w:p>
              </w:tc>
              <w:tc>
                <w:tcPr>
                  <w:tcW w:w="500" w:type="pct"/>
                  <w:tcBorders>
                    <w:top w:val="single" w:sz="6" w:space="0" w:color="BFBFBF"/>
                    <w:bottom w:val="single" w:sz="6" w:space="0" w:color="BFBFBF"/>
                  </w:tcBorders>
                  <w:shd w:val="clear" w:color="auto" w:fill="auto"/>
                  <w:tcMar>
                    <w:top w:w="28" w:type="dxa"/>
                  </w:tcMar>
                </w:tcPr>
                <w:p w:rsidR="007544CA" w:rsidRPr="00AB1D7C" w:rsidRDefault="007544CA" w:rsidP="00133508">
                  <w:pPr>
                    <w:pStyle w:val="TableColumnHeading"/>
                    <w:ind w:left="0" w:right="57"/>
                    <w:rPr>
                      <w:szCs w:val="18"/>
                    </w:rPr>
                  </w:pPr>
                  <w:r w:rsidRPr="00AB1D7C">
                    <w:rPr>
                      <w:szCs w:val="18"/>
                    </w:rPr>
                    <w:t>201</w:t>
                  </w:r>
                  <w:r>
                    <w:rPr>
                      <w:szCs w:val="18"/>
                    </w:rPr>
                    <w:t>4</w:t>
                  </w:r>
                  <w:r>
                    <w:rPr>
                      <w:szCs w:val="18"/>
                    </w:rPr>
                    <w:noBreakHyphen/>
                  </w:r>
                  <w:r w:rsidRPr="00AB1D7C">
                    <w:rPr>
                      <w:szCs w:val="18"/>
                    </w:rPr>
                    <w:t>1</w:t>
                  </w:r>
                  <w:r>
                    <w:rPr>
                      <w:szCs w:val="18"/>
                    </w:rPr>
                    <w:t>5</w:t>
                  </w:r>
                </w:p>
              </w:tc>
            </w:tr>
            <w:tr w:rsidR="007544CA" w:rsidRPr="007E34F5" w:rsidTr="00133508">
              <w:tc>
                <w:tcPr>
                  <w:tcW w:w="1998" w:type="pct"/>
                  <w:tcBorders>
                    <w:top w:val="single" w:sz="6" w:space="0" w:color="BFBFBF"/>
                  </w:tcBorders>
                  <w:vAlign w:val="bottom"/>
                </w:tcPr>
                <w:p w:rsidR="007544CA" w:rsidRPr="007E34F5" w:rsidRDefault="007544CA" w:rsidP="00133508">
                  <w:pPr>
                    <w:rPr>
                      <w:rFonts w:ascii="Arial" w:hAnsi="Arial" w:cs="Arial"/>
                      <w:b/>
                      <w:bCs/>
                      <w:sz w:val="18"/>
                      <w:szCs w:val="18"/>
                    </w:rPr>
                  </w:pPr>
                  <w:r w:rsidRPr="007E34F5">
                    <w:rPr>
                      <w:rFonts w:ascii="Arial" w:hAnsi="Arial" w:cs="Arial"/>
                      <w:b/>
                      <w:bCs/>
                      <w:sz w:val="18"/>
                      <w:szCs w:val="18"/>
                    </w:rPr>
                    <w:t>Primary production</w:t>
                  </w:r>
                </w:p>
              </w:tc>
              <w:tc>
                <w:tcPr>
                  <w:tcW w:w="501" w:type="pct"/>
                  <w:tcBorders>
                    <w:top w:val="single" w:sz="6" w:space="0" w:color="BFBFBF"/>
                  </w:tcBorders>
                  <w:vAlign w:val="bottom"/>
                </w:tcPr>
                <w:p w:rsidR="007544CA" w:rsidRPr="00547F68" w:rsidRDefault="007544CA" w:rsidP="00133508">
                  <w:pPr>
                    <w:pStyle w:val="TableBodyText"/>
                    <w:spacing w:after="0"/>
                    <w:ind w:left="0" w:right="57"/>
                    <w:rPr>
                      <w:b/>
                    </w:rPr>
                  </w:pPr>
                  <w:r w:rsidRPr="00547F68">
                    <w:rPr>
                      <w:b/>
                    </w:rPr>
                    <w:t>562.7</w:t>
                  </w:r>
                </w:p>
              </w:tc>
              <w:tc>
                <w:tcPr>
                  <w:tcW w:w="501" w:type="pct"/>
                  <w:tcBorders>
                    <w:top w:val="single" w:sz="6" w:space="0" w:color="BFBFBF"/>
                  </w:tcBorders>
                  <w:vAlign w:val="bottom"/>
                </w:tcPr>
                <w:p w:rsidR="007544CA" w:rsidRPr="00547F68" w:rsidRDefault="007544CA" w:rsidP="00133508">
                  <w:pPr>
                    <w:pStyle w:val="TableBodyText"/>
                    <w:spacing w:after="0"/>
                    <w:ind w:left="0" w:right="57"/>
                    <w:rPr>
                      <w:b/>
                    </w:rPr>
                  </w:pPr>
                  <w:r w:rsidRPr="00547F68">
                    <w:rPr>
                      <w:b/>
                    </w:rPr>
                    <w:t>483.5</w:t>
                  </w:r>
                </w:p>
              </w:tc>
              <w:tc>
                <w:tcPr>
                  <w:tcW w:w="501" w:type="pct"/>
                  <w:tcBorders>
                    <w:top w:val="single" w:sz="6" w:space="0" w:color="BFBFBF"/>
                  </w:tcBorders>
                  <w:vAlign w:val="bottom"/>
                </w:tcPr>
                <w:p w:rsidR="007544CA" w:rsidRPr="00547F68" w:rsidRDefault="007544CA" w:rsidP="00133508">
                  <w:pPr>
                    <w:pStyle w:val="TableBodyText"/>
                    <w:spacing w:after="0"/>
                    <w:ind w:left="0" w:right="57"/>
                    <w:rPr>
                      <w:b/>
                    </w:rPr>
                  </w:pPr>
                  <w:r w:rsidRPr="00547F68">
                    <w:rPr>
                      <w:b/>
                    </w:rPr>
                    <w:t>606.5</w:t>
                  </w:r>
                </w:p>
              </w:tc>
              <w:tc>
                <w:tcPr>
                  <w:tcW w:w="499" w:type="pct"/>
                  <w:tcBorders>
                    <w:top w:val="single" w:sz="6" w:space="0" w:color="BFBFBF"/>
                  </w:tcBorders>
                  <w:vAlign w:val="bottom"/>
                </w:tcPr>
                <w:p w:rsidR="007544CA" w:rsidRPr="00547F68" w:rsidRDefault="007544CA" w:rsidP="00133508">
                  <w:pPr>
                    <w:pStyle w:val="TableBodyText"/>
                    <w:spacing w:after="0"/>
                    <w:ind w:left="0" w:right="57"/>
                    <w:rPr>
                      <w:b/>
                    </w:rPr>
                  </w:pPr>
                  <w:r w:rsidRPr="00547F68">
                    <w:rPr>
                      <w:b/>
                    </w:rPr>
                    <w:t>482.6</w:t>
                  </w:r>
                </w:p>
              </w:tc>
              <w:tc>
                <w:tcPr>
                  <w:tcW w:w="499" w:type="pct"/>
                  <w:tcBorders>
                    <w:top w:val="single" w:sz="6" w:space="0" w:color="BFBFBF"/>
                  </w:tcBorders>
                  <w:vAlign w:val="bottom"/>
                </w:tcPr>
                <w:p w:rsidR="007544CA" w:rsidRPr="00547F68" w:rsidRDefault="007544CA" w:rsidP="00133508">
                  <w:pPr>
                    <w:pStyle w:val="TableBodyText"/>
                    <w:spacing w:after="0"/>
                    <w:ind w:left="0" w:right="57"/>
                    <w:rPr>
                      <w:b/>
                    </w:rPr>
                  </w:pPr>
                  <w:r w:rsidRPr="00547F68">
                    <w:rPr>
                      <w:b/>
                    </w:rPr>
                    <w:t>412.7</w:t>
                  </w:r>
                </w:p>
              </w:tc>
              <w:tc>
                <w:tcPr>
                  <w:tcW w:w="500" w:type="pct"/>
                  <w:tcBorders>
                    <w:top w:val="single" w:sz="6" w:space="0" w:color="BFBFBF"/>
                  </w:tcBorders>
                  <w:vAlign w:val="bottom"/>
                </w:tcPr>
                <w:p w:rsidR="007544CA" w:rsidRPr="00547F68" w:rsidRDefault="007544CA" w:rsidP="00133508">
                  <w:pPr>
                    <w:pStyle w:val="TableBodyText"/>
                    <w:spacing w:after="0"/>
                    <w:ind w:left="0" w:right="57"/>
                    <w:rPr>
                      <w:b/>
                    </w:rPr>
                  </w:pPr>
                  <w:r w:rsidRPr="00547F68">
                    <w:rPr>
                      <w:b/>
                    </w:rPr>
                    <w:t>450.8</w:t>
                  </w:r>
                </w:p>
              </w:tc>
            </w:tr>
            <w:tr w:rsidR="007544CA" w:rsidTr="00133508">
              <w:tc>
                <w:tcPr>
                  <w:tcW w:w="1998" w:type="pct"/>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Horticulture and fruit growing</w:t>
                  </w:r>
                </w:p>
              </w:tc>
              <w:tc>
                <w:tcPr>
                  <w:tcW w:w="501" w:type="pct"/>
                  <w:vAlign w:val="bottom"/>
                </w:tcPr>
                <w:p w:rsidR="007544CA" w:rsidRPr="00547F68" w:rsidRDefault="007544CA" w:rsidP="00133508">
                  <w:pPr>
                    <w:pStyle w:val="TableBodyText"/>
                    <w:spacing w:after="0"/>
                    <w:ind w:left="0" w:right="57"/>
                  </w:pPr>
                  <w:r w:rsidRPr="00547F68">
                    <w:t>61.9</w:t>
                  </w:r>
                </w:p>
              </w:tc>
              <w:tc>
                <w:tcPr>
                  <w:tcW w:w="501" w:type="pct"/>
                  <w:vAlign w:val="bottom"/>
                </w:tcPr>
                <w:p w:rsidR="007544CA" w:rsidRPr="00547F68" w:rsidRDefault="007544CA" w:rsidP="00133508">
                  <w:pPr>
                    <w:pStyle w:val="TableBodyText"/>
                    <w:spacing w:after="0"/>
                    <w:ind w:left="0" w:right="57"/>
                  </w:pPr>
                  <w:r w:rsidRPr="00547F68">
                    <w:t>42.6</w:t>
                  </w:r>
                </w:p>
              </w:tc>
              <w:tc>
                <w:tcPr>
                  <w:tcW w:w="501" w:type="pct"/>
                  <w:vAlign w:val="bottom"/>
                </w:tcPr>
                <w:p w:rsidR="007544CA" w:rsidRPr="00547F68" w:rsidRDefault="007544CA" w:rsidP="00133508">
                  <w:pPr>
                    <w:pStyle w:val="TableBodyText"/>
                    <w:spacing w:after="0"/>
                    <w:ind w:left="0" w:right="57"/>
                  </w:pPr>
                  <w:r w:rsidRPr="00547F68">
                    <w:t>50.4</w:t>
                  </w:r>
                </w:p>
              </w:tc>
              <w:tc>
                <w:tcPr>
                  <w:tcW w:w="499" w:type="pct"/>
                  <w:vAlign w:val="bottom"/>
                </w:tcPr>
                <w:p w:rsidR="007544CA" w:rsidRPr="00547F68" w:rsidRDefault="007544CA" w:rsidP="00133508">
                  <w:pPr>
                    <w:pStyle w:val="TableBodyText"/>
                    <w:spacing w:after="0"/>
                    <w:ind w:left="0" w:right="57"/>
                  </w:pPr>
                  <w:r w:rsidRPr="00547F68">
                    <w:t>49.9</w:t>
                  </w:r>
                </w:p>
              </w:tc>
              <w:tc>
                <w:tcPr>
                  <w:tcW w:w="499" w:type="pct"/>
                  <w:vAlign w:val="bottom"/>
                </w:tcPr>
                <w:p w:rsidR="007544CA" w:rsidRPr="00547F68" w:rsidRDefault="007544CA" w:rsidP="00133508">
                  <w:pPr>
                    <w:pStyle w:val="TableBodyText"/>
                    <w:spacing w:after="0"/>
                    <w:ind w:left="0" w:right="57"/>
                  </w:pPr>
                  <w:r w:rsidRPr="00547F68">
                    <w:t>43.6</w:t>
                  </w:r>
                </w:p>
              </w:tc>
              <w:tc>
                <w:tcPr>
                  <w:tcW w:w="500" w:type="pct"/>
                  <w:vAlign w:val="bottom"/>
                </w:tcPr>
                <w:p w:rsidR="007544CA" w:rsidRPr="00547F68" w:rsidRDefault="007544CA" w:rsidP="00133508">
                  <w:pPr>
                    <w:pStyle w:val="TableBodyText"/>
                    <w:spacing w:after="0"/>
                    <w:ind w:left="0" w:right="57"/>
                  </w:pPr>
                  <w:r w:rsidRPr="00547F68">
                    <w:t>44.6</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Sheep, beef cattle and grain farming</w:t>
                  </w:r>
                </w:p>
              </w:tc>
              <w:tc>
                <w:tcPr>
                  <w:tcW w:w="501" w:type="pct"/>
                  <w:vAlign w:val="bottom"/>
                </w:tcPr>
                <w:p w:rsidR="007544CA" w:rsidRPr="00547F68" w:rsidRDefault="007544CA" w:rsidP="00133508">
                  <w:pPr>
                    <w:pStyle w:val="TableBodyText"/>
                    <w:spacing w:after="0"/>
                    <w:ind w:left="0" w:right="57"/>
                  </w:pPr>
                  <w:r w:rsidRPr="00547F68">
                    <w:t>336.7</w:t>
                  </w:r>
                </w:p>
              </w:tc>
              <w:tc>
                <w:tcPr>
                  <w:tcW w:w="501" w:type="pct"/>
                  <w:vAlign w:val="bottom"/>
                </w:tcPr>
                <w:p w:rsidR="007544CA" w:rsidRPr="00547F68" w:rsidRDefault="007544CA" w:rsidP="00133508">
                  <w:pPr>
                    <w:pStyle w:val="TableBodyText"/>
                    <w:spacing w:after="0"/>
                    <w:ind w:left="0" w:right="57"/>
                  </w:pPr>
                  <w:r w:rsidRPr="00547F68">
                    <w:t>313.1</w:t>
                  </w:r>
                </w:p>
              </w:tc>
              <w:tc>
                <w:tcPr>
                  <w:tcW w:w="501" w:type="pct"/>
                  <w:vAlign w:val="bottom"/>
                </w:tcPr>
                <w:p w:rsidR="007544CA" w:rsidRPr="00547F68" w:rsidRDefault="007544CA" w:rsidP="00133508">
                  <w:pPr>
                    <w:pStyle w:val="TableBodyText"/>
                    <w:spacing w:after="0"/>
                    <w:ind w:left="0" w:right="57"/>
                  </w:pPr>
                  <w:r w:rsidRPr="00547F68">
                    <w:t>409.7</w:t>
                  </w:r>
                </w:p>
              </w:tc>
              <w:tc>
                <w:tcPr>
                  <w:tcW w:w="499" w:type="pct"/>
                  <w:vAlign w:val="bottom"/>
                </w:tcPr>
                <w:p w:rsidR="007544CA" w:rsidRPr="00547F68" w:rsidRDefault="007544CA" w:rsidP="00133508">
                  <w:pPr>
                    <w:pStyle w:val="TableBodyText"/>
                    <w:spacing w:after="0"/>
                    <w:ind w:left="0" w:right="57"/>
                  </w:pPr>
                  <w:r w:rsidRPr="00547F68">
                    <w:t>307.3</w:t>
                  </w:r>
                </w:p>
              </w:tc>
              <w:tc>
                <w:tcPr>
                  <w:tcW w:w="499" w:type="pct"/>
                  <w:shd w:val="clear" w:color="auto" w:fill="auto"/>
                  <w:vAlign w:val="bottom"/>
                </w:tcPr>
                <w:p w:rsidR="007544CA" w:rsidRPr="00547F68" w:rsidRDefault="007544CA" w:rsidP="00133508">
                  <w:pPr>
                    <w:pStyle w:val="TableBodyText"/>
                    <w:spacing w:after="0"/>
                    <w:ind w:left="0" w:right="57"/>
                  </w:pPr>
                  <w:r w:rsidRPr="00547F68">
                    <w:t>268.2</w:t>
                  </w:r>
                </w:p>
              </w:tc>
              <w:tc>
                <w:tcPr>
                  <w:tcW w:w="500" w:type="pct"/>
                  <w:shd w:val="clear" w:color="auto" w:fill="auto"/>
                  <w:vAlign w:val="bottom"/>
                </w:tcPr>
                <w:p w:rsidR="007544CA" w:rsidRPr="00547F68" w:rsidRDefault="007544CA" w:rsidP="00133508">
                  <w:pPr>
                    <w:pStyle w:val="TableBodyText"/>
                    <w:spacing w:after="0"/>
                    <w:ind w:left="0" w:right="57"/>
                  </w:pPr>
                  <w:r w:rsidRPr="00547F68">
                    <w:t>294.7</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Other crop growing</w:t>
                  </w:r>
                </w:p>
              </w:tc>
              <w:tc>
                <w:tcPr>
                  <w:tcW w:w="501" w:type="pct"/>
                  <w:vAlign w:val="bottom"/>
                </w:tcPr>
                <w:p w:rsidR="007544CA" w:rsidRPr="00547F68" w:rsidRDefault="007544CA" w:rsidP="00133508">
                  <w:pPr>
                    <w:pStyle w:val="TableBodyText"/>
                    <w:spacing w:after="0"/>
                    <w:ind w:left="0" w:right="57"/>
                  </w:pPr>
                  <w:r w:rsidRPr="00547F68">
                    <w:t>37.1</w:t>
                  </w:r>
                </w:p>
              </w:tc>
              <w:tc>
                <w:tcPr>
                  <w:tcW w:w="501" w:type="pct"/>
                  <w:vAlign w:val="bottom"/>
                </w:tcPr>
                <w:p w:rsidR="007544CA" w:rsidRPr="00547F68" w:rsidRDefault="007544CA" w:rsidP="00133508">
                  <w:pPr>
                    <w:pStyle w:val="TableBodyText"/>
                    <w:spacing w:after="0"/>
                    <w:ind w:left="0" w:right="57"/>
                  </w:pPr>
                  <w:r w:rsidRPr="00547F68">
                    <w:t>21.1</w:t>
                  </w:r>
                </w:p>
              </w:tc>
              <w:tc>
                <w:tcPr>
                  <w:tcW w:w="501" w:type="pct"/>
                  <w:vAlign w:val="bottom"/>
                </w:tcPr>
                <w:p w:rsidR="007544CA" w:rsidRPr="00547F68" w:rsidRDefault="007544CA" w:rsidP="00133508">
                  <w:pPr>
                    <w:pStyle w:val="TableBodyText"/>
                    <w:spacing w:after="0"/>
                    <w:ind w:left="0" w:right="57"/>
                  </w:pPr>
                  <w:r w:rsidRPr="00547F68">
                    <w:t>45.2</w:t>
                  </w:r>
                </w:p>
              </w:tc>
              <w:tc>
                <w:tcPr>
                  <w:tcW w:w="499" w:type="pct"/>
                  <w:vAlign w:val="bottom"/>
                </w:tcPr>
                <w:p w:rsidR="007544CA" w:rsidRPr="00547F68" w:rsidRDefault="007544CA" w:rsidP="00133508">
                  <w:pPr>
                    <w:pStyle w:val="TableBodyText"/>
                    <w:spacing w:after="0"/>
                    <w:ind w:left="0" w:right="57"/>
                  </w:pPr>
                  <w:r w:rsidRPr="00547F68">
                    <w:t>42.1</w:t>
                  </w:r>
                </w:p>
              </w:tc>
              <w:tc>
                <w:tcPr>
                  <w:tcW w:w="499" w:type="pct"/>
                  <w:shd w:val="clear" w:color="auto" w:fill="auto"/>
                  <w:vAlign w:val="bottom"/>
                </w:tcPr>
                <w:p w:rsidR="007544CA" w:rsidRPr="00547F68" w:rsidRDefault="007544CA" w:rsidP="00133508">
                  <w:pPr>
                    <w:pStyle w:val="TableBodyText"/>
                    <w:spacing w:after="0"/>
                    <w:ind w:left="0" w:right="57"/>
                  </w:pPr>
                  <w:r w:rsidRPr="00547F68">
                    <w:t>24.2</w:t>
                  </w:r>
                </w:p>
              </w:tc>
              <w:tc>
                <w:tcPr>
                  <w:tcW w:w="500" w:type="pct"/>
                  <w:shd w:val="clear" w:color="auto" w:fill="auto"/>
                  <w:vAlign w:val="bottom"/>
                </w:tcPr>
                <w:p w:rsidR="007544CA" w:rsidRPr="00547F68" w:rsidRDefault="007544CA" w:rsidP="00133508">
                  <w:pPr>
                    <w:pStyle w:val="TableBodyText"/>
                    <w:spacing w:after="0"/>
                    <w:ind w:left="0" w:right="57"/>
                  </w:pPr>
                  <w:r w:rsidRPr="00547F68">
                    <w:t>22.0</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Dairy cattle farming</w:t>
                  </w:r>
                </w:p>
              </w:tc>
              <w:tc>
                <w:tcPr>
                  <w:tcW w:w="501" w:type="pct"/>
                  <w:vAlign w:val="bottom"/>
                </w:tcPr>
                <w:p w:rsidR="007544CA" w:rsidRPr="00547F68" w:rsidRDefault="007544CA" w:rsidP="00133508">
                  <w:pPr>
                    <w:pStyle w:val="TableBodyText"/>
                    <w:spacing w:after="0"/>
                    <w:ind w:left="0" w:right="57"/>
                  </w:pPr>
                  <w:r w:rsidRPr="00547F68">
                    <w:t>34.8</w:t>
                  </w:r>
                </w:p>
              </w:tc>
              <w:tc>
                <w:tcPr>
                  <w:tcW w:w="501" w:type="pct"/>
                  <w:vAlign w:val="bottom"/>
                </w:tcPr>
                <w:p w:rsidR="007544CA" w:rsidRPr="00547F68" w:rsidRDefault="007544CA" w:rsidP="00133508">
                  <w:pPr>
                    <w:pStyle w:val="TableBodyText"/>
                    <w:spacing w:after="0"/>
                    <w:ind w:left="0" w:right="57"/>
                  </w:pPr>
                  <w:r w:rsidRPr="00547F68">
                    <w:t>29.2</w:t>
                  </w:r>
                </w:p>
              </w:tc>
              <w:tc>
                <w:tcPr>
                  <w:tcW w:w="501" w:type="pct"/>
                  <w:vAlign w:val="bottom"/>
                </w:tcPr>
                <w:p w:rsidR="007544CA" w:rsidRPr="00547F68" w:rsidRDefault="007544CA" w:rsidP="00133508">
                  <w:pPr>
                    <w:pStyle w:val="TableBodyText"/>
                    <w:spacing w:after="0"/>
                    <w:ind w:left="0" w:right="57"/>
                  </w:pPr>
                  <w:r w:rsidRPr="00547F68">
                    <w:t>36.6</w:t>
                  </w:r>
                </w:p>
              </w:tc>
              <w:tc>
                <w:tcPr>
                  <w:tcW w:w="499" w:type="pct"/>
                  <w:vAlign w:val="bottom"/>
                </w:tcPr>
                <w:p w:rsidR="007544CA" w:rsidRPr="00547F68" w:rsidRDefault="007544CA" w:rsidP="00133508">
                  <w:pPr>
                    <w:pStyle w:val="TableBodyText"/>
                    <w:spacing w:after="0"/>
                    <w:ind w:left="0" w:right="57"/>
                  </w:pPr>
                  <w:r w:rsidRPr="00547F68">
                    <w:t>21.6</w:t>
                  </w:r>
                </w:p>
              </w:tc>
              <w:tc>
                <w:tcPr>
                  <w:tcW w:w="499" w:type="pct"/>
                  <w:shd w:val="clear" w:color="auto" w:fill="auto"/>
                  <w:vAlign w:val="bottom"/>
                </w:tcPr>
                <w:p w:rsidR="007544CA" w:rsidRPr="00547F68" w:rsidRDefault="007544CA" w:rsidP="00133508">
                  <w:pPr>
                    <w:pStyle w:val="TableBodyText"/>
                    <w:spacing w:after="0"/>
                    <w:ind w:left="0" w:right="57"/>
                  </w:pPr>
                  <w:r w:rsidRPr="00547F68">
                    <w:t>22.0</w:t>
                  </w:r>
                </w:p>
              </w:tc>
              <w:tc>
                <w:tcPr>
                  <w:tcW w:w="500" w:type="pct"/>
                  <w:shd w:val="clear" w:color="auto" w:fill="auto"/>
                  <w:vAlign w:val="bottom"/>
                </w:tcPr>
                <w:p w:rsidR="007544CA" w:rsidRPr="00547F68" w:rsidRDefault="007544CA" w:rsidP="00133508">
                  <w:pPr>
                    <w:pStyle w:val="TableBodyText"/>
                    <w:spacing w:after="0"/>
                    <w:ind w:left="0" w:right="57"/>
                  </w:pPr>
                  <w:r w:rsidRPr="00547F68">
                    <w:t>33.4</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Other livestock farming</w:t>
                  </w:r>
                </w:p>
              </w:tc>
              <w:tc>
                <w:tcPr>
                  <w:tcW w:w="501" w:type="pct"/>
                  <w:vAlign w:val="bottom"/>
                </w:tcPr>
                <w:p w:rsidR="007544CA" w:rsidRPr="00547F68" w:rsidRDefault="007544CA" w:rsidP="00133508">
                  <w:pPr>
                    <w:pStyle w:val="TableBodyText"/>
                    <w:spacing w:after="0"/>
                    <w:ind w:left="0" w:right="57"/>
                  </w:pPr>
                  <w:r w:rsidRPr="00547F68">
                    <w:t>22.1</w:t>
                  </w:r>
                </w:p>
              </w:tc>
              <w:tc>
                <w:tcPr>
                  <w:tcW w:w="501" w:type="pct"/>
                  <w:vAlign w:val="bottom"/>
                </w:tcPr>
                <w:p w:rsidR="007544CA" w:rsidRPr="00547F68" w:rsidRDefault="007544CA" w:rsidP="00133508">
                  <w:pPr>
                    <w:pStyle w:val="TableBodyText"/>
                    <w:spacing w:after="0"/>
                    <w:ind w:left="0" w:right="57"/>
                  </w:pPr>
                  <w:r w:rsidRPr="00547F68">
                    <w:t>20.5</w:t>
                  </w:r>
                </w:p>
              </w:tc>
              <w:tc>
                <w:tcPr>
                  <w:tcW w:w="501" w:type="pct"/>
                  <w:vAlign w:val="bottom"/>
                </w:tcPr>
                <w:p w:rsidR="007544CA" w:rsidRPr="00547F68" w:rsidRDefault="007544CA" w:rsidP="00133508">
                  <w:pPr>
                    <w:pStyle w:val="TableBodyText"/>
                    <w:spacing w:after="0"/>
                    <w:ind w:left="0" w:right="57"/>
                  </w:pPr>
                  <w:r w:rsidRPr="00547F68">
                    <w:t>25.0</w:t>
                  </w:r>
                </w:p>
              </w:tc>
              <w:tc>
                <w:tcPr>
                  <w:tcW w:w="499" w:type="pct"/>
                  <w:vAlign w:val="bottom"/>
                </w:tcPr>
                <w:p w:rsidR="007544CA" w:rsidRPr="00547F68" w:rsidRDefault="007544CA" w:rsidP="00133508">
                  <w:pPr>
                    <w:pStyle w:val="TableBodyText"/>
                    <w:spacing w:after="0"/>
                    <w:ind w:left="0" w:right="57"/>
                  </w:pPr>
                  <w:r w:rsidRPr="00547F68">
                    <w:t>14.7</w:t>
                  </w:r>
                </w:p>
              </w:tc>
              <w:tc>
                <w:tcPr>
                  <w:tcW w:w="499" w:type="pct"/>
                  <w:shd w:val="clear" w:color="auto" w:fill="auto"/>
                  <w:vAlign w:val="bottom"/>
                </w:tcPr>
                <w:p w:rsidR="007544CA" w:rsidRPr="00547F68" w:rsidRDefault="007544CA" w:rsidP="00133508">
                  <w:pPr>
                    <w:pStyle w:val="TableBodyText"/>
                    <w:spacing w:after="0"/>
                    <w:ind w:left="0" w:right="57"/>
                  </w:pPr>
                  <w:r w:rsidRPr="00547F68">
                    <w:t>13.0</w:t>
                  </w:r>
                </w:p>
              </w:tc>
              <w:tc>
                <w:tcPr>
                  <w:tcW w:w="500" w:type="pct"/>
                  <w:shd w:val="clear" w:color="auto" w:fill="auto"/>
                  <w:vAlign w:val="bottom"/>
                </w:tcPr>
                <w:p w:rsidR="007544CA" w:rsidRPr="00547F68" w:rsidRDefault="007544CA" w:rsidP="00133508">
                  <w:pPr>
                    <w:pStyle w:val="TableBodyText"/>
                    <w:spacing w:after="0"/>
                    <w:ind w:left="0" w:right="57"/>
                  </w:pPr>
                  <w:r w:rsidRPr="00547F68">
                    <w:t>12.3</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Aquaculture and fishing</w:t>
                  </w:r>
                </w:p>
              </w:tc>
              <w:tc>
                <w:tcPr>
                  <w:tcW w:w="501" w:type="pct"/>
                  <w:vAlign w:val="bottom"/>
                </w:tcPr>
                <w:p w:rsidR="007544CA" w:rsidRPr="00547F68" w:rsidRDefault="007544CA" w:rsidP="00133508">
                  <w:pPr>
                    <w:pStyle w:val="TableBodyText"/>
                    <w:spacing w:after="0"/>
                    <w:ind w:left="0" w:right="57"/>
                  </w:pPr>
                  <w:r w:rsidRPr="00547F68">
                    <w:t>17.1</w:t>
                  </w:r>
                </w:p>
              </w:tc>
              <w:tc>
                <w:tcPr>
                  <w:tcW w:w="501" w:type="pct"/>
                  <w:vAlign w:val="bottom"/>
                </w:tcPr>
                <w:p w:rsidR="007544CA" w:rsidRPr="00547F68" w:rsidRDefault="007544CA" w:rsidP="00133508">
                  <w:pPr>
                    <w:pStyle w:val="TableBodyText"/>
                    <w:spacing w:after="0"/>
                    <w:ind w:left="0" w:right="57"/>
                  </w:pPr>
                  <w:r w:rsidRPr="00547F68">
                    <w:t>13.2</w:t>
                  </w:r>
                </w:p>
              </w:tc>
              <w:tc>
                <w:tcPr>
                  <w:tcW w:w="501" w:type="pct"/>
                  <w:vAlign w:val="bottom"/>
                </w:tcPr>
                <w:p w:rsidR="007544CA" w:rsidRPr="00547F68" w:rsidRDefault="007544CA" w:rsidP="00133508">
                  <w:pPr>
                    <w:pStyle w:val="TableBodyText"/>
                    <w:spacing w:after="0"/>
                    <w:ind w:left="0" w:right="57"/>
                  </w:pPr>
                  <w:r w:rsidRPr="00547F68">
                    <w:t>13.4</w:t>
                  </w:r>
                </w:p>
              </w:tc>
              <w:tc>
                <w:tcPr>
                  <w:tcW w:w="499" w:type="pct"/>
                  <w:vAlign w:val="bottom"/>
                </w:tcPr>
                <w:p w:rsidR="007544CA" w:rsidRPr="00547F68" w:rsidRDefault="007544CA" w:rsidP="00133508">
                  <w:pPr>
                    <w:pStyle w:val="TableBodyText"/>
                    <w:spacing w:after="0"/>
                    <w:ind w:left="0" w:right="57"/>
                  </w:pPr>
                  <w:r w:rsidRPr="00547F68">
                    <w:t>11.7</w:t>
                  </w:r>
                </w:p>
              </w:tc>
              <w:tc>
                <w:tcPr>
                  <w:tcW w:w="499" w:type="pct"/>
                  <w:shd w:val="clear" w:color="auto" w:fill="auto"/>
                  <w:vAlign w:val="bottom"/>
                </w:tcPr>
                <w:p w:rsidR="007544CA" w:rsidRPr="00547F68" w:rsidRDefault="007544CA" w:rsidP="00133508">
                  <w:pPr>
                    <w:pStyle w:val="TableBodyText"/>
                    <w:spacing w:after="0"/>
                    <w:ind w:left="0" w:right="57"/>
                  </w:pPr>
                  <w:r w:rsidRPr="00547F68">
                    <w:t>11.7</w:t>
                  </w:r>
                </w:p>
              </w:tc>
              <w:tc>
                <w:tcPr>
                  <w:tcW w:w="500" w:type="pct"/>
                  <w:shd w:val="clear" w:color="auto" w:fill="auto"/>
                  <w:vAlign w:val="bottom"/>
                </w:tcPr>
                <w:p w:rsidR="007544CA" w:rsidRPr="00547F68" w:rsidRDefault="007544CA" w:rsidP="00133508">
                  <w:pPr>
                    <w:pStyle w:val="TableBodyText"/>
                    <w:spacing w:after="0"/>
                    <w:ind w:left="0" w:right="57"/>
                  </w:pPr>
                  <w:r w:rsidRPr="00547F68">
                    <w:t>11.8</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Forestry and logging</w:t>
                  </w:r>
                </w:p>
              </w:tc>
              <w:tc>
                <w:tcPr>
                  <w:tcW w:w="501" w:type="pct"/>
                  <w:vAlign w:val="bottom"/>
                </w:tcPr>
                <w:p w:rsidR="007544CA" w:rsidRPr="00547F68" w:rsidRDefault="007544CA" w:rsidP="00133508">
                  <w:pPr>
                    <w:pStyle w:val="TableBodyText"/>
                    <w:spacing w:after="0"/>
                    <w:ind w:left="0" w:right="57"/>
                  </w:pPr>
                  <w:r w:rsidRPr="00547F68">
                    <w:t>20.5</w:t>
                  </w:r>
                </w:p>
              </w:tc>
              <w:tc>
                <w:tcPr>
                  <w:tcW w:w="501" w:type="pct"/>
                  <w:vAlign w:val="bottom"/>
                </w:tcPr>
                <w:p w:rsidR="007544CA" w:rsidRPr="00547F68" w:rsidRDefault="007544CA" w:rsidP="00133508">
                  <w:pPr>
                    <w:pStyle w:val="TableBodyText"/>
                    <w:spacing w:after="0"/>
                    <w:ind w:left="0" w:right="57"/>
                  </w:pPr>
                  <w:r w:rsidRPr="00547F68">
                    <w:t>11.9</w:t>
                  </w:r>
                </w:p>
              </w:tc>
              <w:tc>
                <w:tcPr>
                  <w:tcW w:w="501" w:type="pct"/>
                  <w:vAlign w:val="bottom"/>
                </w:tcPr>
                <w:p w:rsidR="007544CA" w:rsidRPr="00547F68" w:rsidRDefault="007544CA" w:rsidP="00133508">
                  <w:pPr>
                    <w:pStyle w:val="TableBodyText"/>
                    <w:spacing w:after="0"/>
                    <w:ind w:left="0" w:right="57"/>
                  </w:pPr>
                  <w:r w:rsidRPr="00547F68">
                    <w:t>8.2</w:t>
                  </w:r>
                </w:p>
              </w:tc>
              <w:tc>
                <w:tcPr>
                  <w:tcW w:w="499" w:type="pct"/>
                  <w:vAlign w:val="bottom"/>
                </w:tcPr>
                <w:p w:rsidR="007544CA" w:rsidRPr="00547F68" w:rsidRDefault="007544CA" w:rsidP="00133508">
                  <w:pPr>
                    <w:pStyle w:val="TableBodyText"/>
                    <w:spacing w:after="0"/>
                    <w:ind w:left="0" w:right="57"/>
                  </w:pPr>
                  <w:r w:rsidRPr="00547F68">
                    <w:t>10.2</w:t>
                  </w:r>
                </w:p>
              </w:tc>
              <w:tc>
                <w:tcPr>
                  <w:tcW w:w="499" w:type="pct"/>
                  <w:shd w:val="clear" w:color="auto" w:fill="auto"/>
                  <w:vAlign w:val="bottom"/>
                </w:tcPr>
                <w:p w:rsidR="007544CA" w:rsidRPr="00547F68" w:rsidRDefault="007544CA" w:rsidP="00133508">
                  <w:pPr>
                    <w:pStyle w:val="TableBodyText"/>
                    <w:spacing w:after="0"/>
                    <w:ind w:left="0" w:right="57"/>
                  </w:pPr>
                  <w:r w:rsidRPr="00547F68">
                    <w:t>10.5</w:t>
                  </w:r>
                </w:p>
              </w:tc>
              <w:tc>
                <w:tcPr>
                  <w:tcW w:w="500" w:type="pct"/>
                  <w:shd w:val="clear" w:color="auto" w:fill="auto"/>
                  <w:vAlign w:val="bottom"/>
                </w:tcPr>
                <w:p w:rsidR="007544CA" w:rsidRPr="00547F68" w:rsidRDefault="007544CA" w:rsidP="00133508">
                  <w:pPr>
                    <w:pStyle w:val="TableBodyText"/>
                    <w:spacing w:after="0"/>
                    <w:ind w:left="0" w:right="57"/>
                  </w:pPr>
                  <w:r w:rsidRPr="00547F68">
                    <w:t>12.5</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Primary production support services</w:t>
                  </w:r>
                </w:p>
              </w:tc>
              <w:tc>
                <w:tcPr>
                  <w:tcW w:w="501" w:type="pct"/>
                  <w:vAlign w:val="bottom"/>
                </w:tcPr>
                <w:p w:rsidR="007544CA" w:rsidRPr="00547F68" w:rsidRDefault="007544CA" w:rsidP="00133508">
                  <w:pPr>
                    <w:pStyle w:val="TableBodyText"/>
                    <w:spacing w:after="0"/>
                    <w:ind w:left="0" w:right="57"/>
                  </w:pPr>
                  <w:r w:rsidRPr="00547F68">
                    <w:t>27.3</w:t>
                  </w:r>
                </w:p>
              </w:tc>
              <w:tc>
                <w:tcPr>
                  <w:tcW w:w="501" w:type="pct"/>
                  <w:vAlign w:val="bottom"/>
                </w:tcPr>
                <w:p w:rsidR="007544CA" w:rsidRPr="00547F68" w:rsidRDefault="007544CA" w:rsidP="00133508">
                  <w:pPr>
                    <w:pStyle w:val="TableBodyText"/>
                    <w:spacing w:after="0"/>
                    <w:ind w:left="0" w:right="57"/>
                  </w:pPr>
                  <w:r w:rsidRPr="00547F68">
                    <w:t>30.7</w:t>
                  </w:r>
                </w:p>
              </w:tc>
              <w:tc>
                <w:tcPr>
                  <w:tcW w:w="501" w:type="pct"/>
                  <w:vAlign w:val="bottom"/>
                </w:tcPr>
                <w:p w:rsidR="007544CA" w:rsidRPr="00547F68" w:rsidRDefault="007544CA" w:rsidP="00133508">
                  <w:pPr>
                    <w:pStyle w:val="TableBodyText"/>
                    <w:spacing w:after="0"/>
                    <w:ind w:left="0" w:right="57"/>
                  </w:pPr>
                  <w:r w:rsidRPr="00547F68">
                    <w:t>16.2</w:t>
                  </w:r>
                </w:p>
              </w:tc>
              <w:tc>
                <w:tcPr>
                  <w:tcW w:w="499" w:type="pct"/>
                  <w:vAlign w:val="bottom"/>
                </w:tcPr>
                <w:p w:rsidR="007544CA" w:rsidRPr="00547F68" w:rsidRDefault="007544CA" w:rsidP="00133508">
                  <w:pPr>
                    <w:pStyle w:val="TableBodyText"/>
                    <w:spacing w:after="0"/>
                    <w:ind w:left="0" w:right="57"/>
                  </w:pPr>
                  <w:r w:rsidRPr="00547F68">
                    <w:t>20.3</w:t>
                  </w:r>
                </w:p>
              </w:tc>
              <w:tc>
                <w:tcPr>
                  <w:tcW w:w="499" w:type="pct"/>
                  <w:shd w:val="clear" w:color="auto" w:fill="auto"/>
                  <w:vAlign w:val="bottom"/>
                </w:tcPr>
                <w:p w:rsidR="007544CA" w:rsidRPr="00547F68" w:rsidRDefault="007544CA" w:rsidP="00133508">
                  <w:pPr>
                    <w:pStyle w:val="TableBodyText"/>
                    <w:spacing w:after="0"/>
                    <w:ind w:left="0" w:right="57"/>
                  </w:pPr>
                  <w:r w:rsidRPr="00547F68">
                    <w:t>16.8</w:t>
                  </w:r>
                </w:p>
              </w:tc>
              <w:tc>
                <w:tcPr>
                  <w:tcW w:w="500" w:type="pct"/>
                  <w:shd w:val="clear" w:color="auto" w:fill="auto"/>
                  <w:vAlign w:val="bottom"/>
                </w:tcPr>
                <w:p w:rsidR="007544CA" w:rsidRPr="00547F68" w:rsidRDefault="007544CA" w:rsidP="00133508">
                  <w:pPr>
                    <w:pStyle w:val="TableBodyText"/>
                    <w:spacing w:after="0"/>
                    <w:ind w:left="0" w:right="57"/>
                  </w:pPr>
                  <w:r w:rsidRPr="00547F68">
                    <w:t>16.3</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Unallocated primary production</w:t>
                  </w:r>
                  <w:r>
                    <w:rPr>
                      <w:rStyle w:val="NoteLabel"/>
                    </w:rPr>
                    <w:t>a</w:t>
                  </w:r>
                </w:p>
              </w:tc>
              <w:tc>
                <w:tcPr>
                  <w:tcW w:w="501" w:type="pct"/>
                  <w:vAlign w:val="bottom"/>
                </w:tcPr>
                <w:p w:rsidR="007544CA" w:rsidRPr="00547F68" w:rsidRDefault="007544CA" w:rsidP="00133508">
                  <w:pPr>
                    <w:pStyle w:val="TableBodyText"/>
                    <w:spacing w:after="0"/>
                    <w:ind w:left="0" w:right="57"/>
                  </w:pPr>
                  <w:r w:rsidRPr="00547F68">
                    <w:t>5.1</w:t>
                  </w:r>
                </w:p>
              </w:tc>
              <w:tc>
                <w:tcPr>
                  <w:tcW w:w="501" w:type="pct"/>
                  <w:vAlign w:val="bottom"/>
                </w:tcPr>
                <w:p w:rsidR="007544CA" w:rsidRPr="00547F68" w:rsidRDefault="007544CA" w:rsidP="00133508">
                  <w:pPr>
                    <w:pStyle w:val="TableBodyText"/>
                    <w:spacing w:after="0"/>
                    <w:ind w:left="0" w:right="57"/>
                  </w:pPr>
                  <w:r w:rsidRPr="00547F68">
                    <w:t>1.2</w:t>
                  </w:r>
                </w:p>
              </w:tc>
              <w:tc>
                <w:tcPr>
                  <w:tcW w:w="501" w:type="pct"/>
                  <w:vAlign w:val="bottom"/>
                </w:tcPr>
                <w:p w:rsidR="007544CA" w:rsidRPr="00547F68" w:rsidRDefault="007544CA" w:rsidP="00133508">
                  <w:pPr>
                    <w:pStyle w:val="TableBodyText"/>
                    <w:spacing w:after="0"/>
                    <w:ind w:left="0" w:right="57"/>
                  </w:pPr>
                  <w:r w:rsidRPr="00547F68">
                    <w:t>1.8</w:t>
                  </w:r>
                </w:p>
              </w:tc>
              <w:tc>
                <w:tcPr>
                  <w:tcW w:w="499" w:type="pct"/>
                  <w:vAlign w:val="bottom"/>
                </w:tcPr>
                <w:p w:rsidR="007544CA" w:rsidRPr="00547F68" w:rsidRDefault="007544CA" w:rsidP="00133508">
                  <w:pPr>
                    <w:pStyle w:val="TableBodyText"/>
                    <w:spacing w:after="0"/>
                    <w:ind w:left="0" w:right="57"/>
                  </w:pPr>
                  <w:r w:rsidRPr="00547F68">
                    <w:t>4.8</w:t>
                  </w:r>
                </w:p>
              </w:tc>
              <w:tc>
                <w:tcPr>
                  <w:tcW w:w="499" w:type="pct"/>
                  <w:shd w:val="clear" w:color="auto" w:fill="auto"/>
                  <w:vAlign w:val="bottom"/>
                </w:tcPr>
                <w:p w:rsidR="007544CA" w:rsidRPr="00547F68" w:rsidRDefault="007544CA" w:rsidP="00133508">
                  <w:pPr>
                    <w:pStyle w:val="TableBodyText"/>
                    <w:spacing w:after="0"/>
                    <w:ind w:left="0" w:right="57"/>
                  </w:pPr>
                  <w:r w:rsidRPr="00547F68">
                    <w:t>2.7</w:t>
                  </w:r>
                </w:p>
              </w:tc>
              <w:tc>
                <w:tcPr>
                  <w:tcW w:w="500" w:type="pct"/>
                  <w:shd w:val="clear" w:color="auto" w:fill="auto"/>
                  <w:vAlign w:val="bottom"/>
                </w:tcPr>
                <w:p w:rsidR="007544CA" w:rsidRPr="00547F68" w:rsidRDefault="007544CA" w:rsidP="00133508">
                  <w:pPr>
                    <w:pStyle w:val="TableBodyText"/>
                    <w:spacing w:after="0"/>
                    <w:ind w:left="0" w:right="57"/>
                  </w:pPr>
                  <w:r w:rsidRPr="00547F68">
                    <w:t>3.0</w:t>
                  </w:r>
                </w:p>
              </w:tc>
            </w:tr>
            <w:tr w:rsidR="007544CA" w:rsidRPr="007E34F5" w:rsidTr="00133508">
              <w:tc>
                <w:tcPr>
                  <w:tcW w:w="1998" w:type="pct"/>
                  <w:shd w:val="clear" w:color="auto" w:fill="auto"/>
                  <w:vAlign w:val="bottom"/>
                </w:tcPr>
                <w:p w:rsidR="007544CA" w:rsidRPr="007E34F5" w:rsidRDefault="007544CA" w:rsidP="00133508">
                  <w:pPr>
                    <w:rPr>
                      <w:rFonts w:ascii="Arial" w:hAnsi="Arial" w:cs="Arial"/>
                      <w:b/>
                      <w:bCs/>
                      <w:sz w:val="18"/>
                      <w:szCs w:val="18"/>
                    </w:rPr>
                  </w:pPr>
                  <w:r w:rsidRPr="007E34F5">
                    <w:rPr>
                      <w:rFonts w:ascii="Arial" w:hAnsi="Arial" w:cs="Arial"/>
                      <w:b/>
                      <w:bCs/>
                      <w:sz w:val="18"/>
                      <w:szCs w:val="18"/>
                    </w:rPr>
                    <w:t>Mining</w:t>
                  </w:r>
                </w:p>
              </w:tc>
              <w:tc>
                <w:tcPr>
                  <w:tcW w:w="501" w:type="pct"/>
                  <w:vAlign w:val="bottom"/>
                </w:tcPr>
                <w:p w:rsidR="007544CA" w:rsidRPr="00547F68" w:rsidRDefault="007544CA" w:rsidP="00133508">
                  <w:pPr>
                    <w:pStyle w:val="TableBodyText"/>
                    <w:spacing w:after="0"/>
                    <w:ind w:left="0" w:right="57"/>
                    <w:rPr>
                      <w:b/>
                    </w:rPr>
                  </w:pPr>
                  <w:r w:rsidRPr="00547F68">
                    <w:rPr>
                      <w:b/>
                    </w:rPr>
                    <w:t>475.8</w:t>
                  </w:r>
                </w:p>
              </w:tc>
              <w:tc>
                <w:tcPr>
                  <w:tcW w:w="501" w:type="pct"/>
                  <w:vAlign w:val="bottom"/>
                </w:tcPr>
                <w:p w:rsidR="007544CA" w:rsidRPr="00547F68" w:rsidRDefault="007544CA" w:rsidP="00133508">
                  <w:pPr>
                    <w:pStyle w:val="TableBodyText"/>
                    <w:spacing w:after="0"/>
                    <w:ind w:left="0" w:right="57"/>
                    <w:rPr>
                      <w:b/>
                    </w:rPr>
                  </w:pPr>
                  <w:r w:rsidRPr="00547F68">
                    <w:rPr>
                      <w:b/>
                    </w:rPr>
                    <w:t>970.2</w:t>
                  </w:r>
                </w:p>
              </w:tc>
              <w:tc>
                <w:tcPr>
                  <w:tcW w:w="501" w:type="pct"/>
                  <w:vAlign w:val="bottom"/>
                </w:tcPr>
                <w:p w:rsidR="007544CA" w:rsidRPr="00547F68" w:rsidRDefault="007544CA" w:rsidP="00133508">
                  <w:pPr>
                    <w:pStyle w:val="TableBodyText"/>
                    <w:spacing w:after="0"/>
                    <w:ind w:left="0" w:right="57"/>
                    <w:rPr>
                      <w:b/>
                    </w:rPr>
                  </w:pPr>
                  <w:r w:rsidRPr="00547F68">
                    <w:rPr>
                      <w:b/>
                    </w:rPr>
                    <w:t>347.5</w:t>
                  </w:r>
                </w:p>
              </w:tc>
              <w:tc>
                <w:tcPr>
                  <w:tcW w:w="499" w:type="pct"/>
                  <w:vAlign w:val="bottom"/>
                </w:tcPr>
                <w:p w:rsidR="007544CA" w:rsidRPr="00547F68" w:rsidRDefault="007544CA" w:rsidP="00133508">
                  <w:pPr>
                    <w:pStyle w:val="TableBodyText"/>
                    <w:spacing w:after="0"/>
                    <w:ind w:left="0" w:right="57"/>
                    <w:rPr>
                      <w:b/>
                    </w:rPr>
                  </w:pPr>
                  <w:r w:rsidRPr="00547F68">
                    <w:rPr>
                      <w:b/>
                    </w:rPr>
                    <w:t>319.5</w:t>
                  </w:r>
                </w:p>
              </w:tc>
              <w:tc>
                <w:tcPr>
                  <w:tcW w:w="499" w:type="pct"/>
                  <w:shd w:val="clear" w:color="auto" w:fill="auto"/>
                  <w:vAlign w:val="bottom"/>
                </w:tcPr>
                <w:p w:rsidR="007544CA" w:rsidRPr="00547F68" w:rsidRDefault="007544CA" w:rsidP="00133508">
                  <w:pPr>
                    <w:pStyle w:val="TableBodyText"/>
                    <w:spacing w:after="0"/>
                    <w:ind w:left="0" w:right="57"/>
                    <w:rPr>
                      <w:b/>
                    </w:rPr>
                  </w:pPr>
                  <w:r w:rsidRPr="00547F68">
                    <w:rPr>
                      <w:b/>
                    </w:rPr>
                    <w:t>204.4</w:t>
                  </w:r>
                </w:p>
              </w:tc>
              <w:tc>
                <w:tcPr>
                  <w:tcW w:w="500" w:type="pct"/>
                  <w:shd w:val="clear" w:color="auto" w:fill="auto"/>
                  <w:vAlign w:val="bottom"/>
                </w:tcPr>
                <w:p w:rsidR="007544CA" w:rsidRPr="00547F68" w:rsidRDefault="007544CA" w:rsidP="00133508">
                  <w:pPr>
                    <w:pStyle w:val="TableBodyText"/>
                    <w:spacing w:after="0"/>
                    <w:ind w:left="0" w:right="57"/>
                    <w:rPr>
                      <w:b/>
                    </w:rPr>
                  </w:pPr>
                  <w:r w:rsidRPr="00547F68">
                    <w:rPr>
                      <w:b/>
                    </w:rPr>
                    <w:t>288.3</w:t>
                  </w:r>
                </w:p>
              </w:tc>
            </w:tr>
            <w:tr w:rsidR="007544CA" w:rsidRPr="007E34F5" w:rsidTr="00133508">
              <w:tc>
                <w:tcPr>
                  <w:tcW w:w="1998" w:type="pct"/>
                  <w:shd w:val="clear" w:color="auto" w:fill="auto"/>
                  <w:vAlign w:val="bottom"/>
                </w:tcPr>
                <w:p w:rsidR="007544CA" w:rsidRPr="007E34F5" w:rsidRDefault="007544CA" w:rsidP="00133508">
                  <w:pPr>
                    <w:rPr>
                      <w:rFonts w:ascii="Arial" w:hAnsi="Arial" w:cs="Arial"/>
                      <w:b/>
                      <w:bCs/>
                      <w:sz w:val="18"/>
                      <w:szCs w:val="18"/>
                    </w:rPr>
                  </w:pPr>
                  <w:r w:rsidRPr="007E34F5">
                    <w:rPr>
                      <w:rFonts w:ascii="Arial" w:hAnsi="Arial" w:cs="Arial"/>
                      <w:b/>
                      <w:bCs/>
                      <w:sz w:val="18"/>
                      <w:szCs w:val="18"/>
                    </w:rPr>
                    <w:t>Manufacturing</w:t>
                  </w:r>
                </w:p>
              </w:tc>
              <w:tc>
                <w:tcPr>
                  <w:tcW w:w="501" w:type="pct"/>
                  <w:vAlign w:val="bottom"/>
                </w:tcPr>
                <w:p w:rsidR="007544CA" w:rsidRPr="00547F68" w:rsidRDefault="007544CA" w:rsidP="00133508">
                  <w:pPr>
                    <w:pStyle w:val="TableBodyText"/>
                    <w:spacing w:after="0"/>
                    <w:ind w:left="0" w:right="57"/>
                    <w:rPr>
                      <w:b/>
                    </w:rPr>
                  </w:pPr>
                  <w:r w:rsidRPr="00547F68">
                    <w:rPr>
                      <w:b/>
                    </w:rPr>
                    <w:t>1109.2</w:t>
                  </w:r>
                </w:p>
              </w:tc>
              <w:tc>
                <w:tcPr>
                  <w:tcW w:w="501" w:type="pct"/>
                  <w:vAlign w:val="bottom"/>
                </w:tcPr>
                <w:p w:rsidR="007544CA" w:rsidRPr="00547F68" w:rsidRDefault="007544CA" w:rsidP="00133508">
                  <w:pPr>
                    <w:pStyle w:val="TableBodyText"/>
                    <w:spacing w:after="0"/>
                    <w:ind w:left="0" w:right="57"/>
                    <w:rPr>
                      <w:b/>
                    </w:rPr>
                  </w:pPr>
                  <w:r w:rsidRPr="00547F68">
                    <w:rPr>
                      <w:b/>
                    </w:rPr>
                    <w:t>986.2</w:t>
                  </w:r>
                </w:p>
              </w:tc>
              <w:tc>
                <w:tcPr>
                  <w:tcW w:w="501" w:type="pct"/>
                  <w:vAlign w:val="bottom"/>
                </w:tcPr>
                <w:p w:rsidR="007544CA" w:rsidRPr="00547F68" w:rsidRDefault="007544CA" w:rsidP="00133508">
                  <w:pPr>
                    <w:pStyle w:val="TableBodyText"/>
                    <w:spacing w:after="0"/>
                    <w:ind w:left="0" w:right="57"/>
                    <w:rPr>
                      <w:b/>
                    </w:rPr>
                  </w:pPr>
                  <w:r w:rsidRPr="00547F68">
                    <w:rPr>
                      <w:b/>
                    </w:rPr>
                    <w:t>475.4</w:t>
                  </w:r>
                </w:p>
              </w:tc>
              <w:tc>
                <w:tcPr>
                  <w:tcW w:w="499" w:type="pct"/>
                  <w:vAlign w:val="bottom"/>
                </w:tcPr>
                <w:p w:rsidR="007544CA" w:rsidRPr="00547F68" w:rsidRDefault="007544CA" w:rsidP="00133508">
                  <w:pPr>
                    <w:pStyle w:val="TableBodyText"/>
                    <w:spacing w:after="0"/>
                    <w:ind w:left="0" w:right="57"/>
                    <w:rPr>
                      <w:b/>
                    </w:rPr>
                  </w:pPr>
                  <w:r w:rsidRPr="00547F68">
                    <w:rPr>
                      <w:b/>
                    </w:rPr>
                    <w:t>584.0</w:t>
                  </w:r>
                </w:p>
              </w:tc>
              <w:tc>
                <w:tcPr>
                  <w:tcW w:w="499" w:type="pct"/>
                  <w:shd w:val="clear" w:color="auto" w:fill="auto"/>
                  <w:vAlign w:val="bottom"/>
                </w:tcPr>
                <w:p w:rsidR="007544CA" w:rsidRPr="00547F68" w:rsidRDefault="007544CA" w:rsidP="00133508">
                  <w:pPr>
                    <w:pStyle w:val="TableBodyText"/>
                    <w:spacing w:after="0"/>
                    <w:ind w:left="0" w:right="57"/>
                    <w:rPr>
                      <w:b/>
                    </w:rPr>
                  </w:pPr>
                  <w:r w:rsidRPr="00547F68">
                    <w:rPr>
                      <w:b/>
                    </w:rPr>
                    <w:t>510.3</w:t>
                  </w:r>
                </w:p>
              </w:tc>
              <w:tc>
                <w:tcPr>
                  <w:tcW w:w="500" w:type="pct"/>
                  <w:shd w:val="clear" w:color="auto" w:fill="auto"/>
                  <w:vAlign w:val="bottom"/>
                </w:tcPr>
                <w:p w:rsidR="007544CA" w:rsidRPr="00547F68" w:rsidRDefault="007544CA" w:rsidP="00133508">
                  <w:pPr>
                    <w:pStyle w:val="TableBodyText"/>
                    <w:spacing w:after="0"/>
                    <w:ind w:left="0" w:right="57"/>
                    <w:rPr>
                      <w:b/>
                    </w:rPr>
                  </w:pPr>
                  <w:r w:rsidRPr="00547F68">
                    <w:rPr>
                      <w:b/>
                    </w:rPr>
                    <w:t>392.7</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Food, beverages and tobacco</w:t>
                  </w:r>
                </w:p>
              </w:tc>
              <w:tc>
                <w:tcPr>
                  <w:tcW w:w="501" w:type="pct"/>
                  <w:vAlign w:val="bottom"/>
                </w:tcPr>
                <w:p w:rsidR="007544CA" w:rsidRPr="00547F68" w:rsidRDefault="007544CA" w:rsidP="00133508">
                  <w:pPr>
                    <w:pStyle w:val="TableBodyText"/>
                    <w:spacing w:after="0"/>
                    <w:ind w:left="0" w:right="57"/>
                  </w:pPr>
                  <w:r w:rsidRPr="00547F68">
                    <w:t>104.6</w:t>
                  </w:r>
                </w:p>
              </w:tc>
              <w:tc>
                <w:tcPr>
                  <w:tcW w:w="501" w:type="pct"/>
                  <w:vAlign w:val="bottom"/>
                </w:tcPr>
                <w:p w:rsidR="007544CA" w:rsidRPr="00547F68" w:rsidRDefault="007544CA" w:rsidP="00133508">
                  <w:pPr>
                    <w:pStyle w:val="TableBodyText"/>
                    <w:spacing w:after="0"/>
                    <w:ind w:left="0" w:right="57"/>
                  </w:pPr>
                  <w:r w:rsidRPr="00547F68">
                    <w:t>141.1</w:t>
                  </w:r>
                </w:p>
              </w:tc>
              <w:tc>
                <w:tcPr>
                  <w:tcW w:w="501" w:type="pct"/>
                  <w:vAlign w:val="bottom"/>
                </w:tcPr>
                <w:p w:rsidR="007544CA" w:rsidRPr="00547F68" w:rsidRDefault="007544CA" w:rsidP="00133508">
                  <w:pPr>
                    <w:pStyle w:val="TableBodyText"/>
                    <w:spacing w:after="0"/>
                    <w:ind w:left="0" w:right="57"/>
                  </w:pPr>
                  <w:r w:rsidRPr="00547F68">
                    <w:t>81.1</w:t>
                  </w:r>
                </w:p>
              </w:tc>
              <w:tc>
                <w:tcPr>
                  <w:tcW w:w="499" w:type="pct"/>
                  <w:vAlign w:val="bottom"/>
                </w:tcPr>
                <w:p w:rsidR="007544CA" w:rsidRPr="00547F68" w:rsidRDefault="007544CA" w:rsidP="00133508">
                  <w:pPr>
                    <w:pStyle w:val="TableBodyText"/>
                    <w:spacing w:after="0"/>
                    <w:ind w:left="0" w:right="57"/>
                  </w:pPr>
                  <w:r w:rsidRPr="00547F68">
                    <w:t>110.5</w:t>
                  </w:r>
                </w:p>
              </w:tc>
              <w:tc>
                <w:tcPr>
                  <w:tcW w:w="499" w:type="pct"/>
                  <w:shd w:val="clear" w:color="auto" w:fill="auto"/>
                  <w:vAlign w:val="bottom"/>
                </w:tcPr>
                <w:p w:rsidR="007544CA" w:rsidRPr="00547F68" w:rsidRDefault="007544CA" w:rsidP="00133508">
                  <w:pPr>
                    <w:pStyle w:val="TableBodyText"/>
                    <w:spacing w:after="0"/>
                    <w:ind w:left="0" w:right="57"/>
                  </w:pPr>
                  <w:r w:rsidRPr="00547F68">
                    <w:t>102.6</w:t>
                  </w:r>
                </w:p>
              </w:tc>
              <w:tc>
                <w:tcPr>
                  <w:tcW w:w="500" w:type="pct"/>
                  <w:shd w:val="clear" w:color="auto" w:fill="auto"/>
                  <w:vAlign w:val="bottom"/>
                </w:tcPr>
                <w:p w:rsidR="007544CA" w:rsidRPr="00547F68" w:rsidRDefault="007544CA" w:rsidP="00133508">
                  <w:pPr>
                    <w:pStyle w:val="TableBodyText"/>
                    <w:spacing w:after="0"/>
                    <w:ind w:left="0" w:right="57"/>
                  </w:pPr>
                  <w:r w:rsidRPr="00547F68">
                    <w:t>47.9</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Textile</w:t>
                  </w:r>
                  <w:r>
                    <w:rPr>
                      <w:rFonts w:ascii="Arial" w:hAnsi="Arial" w:cs="Arial"/>
                      <w:sz w:val="18"/>
                      <w:szCs w:val="18"/>
                    </w:rPr>
                    <w:t>s</w:t>
                  </w:r>
                  <w:r w:rsidRPr="00037109">
                    <w:rPr>
                      <w:rFonts w:ascii="Arial" w:hAnsi="Arial" w:cs="Arial"/>
                      <w:sz w:val="18"/>
                      <w:szCs w:val="18"/>
                    </w:rPr>
                    <w:t>, leather, clothing and footwear</w:t>
                  </w:r>
                </w:p>
              </w:tc>
              <w:tc>
                <w:tcPr>
                  <w:tcW w:w="501" w:type="pct"/>
                  <w:vAlign w:val="bottom"/>
                </w:tcPr>
                <w:p w:rsidR="007544CA" w:rsidRPr="00547F68" w:rsidRDefault="007544CA" w:rsidP="00133508">
                  <w:pPr>
                    <w:pStyle w:val="TableBodyText"/>
                    <w:spacing w:after="0"/>
                    <w:ind w:left="0" w:right="57"/>
                  </w:pPr>
                  <w:r w:rsidRPr="00547F68">
                    <w:t>17.1</w:t>
                  </w:r>
                </w:p>
              </w:tc>
              <w:tc>
                <w:tcPr>
                  <w:tcW w:w="501" w:type="pct"/>
                  <w:vAlign w:val="bottom"/>
                </w:tcPr>
                <w:p w:rsidR="007544CA" w:rsidRPr="00547F68" w:rsidRDefault="007544CA" w:rsidP="00133508">
                  <w:pPr>
                    <w:pStyle w:val="TableBodyText"/>
                    <w:spacing w:after="0"/>
                    <w:ind w:left="0" w:right="57"/>
                  </w:pPr>
                  <w:r w:rsidRPr="00547F68">
                    <w:t>12.2</w:t>
                  </w:r>
                </w:p>
              </w:tc>
              <w:tc>
                <w:tcPr>
                  <w:tcW w:w="501" w:type="pct"/>
                  <w:vAlign w:val="bottom"/>
                </w:tcPr>
                <w:p w:rsidR="007544CA" w:rsidRPr="00547F68" w:rsidRDefault="007544CA" w:rsidP="00133508">
                  <w:pPr>
                    <w:pStyle w:val="TableBodyText"/>
                    <w:spacing w:after="0"/>
                    <w:ind w:left="0" w:right="57"/>
                  </w:pPr>
                  <w:r w:rsidRPr="00547F68">
                    <w:t>10.5</w:t>
                  </w:r>
                </w:p>
              </w:tc>
              <w:tc>
                <w:tcPr>
                  <w:tcW w:w="499" w:type="pct"/>
                  <w:vAlign w:val="bottom"/>
                </w:tcPr>
                <w:p w:rsidR="007544CA" w:rsidRPr="00547F68" w:rsidRDefault="007544CA" w:rsidP="00133508">
                  <w:pPr>
                    <w:pStyle w:val="TableBodyText"/>
                    <w:spacing w:after="0"/>
                    <w:ind w:left="0" w:right="57"/>
                  </w:pPr>
                  <w:r w:rsidRPr="00547F68">
                    <w:t>10.3</w:t>
                  </w:r>
                </w:p>
              </w:tc>
              <w:tc>
                <w:tcPr>
                  <w:tcW w:w="499" w:type="pct"/>
                  <w:shd w:val="clear" w:color="auto" w:fill="auto"/>
                  <w:vAlign w:val="bottom"/>
                </w:tcPr>
                <w:p w:rsidR="007544CA" w:rsidRPr="00547F68" w:rsidRDefault="007544CA" w:rsidP="00133508">
                  <w:pPr>
                    <w:pStyle w:val="TableBodyText"/>
                    <w:spacing w:after="0"/>
                    <w:ind w:left="0" w:right="57"/>
                  </w:pPr>
                  <w:r w:rsidRPr="00547F68">
                    <w:t>7.6</w:t>
                  </w:r>
                </w:p>
              </w:tc>
              <w:tc>
                <w:tcPr>
                  <w:tcW w:w="500" w:type="pct"/>
                  <w:shd w:val="clear" w:color="auto" w:fill="auto"/>
                  <w:vAlign w:val="bottom"/>
                </w:tcPr>
                <w:p w:rsidR="007544CA" w:rsidRPr="00547F68" w:rsidRDefault="007544CA" w:rsidP="00133508">
                  <w:pPr>
                    <w:pStyle w:val="TableBodyText"/>
                    <w:spacing w:after="0"/>
                    <w:ind w:left="0" w:right="57"/>
                  </w:pPr>
                  <w:r w:rsidRPr="00547F68">
                    <w:t>4.4</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Wood and paper products</w:t>
                  </w:r>
                </w:p>
              </w:tc>
              <w:tc>
                <w:tcPr>
                  <w:tcW w:w="501" w:type="pct"/>
                  <w:vAlign w:val="bottom"/>
                </w:tcPr>
                <w:p w:rsidR="007544CA" w:rsidRPr="00547F68" w:rsidRDefault="007544CA" w:rsidP="00133508">
                  <w:pPr>
                    <w:pStyle w:val="TableBodyText"/>
                    <w:spacing w:after="0"/>
                    <w:ind w:left="0" w:right="57"/>
                  </w:pPr>
                  <w:r w:rsidRPr="00547F68">
                    <w:t>19.1</w:t>
                  </w:r>
                </w:p>
              </w:tc>
              <w:tc>
                <w:tcPr>
                  <w:tcW w:w="501" w:type="pct"/>
                  <w:vAlign w:val="bottom"/>
                </w:tcPr>
                <w:p w:rsidR="007544CA" w:rsidRPr="00547F68" w:rsidRDefault="007544CA" w:rsidP="00133508">
                  <w:pPr>
                    <w:pStyle w:val="TableBodyText"/>
                    <w:spacing w:after="0"/>
                    <w:ind w:left="0" w:right="57"/>
                  </w:pPr>
                  <w:r w:rsidRPr="00547F68">
                    <w:t>25.8</w:t>
                  </w:r>
                </w:p>
              </w:tc>
              <w:tc>
                <w:tcPr>
                  <w:tcW w:w="501" w:type="pct"/>
                  <w:vAlign w:val="bottom"/>
                </w:tcPr>
                <w:p w:rsidR="007544CA" w:rsidRPr="00547F68" w:rsidRDefault="007544CA" w:rsidP="00133508">
                  <w:pPr>
                    <w:pStyle w:val="TableBodyText"/>
                    <w:spacing w:after="0"/>
                    <w:ind w:left="0" w:right="57"/>
                  </w:pPr>
                  <w:r w:rsidRPr="00547F68">
                    <w:t>11.7</w:t>
                  </w:r>
                </w:p>
              </w:tc>
              <w:tc>
                <w:tcPr>
                  <w:tcW w:w="499" w:type="pct"/>
                  <w:vAlign w:val="bottom"/>
                </w:tcPr>
                <w:p w:rsidR="007544CA" w:rsidRPr="00547F68" w:rsidRDefault="007544CA" w:rsidP="00133508">
                  <w:pPr>
                    <w:pStyle w:val="TableBodyText"/>
                    <w:spacing w:after="0"/>
                    <w:ind w:left="0" w:right="57"/>
                  </w:pPr>
                  <w:r w:rsidRPr="00547F68">
                    <w:t>13.2</w:t>
                  </w:r>
                </w:p>
              </w:tc>
              <w:tc>
                <w:tcPr>
                  <w:tcW w:w="499" w:type="pct"/>
                  <w:shd w:val="clear" w:color="auto" w:fill="auto"/>
                  <w:vAlign w:val="bottom"/>
                </w:tcPr>
                <w:p w:rsidR="007544CA" w:rsidRPr="00547F68" w:rsidRDefault="007544CA" w:rsidP="00133508">
                  <w:pPr>
                    <w:pStyle w:val="TableBodyText"/>
                    <w:spacing w:after="0"/>
                    <w:ind w:left="0" w:right="57"/>
                  </w:pPr>
                  <w:r w:rsidRPr="00547F68">
                    <w:t>9.0</w:t>
                  </w:r>
                </w:p>
              </w:tc>
              <w:tc>
                <w:tcPr>
                  <w:tcW w:w="500" w:type="pct"/>
                  <w:shd w:val="clear" w:color="auto" w:fill="auto"/>
                  <w:vAlign w:val="bottom"/>
                </w:tcPr>
                <w:p w:rsidR="007544CA" w:rsidRPr="00547F68" w:rsidRDefault="007544CA" w:rsidP="00133508">
                  <w:pPr>
                    <w:pStyle w:val="TableBodyText"/>
                    <w:spacing w:after="0"/>
                    <w:ind w:left="0" w:right="57"/>
                  </w:pPr>
                  <w:r w:rsidRPr="00547F68">
                    <w:t>5.0</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Printing and recorded media</w:t>
                  </w:r>
                </w:p>
              </w:tc>
              <w:tc>
                <w:tcPr>
                  <w:tcW w:w="501" w:type="pct"/>
                  <w:vAlign w:val="bottom"/>
                </w:tcPr>
                <w:p w:rsidR="007544CA" w:rsidRPr="00547F68" w:rsidRDefault="007544CA" w:rsidP="00133508">
                  <w:pPr>
                    <w:pStyle w:val="TableBodyText"/>
                    <w:spacing w:after="0"/>
                    <w:ind w:left="0" w:right="57"/>
                  </w:pPr>
                  <w:r w:rsidRPr="00547F68">
                    <w:t>13.1</w:t>
                  </w:r>
                </w:p>
              </w:tc>
              <w:tc>
                <w:tcPr>
                  <w:tcW w:w="501" w:type="pct"/>
                  <w:vAlign w:val="bottom"/>
                </w:tcPr>
                <w:p w:rsidR="007544CA" w:rsidRPr="00547F68" w:rsidRDefault="007544CA" w:rsidP="00133508">
                  <w:pPr>
                    <w:pStyle w:val="TableBodyText"/>
                    <w:spacing w:after="0"/>
                    <w:ind w:left="0" w:right="57"/>
                  </w:pPr>
                  <w:r w:rsidRPr="00547F68">
                    <w:t>14.5</w:t>
                  </w:r>
                </w:p>
              </w:tc>
              <w:tc>
                <w:tcPr>
                  <w:tcW w:w="501" w:type="pct"/>
                  <w:vAlign w:val="bottom"/>
                </w:tcPr>
                <w:p w:rsidR="007544CA" w:rsidRPr="00547F68" w:rsidRDefault="007544CA" w:rsidP="00133508">
                  <w:pPr>
                    <w:pStyle w:val="TableBodyText"/>
                    <w:spacing w:after="0"/>
                    <w:ind w:left="0" w:right="57"/>
                  </w:pPr>
                  <w:r w:rsidRPr="00547F68">
                    <w:t>10.3</w:t>
                  </w:r>
                </w:p>
              </w:tc>
              <w:tc>
                <w:tcPr>
                  <w:tcW w:w="499" w:type="pct"/>
                  <w:vAlign w:val="bottom"/>
                </w:tcPr>
                <w:p w:rsidR="007544CA" w:rsidRPr="00547F68" w:rsidRDefault="007544CA" w:rsidP="00133508">
                  <w:pPr>
                    <w:pStyle w:val="TableBodyText"/>
                    <w:spacing w:after="0"/>
                    <w:ind w:left="0" w:right="57"/>
                  </w:pPr>
                  <w:r w:rsidRPr="00547F68">
                    <w:t>8.7</w:t>
                  </w:r>
                </w:p>
              </w:tc>
              <w:tc>
                <w:tcPr>
                  <w:tcW w:w="499" w:type="pct"/>
                  <w:shd w:val="clear" w:color="auto" w:fill="auto"/>
                  <w:vAlign w:val="bottom"/>
                </w:tcPr>
                <w:p w:rsidR="007544CA" w:rsidRPr="00547F68" w:rsidRDefault="007544CA" w:rsidP="00133508">
                  <w:pPr>
                    <w:pStyle w:val="TableBodyText"/>
                    <w:spacing w:after="0"/>
                    <w:ind w:left="0" w:right="57"/>
                  </w:pPr>
                  <w:r w:rsidRPr="00547F68">
                    <w:t>7.7</w:t>
                  </w:r>
                </w:p>
              </w:tc>
              <w:tc>
                <w:tcPr>
                  <w:tcW w:w="500" w:type="pct"/>
                  <w:shd w:val="clear" w:color="auto" w:fill="auto"/>
                  <w:vAlign w:val="bottom"/>
                </w:tcPr>
                <w:p w:rsidR="007544CA" w:rsidRPr="00547F68" w:rsidRDefault="007544CA" w:rsidP="00133508">
                  <w:pPr>
                    <w:pStyle w:val="TableBodyText"/>
                    <w:spacing w:after="0"/>
                    <w:ind w:left="0" w:right="57"/>
                  </w:pPr>
                  <w:r w:rsidRPr="00547F68">
                    <w:t>3.6</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Petroleum, coal, chemical and rubber</w:t>
                  </w:r>
                </w:p>
              </w:tc>
              <w:tc>
                <w:tcPr>
                  <w:tcW w:w="501" w:type="pct"/>
                  <w:vAlign w:val="bottom"/>
                </w:tcPr>
                <w:p w:rsidR="007544CA" w:rsidRPr="00547F68" w:rsidRDefault="007544CA" w:rsidP="00133508">
                  <w:pPr>
                    <w:pStyle w:val="TableBodyText"/>
                    <w:spacing w:after="0"/>
                    <w:ind w:left="0" w:right="57"/>
                  </w:pPr>
                  <w:r w:rsidRPr="00547F68">
                    <w:t>67.2</w:t>
                  </w:r>
                </w:p>
              </w:tc>
              <w:tc>
                <w:tcPr>
                  <w:tcW w:w="501" w:type="pct"/>
                  <w:vAlign w:val="bottom"/>
                </w:tcPr>
                <w:p w:rsidR="007544CA" w:rsidRPr="00547F68" w:rsidRDefault="007544CA" w:rsidP="00133508">
                  <w:pPr>
                    <w:pStyle w:val="TableBodyText"/>
                    <w:spacing w:after="0"/>
                    <w:ind w:left="0" w:right="57"/>
                  </w:pPr>
                  <w:r w:rsidRPr="00547F68">
                    <w:t>118.8</w:t>
                  </w:r>
                </w:p>
              </w:tc>
              <w:tc>
                <w:tcPr>
                  <w:tcW w:w="501" w:type="pct"/>
                  <w:vAlign w:val="bottom"/>
                </w:tcPr>
                <w:p w:rsidR="007544CA" w:rsidRPr="00547F68" w:rsidRDefault="007544CA" w:rsidP="00133508">
                  <w:pPr>
                    <w:pStyle w:val="TableBodyText"/>
                    <w:spacing w:after="0"/>
                    <w:ind w:left="0" w:right="57"/>
                  </w:pPr>
                  <w:r w:rsidRPr="00547F68">
                    <w:t>59.0</w:t>
                  </w:r>
                </w:p>
              </w:tc>
              <w:tc>
                <w:tcPr>
                  <w:tcW w:w="499" w:type="pct"/>
                  <w:vAlign w:val="bottom"/>
                </w:tcPr>
                <w:p w:rsidR="007544CA" w:rsidRPr="00547F68" w:rsidRDefault="007544CA" w:rsidP="00133508">
                  <w:pPr>
                    <w:pStyle w:val="TableBodyText"/>
                    <w:spacing w:after="0"/>
                    <w:ind w:left="0" w:right="57"/>
                  </w:pPr>
                  <w:r w:rsidRPr="00547F68">
                    <w:t>66.5</w:t>
                  </w:r>
                </w:p>
              </w:tc>
              <w:tc>
                <w:tcPr>
                  <w:tcW w:w="499" w:type="pct"/>
                  <w:shd w:val="clear" w:color="auto" w:fill="auto"/>
                  <w:vAlign w:val="bottom"/>
                </w:tcPr>
                <w:p w:rsidR="007544CA" w:rsidRPr="00547F68" w:rsidRDefault="007544CA" w:rsidP="00133508">
                  <w:pPr>
                    <w:pStyle w:val="TableBodyText"/>
                    <w:spacing w:after="0"/>
                    <w:ind w:left="0" w:right="57"/>
                  </w:pPr>
                  <w:r w:rsidRPr="00547F68">
                    <w:t>41.4</w:t>
                  </w:r>
                </w:p>
              </w:tc>
              <w:tc>
                <w:tcPr>
                  <w:tcW w:w="500" w:type="pct"/>
                  <w:shd w:val="clear" w:color="auto" w:fill="auto"/>
                  <w:vAlign w:val="bottom"/>
                </w:tcPr>
                <w:p w:rsidR="007544CA" w:rsidRPr="00547F68" w:rsidRDefault="007544CA" w:rsidP="00133508">
                  <w:pPr>
                    <w:pStyle w:val="TableBodyText"/>
                    <w:spacing w:after="0"/>
                    <w:ind w:left="0" w:right="57"/>
                  </w:pPr>
                  <w:r w:rsidRPr="00547F68">
                    <w:t>22.7</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Non</w:t>
                  </w:r>
                  <w:r>
                    <w:rPr>
                      <w:rFonts w:ascii="Arial" w:hAnsi="Arial" w:cs="Arial"/>
                      <w:sz w:val="18"/>
                      <w:szCs w:val="18"/>
                    </w:rPr>
                    <w:noBreakHyphen/>
                  </w:r>
                  <w:r w:rsidRPr="00037109">
                    <w:rPr>
                      <w:rFonts w:ascii="Arial" w:hAnsi="Arial" w:cs="Arial"/>
                      <w:sz w:val="18"/>
                      <w:szCs w:val="18"/>
                    </w:rPr>
                    <w:t>metallic mineral products</w:t>
                  </w:r>
                </w:p>
              </w:tc>
              <w:tc>
                <w:tcPr>
                  <w:tcW w:w="501" w:type="pct"/>
                  <w:vAlign w:val="bottom"/>
                </w:tcPr>
                <w:p w:rsidR="007544CA" w:rsidRPr="00547F68" w:rsidRDefault="007544CA" w:rsidP="00133508">
                  <w:pPr>
                    <w:pStyle w:val="TableBodyText"/>
                    <w:spacing w:after="0"/>
                    <w:ind w:left="0" w:right="57"/>
                  </w:pPr>
                  <w:r w:rsidRPr="00547F68">
                    <w:t>18.1</w:t>
                  </w:r>
                </w:p>
              </w:tc>
              <w:tc>
                <w:tcPr>
                  <w:tcW w:w="501" w:type="pct"/>
                  <w:vAlign w:val="bottom"/>
                </w:tcPr>
                <w:p w:rsidR="007544CA" w:rsidRPr="00547F68" w:rsidRDefault="007544CA" w:rsidP="00133508">
                  <w:pPr>
                    <w:pStyle w:val="TableBodyText"/>
                    <w:spacing w:after="0"/>
                    <w:ind w:left="0" w:right="57"/>
                  </w:pPr>
                  <w:r w:rsidRPr="00547F68">
                    <w:t>21.3</w:t>
                  </w:r>
                </w:p>
              </w:tc>
              <w:tc>
                <w:tcPr>
                  <w:tcW w:w="501" w:type="pct"/>
                  <w:vAlign w:val="bottom"/>
                </w:tcPr>
                <w:p w:rsidR="007544CA" w:rsidRPr="00547F68" w:rsidRDefault="007544CA" w:rsidP="00133508">
                  <w:pPr>
                    <w:pStyle w:val="TableBodyText"/>
                    <w:spacing w:after="0"/>
                    <w:ind w:left="0" w:right="57"/>
                  </w:pPr>
                  <w:r w:rsidRPr="00547F68">
                    <w:t>9.4</w:t>
                  </w:r>
                </w:p>
              </w:tc>
              <w:tc>
                <w:tcPr>
                  <w:tcW w:w="499" w:type="pct"/>
                  <w:vAlign w:val="bottom"/>
                </w:tcPr>
                <w:p w:rsidR="007544CA" w:rsidRPr="00547F68" w:rsidRDefault="007544CA" w:rsidP="00133508">
                  <w:pPr>
                    <w:pStyle w:val="TableBodyText"/>
                    <w:spacing w:after="0"/>
                    <w:ind w:left="0" w:right="57"/>
                  </w:pPr>
                  <w:r w:rsidRPr="00547F68">
                    <w:t>10.6</w:t>
                  </w:r>
                </w:p>
              </w:tc>
              <w:tc>
                <w:tcPr>
                  <w:tcW w:w="499" w:type="pct"/>
                  <w:shd w:val="clear" w:color="auto" w:fill="auto"/>
                  <w:vAlign w:val="bottom"/>
                </w:tcPr>
                <w:p w:rsidR="007544CA" w:rsidRPr="00547F68" w:rsidRDefault="007544CA" w:rsidP="00133508">
                  <w:pPr>
                    <w:pStyle w:val="TableBodyText"/>
                    <w:spacing w:after="0"/>
                    <w:ind w:left="0" w:right="57"/>
                  </w:pPr>
                  <w:r w:rsidRPr="00547F68">
                    <w:t>9.3</w:t>
                  </w:r>
                </w:p>
              </w:tc>
              <w:tc>
                <w:tcPr>
                  <w:tcW w:w="500" w:type="pct"/>
                  <w:shd w:val="clear" w:color="auto" w:fill="auto"/>
                  <w:vAlign w:val="bottom"/>
                </w:tcPr>
                <w:p w:rsidR="007544CA" w:rsidRPr="00547F68" w:rsidRDefault="007544CA" w:rsidP="00133508">
                  <w:pPr>
                    <w:pStyle w:val="TableBodyText"/>
                    <w:spacing w:after="0"/>
                    <w:ind w:left="0" w:right="57"/>
                  </w:pPr>
                  <w:r>
                    <w:noBreakHyphen/>
                  </w:r>
                  <w:r w:rsidRPr="00547F68">
                    <w:t>1.9</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Metal and fabricated metal products</w:t>
                  </w:r>
                </w:p>
              </w:tc>
              <w:tc>
                <w:tcPr>
                  <w:tcW w:w="501" w:type="pct"/>
                  <w:vAlign w:val="bottom"/>
                </w:tcPr>
                <w:p w:rsidR="007544CA" w:rsidRPr="00547F68" w:rsidRDefault="007544CA" w:rsidP="00133508">
                  <w:pPr>
                    <w:pStyle w:val="TableBodyText"/>
                    <w:spacing w:after="0"/>
                    <w:ind w:left="0" w:right="57"/>
                  </w:pPr>
                  <w:r w:rsidRPr="00547F68">
                    <w:t>70.8</w:t>
                  </w:r>
                </w:p>
              </w:tc>
              <w:tc>
                <w:tcPr>
                  <w:tcW w:w="501" w:type="pct"/>
                  <w:vAlign w:val="bottom"/>
                </w:tcPr>
                <w:p w:rsidR="007544CA" w:rsidRPr="00547F68" w:rsidRDefault="007544CA" w:rsidP="00133508">
                  <w:pPr>
                    <w:pStyle w:val="TableBodyText"/>
                    <w:spacing w:after="0"/>
                    <w:ind w:left="0" w:right="57"/>
                  </w:pPr>
                  <w:r w:rsidRPr="00547F68">
                    <w:t>89.9</w:t>
                  </w:r>
                </w:p>
              </w:tc>
              <w:tc>
                <w:tcPr>
                  <w:tcW w:w="501" w:type="pct"/>
                  <w:vAlign w:val="bottom"/>
                </w:tcPr>
                <w:p w:rsidR="007544CA" w:rsidRPr="00547F68" w:rsidRDefault="007544CA" w:rsidP="00133508">
                  <w:pPr>
                    <w:pStyle w:val="TableBodyText"/>
                    <w:spacing w:after="0"/>
                    <w:ind w:left="0" w:right="57"/>
                  </w:pPr>
                  <w:r w:rsidRPr="00547F68">
                    <w:t>83.4</w:t>
                  </w:r>
                </w:p>
              </w:tc>
              <w:tc>
                <w:tcPr>
                  <w:tcW w:w="499" w:type="pct"/>
                  <w:vAlign w:val="bottom"/>
                </w:tcPr>
                <w:p w:rsidR="007544CA" w:rsidRPr="00547F68" w:rsidRDefault="007544CA" w:rsidP="00133508">
                  <w:pPr>
                    <w:pStyle w:val="TableBodyText"/>
                    <w:spacing w:after="0"/>
                    <w:ind w:left="0" w:right="57"/>
                  </w:pPr>
                  <w:r w:rsidRPr="00547F68">
                    <w:t>144.6</w:t>
                  </w:r>
                </w:p>
              </w:tc>
              <w:tc>
                <w:tcPr>
                  <w:tcW w:w="499" w:type="pct"/>
                  <w:shd w:val="clear" w:color="auto" w:fill="auto"/>
                  <w:vAlign w:val="bottom"/>
                </w:tcPr>
                <w:p w:rsidR="007544CA" w:rsidRPr="00547F68" w:rsidRDefault="007544CA" w:rsidP="00133508">
                  <w:pPr>
                    <w:pStyle w:val="TableBodyText"/>
                    <w:spacing w:after="0"/>
                    <w:ind w:left="0" w:right="57"/>
                  </w:pPr>
                  <w:r w:rsidRPr="00547F68">
                    <w:t>148.9</w:t>
                  </w:r>
                </w:p>
              </w:tc>
              <w:tc>
                <w:tcPr>
                  <w:tcW w:w="500" w:type="pct"/>
                  <w:shd w:val="clear" w:color="auto" w:fill="auto"/>
                  <w:vAlign w:val="bottom"/>
                </w:tcPr>
                <w:p w:rsidR="007544CA" w:rsidRPr="00547F68" w:rsidRDefault="007544CA" w:rsidP="00133508">
                  <w:pPr>
                    <w:pStyle w:val="TableBodyText"/>
                    <w:spacing w:after="0"/>
                    <w:ind w:left="0" w:right="57"/>
                  </w:pPr>
                  <w:r w:rsidRPr="00547F68">
                    <w:t>197.5</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Motor vehicle</w:t>
                  </w:r>
                  <w:r>
                    <w:rPr>
                      <w:rFonts w:ascii="Arial" w:hAnsi="Arial" w:cs="Arial"/>
                      <w:sz w:val="18"/>
                      <w:szCs w:val="18"/>
                    </w:rPr>
                    <w:t>s</w:t>
                  </w:r>
                  <w:r w:rsidRPr="00037109">
                    <w:rPr>
                      <w:rFonts w:ascii="Arial" w:hAnsi="Arial" w:cs="Arial"/>
                      <w:sz w:val="18"/>
                      <w:szCs w:val="18"/>
                    </w:rPr>
                    <w:t xml:space="preserve"> and parts</w:t>
                  </w:r>
                </w:p>
              </w:tc>
              <w:tc>
                <w:tcPr>
                  <w:tcW w:w="501" w:type="pct"/>
                  <w:vAlign w:val="bottom"/>
                </w:tcPr>
                <w:p w:rsidR="007544CA" w:rsidRPr="00547F68" w:rsidRDefault="007544CA" w:rsidP="00133508">
                  <w:pPr>
                    <w:pStyle w:val="TableBodyText"/>
                    <w:spacing w:after="0"/>
                    <w:ind w:left="0" w:right="57"/>
                  </w:pPr>
                  <w:r w:rsidRPr="00547F68">
                    <w:t>597.0</w:t>
                  </w:r>
                </w:p>
              </w:tc>
              <w:tc>
                <w:tcPr>
                  <w:tcW w:w="501" w:type="pct"/>
                  <w:vAlign w:val="bottom"/>
                </w:tcPr>
                <w:p w:rsidR="007544CA" w:rsidRPr="00547F68" w:rsidRDefault="007544CA" w:rsidP="00133508">
                  <w:pPr>
                    <w:pStyle w:val="TableBodyText"/>
                    <w:spacing w:after="0"/>
                    <w:ind w:left="0" w:right="57"/>
                  </w:pPr>
                  <w:r w:rsidRPr="00547F68">
                    <w:t>380.3</w:t>
                  </w:r>
                </w:p>
              </w:tc>
              <w:tc>
                <w:tcPr>
                  <w:tcW w:w="501" w:type="pct"/>
                  <w:vAlign w:val="bottom"/>
                </w:tcPr>
                <w:p w:rsidR="007544CA" w:rsidRPr="00547F68" w:rsidRDefault="007544CA" w:rsidP="00133508">
                  <w:pPr>
                    <w:pStyle w:val="TableBodyText"/>
                    <w:spacing w:after="0"/>
                    <w:ind w:left="0" w:right="57"/>
                  </w:pPr>
                  <w:r w:rsidRPr="00547F68">
                    <w:t>45.0</w:t>
                  </w:r>
                </w:p>
              </w:tc>
              <w:tc>
                <w:tcPr>
                  <w:tcW w:w="499" w:type="pct"/>
                  <w:vAlign w:val="bottom"/>
                </w:tcPr>
                <w:p w:rsidR="007544CA" w:rsidRPr="00547F68" w:rsidRDefault="007544CA" w:rsidP="00133508">
                  <w:pPr>
                    <w:pStyle w:val="TableBodyText"/>
                    <w:spacing w:after="0"/>
                    <w:ind w:left="0" w:right="57"/>
                  </w:pPr>
                  <w:r w:rsidRPr="00547F68">
                    <w:t>37.9</w:t>
                  </w:r>
                </w:p>
              </w:tc>
              <w:tc>
                <w:tcPr>
                  <w:tcW w:w="499" w:type="pct"/>
                  <w:shd w:val="clear" w:color="auto" w:fill="auto"/>
                  <w:vAlign w:val="bottom"/>
                </w:tcPr>
                <w:p w:rsidR="007544CA" w:rsidRPr="00547F68" w:rsidRDefault="007544CA" w:rsidP="00133508">
                  <w:pPr>
                    <w:pStyle w:val="TableBodyText"/>
                    <w:spacing w:after="0"/>
                    <w:ind w:left="0" w:right="57"/>
                  </w:pPr>
                  <w:r w:rsidRPr="00547F68">
                    <w:t>30.6</w:t>
                  </w:r>
                </w:p>
              </w:tc>
              <w:tc>
                <w:tcPr>
                  <w:tcW w:w="500" w:type="pct"/>
                  <w:shd w:val="clear" w:color="auto" w:fill="auto"/>
                  <w:vAlign w:val="bottom"/>
                </w:tcPr>
                <w:p w:rsidR="007544CA" w:rsidRPr="00547F68" w:rsidRDefault="007544CA" w:rsidP="00133508">
                  <w:pPr>
                    <w:pStyle w:val="TableBodyText"/>
                    <w:spacing w:after="0"/>
                    <w:ind w:left="0" w:right="57"/>
                  </w:pPr>
                  <w:r w:rsidRPr="00547F68">
                    <w:t>27.7</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Other transport equipment</w:t>
                  </w:r>
                </w:p>
              </w:tc>
              <w:tc>
                <w:tcPr>
                  <w:tcW w:w="501" w:type="pct"/>
                  <w:vAlign w:val="bottom"/>
                </w:tcPr>
                <w:p w:rsidR="007544CA" w:rsidRPr="00547F68" w:rsidRDefault="007544CA" w:rsidP="00133508">
                  <w:pPr>
                    <w:pStyle w:val="TableBodyText"/>
                    <w:spacing w:after="0"/>
                    <w:ind w:left="0" w:right="57"/>
                  </w:pPr>
                  <w:r w:rsidRPr="00547F68">
                    <w:t>11.7</w:t>
                  </w:r>
                </w:p>
              </w:tc>
              <w:tc>
                <w:tcPr>
                  <w:tcW w:w="501" w:type="pct"/>
                  <w:vAlign w:val="bottom"/>
                </w:tcPr>
                <w:p w:rsidR="007544CA" w:rsidRPr="00547F68" w:rsidRDefault="007544CA" w:rsidP="00133508">
                  <w:pPr>
                    <w:pStyle w:val="TableBodyText"/>
                    <w:spacing w:after="0"/>
                    <w:ind w:left="0" w:right="57"/>
                  </w:pPr>
                  <w:r w:rsidRPr="00547F68">
                    <w:t>12.9</w:t>
                  </w:r>
                </w:p>
              </w:tc>
              <w:tc>
                <w:tcPr>
                  <w:tcW w:w="501" w:type="pct"/>
                  <w:vAlign w:val="bottom"/>
                </w:tcPr>
                <w:p w:rsidR="007544CA" w:rsidRPr="00547F68" w:rsidRDefault="007544CA" w:rsidP="00133508">
                  <w:pPr>
                    <w:pStyle w:val="TableBodyText"/>
                    <w:spacing w:after="0"/>
                    <w:ind w:left="0" w:right="57"/>
                  </w:pPr>
                  <w:r w:rsidRPr="00547F68">
                    <w:t>8.6</w:t>
                  </w:r>
                </w:p>
              </w:tc>
              <w:tc>
                <w:tcPr>
                  <w:tcW w:w="499" w:type="pct"/>
                  <w:vAlign w:val="bottom"/>
                </w:tcPr>
                <w:p w:rsidR="007544CA" w:rsidRPr="00547F68" w:rsidRDefault="007544CA" w:rsidP="00133508">
                  <w:pPr>
                    <w:pStyle w:val="TableBodyText"/>
                    <w:spacing w:after="0"/>
                    <w:ind w:left="0" w:right="57"/>
                  </w:pPr>
                  <w:r w:rsidRPr="00547F68">
                    <w:t>7.1</w:t>
                  </w:r>
                </w:p>
              </w:tc>
              <w:tc>
                <w:tcPr>
                  <w:tcW w:w="499" w:type="pct"/>
                  <w:shd w:val="clear" w:color="auto" w:fill="auto"/>
                  <w:vAlign w:val="bottom"/>
                </w:tcPr>
                <w:p w:rsidR="007544CA" w:rsidRPr="00547F68" w:rsidRDefault="007544CA" w:rsidP="00133508">
                  <w:pPr>
                    <w:pStyle w:val="TableBodyText"/>
                    <w:spacing w:after="0"/>
                    <w:ind w:left="0" w:right="57"/>
                  </w:pPr>
                  <w:r w:rsidRPr="00547F68">
                    <w:t>13.9</w:t>
                  </w:r>
                </w:p>
              </w:tc>
              <w:tc>
                <w:tcPr>
                  <w:tcW w:w="500" w:type="pct"/>
                  <w:shd w:val="clear" w:color="auto" w:fill="auto"/>
                  <w:vAlign w:val="bottom"/>
                </w:tcPr>
                <w:p w:rsidR="007544CA" w:rsidRPr="00547F68" w:rsidRDefault="007544CA" w:rsidP="00133508">
                  <w:pPr>
                    <w:pStyle w:val="TableBodyText"/>
                    <w:spacing w:after="0"/>
                    <w:ind w:left="0" w:right="57"/>
                  </w:pPr>
                  <w:r>
                    <w:noBreakHyphen/>
                  </w:r>
                  <w:r w:rsidRPr="00547F68">
                    <w:t>0.1</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Machinery &amp; equipment manufacturing</w:t>
                  </w:r>
                </w:p>
              </w:tc>
              <w:tc>
                <w:tcPr>
                  <w:tcW w:w="501" w:type="pct"/>
                  <w:vAlign w:val="bottom"/>
                </w:tcPr>
                <w:p w:rsidR="007544CA" w:rsidRPr="00547F68" w:rsidRDefault="007544CA" w:rsidP="00133508">
                  <w:pPr>
                    <w:pStyle w:val="TableBodyText"/>
                    <w:spacing w:after="0"/>
                    <w:ind w:left="0" w:right="57"/>
                  </w:pPr>
                  <w:r w:rsidRPr="00547F68">
                    <w:t>85.0</w:t>
                  </w:r>
                </w:p>
              </w:tc>
              <w:tc>
                <w:tcPr>
                  <w:tcW w:w="501" w:type="pct"/>
                  <w:vAlign w:val="bottom"/>
                </w:tcPr>
                <w:p w:rsidR="007544CA" w:rsidRPr="00547F68" w:rsidRDefault="007544CA" w:rsidP="00133508">
                  <w:pPr>
                    <w:pStyle w:val="TableBodyText"/>
                    <w:spacing w:after="0"/>
                    <w:ind w:left="0" w:right="57"/>
                  </w:pPr>
                  <w:r w:rsidRPr="00547F68">
                    <w:t>80.1</w:t>
                  </w:r>
                </w:p>
              </w:tc>
              <w:tc>
                <w:tcPr>
                  <w:tcW w:w="501" w:type="pct"/>
                  <w:vAlign w:val="bottom"/>
                </w:tcPr>
                <w:p w:rsidR="007544CA" w:rsidRPr="00547F68" w:rsidRDefault="007544CA" w:rsidP="00133508">
                  <w:pPr>
                    <w:pStyle w:val="TableBodyText"/>
                    <w:spacing w:after="0"/>
                    <w:ind w:left="0" w:right="57"/>
                  </w:pPr>
                  <w:r w:rsidRPr="00547F68">
                    <w:t>83.0</w:t>
                  </w:r>
                </w:p>
              </w:tc>
              <w:tc>
                <w:tcPr>
                  <w:tcW w:w="499" w:type="pct"/>
                  <w:vAlign w:val="bottom"/>
                </w:tcPr>
                <w:p w:rsidR="007544CA" w:rsidRPr="00547F68" w:rsidRDefault="007544CA" w:rsidP="00133508">
                  <w:pPr>
                    <w:pStyle w:val="TableBodyText"/>
                    <w:spacing w:after="0"/>
                    <w:ind w:left="0" w:right="57"/>
                  </w:pPr>
                  <w:r w:rsidRPr="00547F68">
                    <w:t>93.3</w:t>
                  </w:r>
                </w:p>
              </w:tc>
              <w:tc>
                <w:tcPr>
                  <w:tcW w:w="499" w:type="pct"/>
                  <w:shd w:val="clear" w:color="auto" w:fill="auto"/>
                  <w:vAlign w:val="bottom"/>
                </w:tcPr>
                <w:p w:rsidR="007544CA" w:rsidRPr="00547F68" w:rsidRDefault="007544CA" w:rsidP="00133508">
                  <w:pPr>
                    <w:pStyle w:val="TableBodyText"/>
                    <w:spacing w:after="0"/>
                    <w:ind w:left="0" w:right="57"/>
                  </w:pPr>
                  <w:r w:rsidRPr="00547F68">
                    <w:t>68.5</w:t>
                  </w:r>
                </w:p>
              </w:tc>
              <w:tc>
                <w:tcPr>
                  <w:tcW w:w="500" w:type="pct"/>
                  <w:shd w:val="clear" w:color="auto" w:fill="auto"/>
                  <w:vAlign w:val="bottom"/>
                </w:tcPr>
                <w:p w:rsidR="007544CA" w:rsidRPr="00547F68" w:rsidRDefault="007544CA" w:rsidP="00133508">
                  <w:pPr>
                    <w:pStyle w:val="TableBodyText"/>
                    <w:spacing w:after="0"/>
                    <w:ind w:left="0" w:right="57"/>
                  </w:pPr>
                  <w:r>
                    <w:noBreakHyphen/>
                  </w:r>
                  <w:r w:rsidRPr="00547F68">
                    <w:t>5.6</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Furniture and other manufacturing</w:t>
                  </w:r>
                </w:p>
              </w:tc>
              <w:tc>
                <w:tcPr>
                  <w:tcW w:w="501" w:type="pct"/>
                  <w:vAlign w:val="bottom"/>
                </w:tcPr>
                <w:p w:rsidR="007544CA" w:rsidRPr="00547F68" w:rsidRDefault="007544CA" w:rsidP="00133508">
                  <w:pPr>
                    <w:pStyle w:val="TableBodyText"/>
                    <w:spacing w:after="0"/>
                    <w:ind w:left="0" w:right="57"/>
                  </w:pPr>
                  <w:r w:rsidRPr="00547F68">
                    <w:t>11.0</w:t>
                  </w:r>
                </w:p>
              </w:tc>
              <w:tc>
                <w:tcPr>
                  <w:tcW w:w="501" w:type="pct"/>
                  <w:vAlign w:val="bottom"/>
                </w:tcPr>
                <w:p w:rsidR="007544CA" w:rsidRPr="00547F68" w:rsidRDefault="007544CA" w:rsidP="00133508">
                  <w:pPr>
                    <w:pStyle w:val="TableBodyText"/>
                    <w:spacing w:after="0"/>
                    <w:ind w:left="0" w:right="57"/>
                  </w:pPr>
                  <w:r w:rsidRPr="00547F68">
                    <w:t>7.7</w:t>
                  </w:r>
                </w:p>
              </w:tc>
              <w:tc>
                <w:tcPr>
                  <w:tcW w:w="501" w:type="pct"/>
                  <w:vAlign w:val="bottom"/>
                </w:tcPr>
                <w:p w:rsidR="007544CA" w:rsidRPr="00547F68" w:rsidRDefault="007544CA" w:rsidP="00133508">
                  <w:pPr>
                    <w:pStyle w:val="TableBodyText"/>
                    <w:spacing w:after="0"/>
                    <w:ind w:left="0" w:right="57"/>
                  </w:pPr>
                  <w:r w:rsidRPr="00547F68">
                    <w:t>6.5</w:t>
                  </w:r>
                </w:p>
              </w:tc>
              <w:tc>
                <w:tcPr>
                  <w:tcW w:w="499" w:type="pct"/>
                  <w:vAlign w:val="bottom"/>
                </w:tcPr>
                <w:p w:rsidR="007544CA" w:rsidRPr="00547F68" w:rsidRDefault="007544CA" w:rsidP="00133508">
                  <w:pPr>
                    <w:pStyle w:val="TableBodyText"/>
                    <w:spacing w:after="0"/>
                    <w:ind w:left="0" w:right="57"/>
                  </w:pPr>
                  <w:r w:rsidRPr="00547F68">
                    <w:t>7.5</w:t>
                  </w:r>
                </w:p>
              </w:tc>
              <w:tc>
                <w:tcPr>
                  <w:tcW w:w="499" w:type="pct"/>
                  <w:shd w:val="clear" w:color="auto" w:fill="auto"/>
                  <w:vAlign w:val="bottom"/>
                </w:tcPr>
                <w:p w:rsidR="007544CA" w:rsidRPr="00547F68" w:rsidRDefault="007544CA" w:rsidP="00133508">
                  <w:pPr>
                    <w:pStyle w:val="TableBodyText"/>
                    <w:spacing w:after="0"/>
                    <w:ind w:left="0" w:right="57"/>
                  </w:pPr>
                  <w:r w:rsidRPr="00547F68">
                    <w:t>2.9</w:t>
                  </w:r>
                </w:p>
              </w:tc>
              <w:tc>
                <w:tcPr>
                  <w:tcW w:w="500" w:type="pct"/>
                  <w:shd w:val="clear" w:color="auto" w:fill="auto"/>
                  <w:vAlign w:val="bottom"/>
                </w:tcPr>
                <w:p w:rsidR="007544CA" w:rsidRPr="00547F68" w:rsidRDefault="007544CA" w:rsidP="00133508">
                  <w:pPr>
                    <w:pStyle w:val="TableBodyText"/>
                    <w:spacing w:after="0"/>
                    <w:ind w:left="0" w:right="57"/>
                  </w:pPr>
                  <w:r>
                    <w:noBreakHyphen/>
                  </w:r>
                  <w:r w:rsidRPr="00547F68">
                    <w:t>0.1</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Unallocated manufacturing</w:t>
                  </w:r>
                  <w:r>
                    <w:rPr>
                      <w:rStyle w:val="NoteLabel"/>
                    </w:rPr>
                    <w:t>a</w:t>
                  </w:r>
                </w:p>
              </w:tc>
              <w:tc>
                <w:tcPr>
                  <w:tcW w:w="501" w:type="pct"/>
                  <w:vAlign w:val="bottom"/>
                </w:tcPr>
                <w:p w:rsidR="007544CA" w:rsidRPr="00547F68" w:rsidRDefault="007544CA" w:rsidP="00133508">
                  <w:pPr>
                    <w:pStyle w:val="TableBodyText"/>
                    <w:spacing w:after="0"/>
                    <w:ind w:left="0" w:right="57"/>
                  </w:pPr>
                  <w:r w:rsidRPr="00547F68">
                    <w:t>94.6</w:t>
                  </w:r>
                </w:p>
              </w:tc>
              <w:tc>
                <w:tcPr>
                  <w:tcW w:w="501" w:type="pct"/>
                  <w:vAlign w:val="bottom"/>
                </w:tcPr>
                <w:p w:rsidR="007544CA" w:rsidRPr="00547F68" w:rsidRDefault="007544CA" w:rsidP="00133508">
                  <w:pPr>
                    <w:pStyle w:val="TableBodyText"/>
                    <w:spacing w:after="0"/>
                    <w:ind w:left="0" w:right="57"/>
                  </w:pPr>
                  <w:r w:rsidRPr="00547F68">
                    <w:t>81.6</w:t>
                  </w:r>
                </w:p>
              </w:tc>
              <w:tc>
                <w:tcPr>
                  <w:tcW w:w="501" w:type="pct"/>
                  <w:vAlign w:val="bottom"/>
                </w:tcPr>
                <w:p w:rsidR="007544CA" w:rsidRPr="00547F68" w:rsidRDefault="007544CA" w:rsidP="00133508">
                  <w:pPr>
                    <w:pStyle w:val="TableBodyText"/>
                    <w:spacing w:after="0"/>
                    <w:ind w:left="0" w:right="57"/>
                  </w:pPr>
                  <w:r w:rsidRPr="00547F68">
                    <w:t>67.0</w:t>
                  </w:r>
                </w:p>
              </w:tc>
              <w:tc>
                <w:tcPr>
                  <w:tcW w:w="499" w:type="pct"/>
                  <w:vAlign w:val="bottom"/>
                </w:tcPr>
                <w:p w:rsidR="007544CA" w:rsidRPr="00547F68" w:rsidRDefault="007544CA" w:rsidP="00133508">
                  <w:pPr>
                    <w:pStyle w:val="TableBodyText"/>
                    <w:spacing w:after="0"/>
                    <w:ind w:left="0" w:right="57"/>
                  </w:pPr>
                  <w:r w:rsidRPr="00547F68">
                    <w:t>73.8</w:t>
                  </w:r>
                </w:p>
              </w:tc>
              <w:tc>
                <w:tcPr>
                  <w:tcW w:w="499" w:type="pct"/>
                  <w:shd w:val="clear" w:color="auto" w:fill="auto"/>
                  <w:vAlign w:val="bottom"/>
                </w:tcPr>
                <w:p w:rsidR="007544CA" w:rsidRPr="00547F68" w:rsidRDefault="007544CA" w:rsidP="00133508">
                  <w:pPr>
                    <w:pStyle w:val="TableBodyText"/>
                    <w:spacing w:after="0"/>
                    <w:ind w:left="0" w:right="57"/>
                  </w:pPr>
                  <w:r w:rsidRPr="00547F68">
                    <w:t>67.9</w:t>
                  </w:r>
                </w:p>
              </w:tc>
              <w:tc>
                <w:tcPr>
                  <w:tcW w:w="500" w:type="pct"/>
                  <w:shd w:val="clear" w:color="auto" w:fill="auto"/>
                  <w:vAlign w:val="bottom"/>
                </w:tcPr>
                <w:p w:rsidR="007544CA" w:rsidRPr="00547F68" w:rsidRDefault="007544CA" w:rsidP="00133508">
                  <w:pPr>
                    <w:pStyle w:val="TableBodyText"/>
                    <w:spacing w:after="0"/>
                    <w:ind w:left="0" w:right="57"/>
                  </w:pPr>
                  <w:r w:rsidRPr="00547F68">
                    <w:t>91.4</w:t>
                  </w:r>
                </w:p>
              </w:tc>
            </w:tr>
            <w:tr w:rsidR="007544CA" w:rsidRPr="007E34F5" w:rsidTr="00133508">
              <w:tc>
                <w:tcPr>
                  <w:tcW w:w="1998" w:type="pct"/>
                  <w:shd w:val="clear" w:color="auto" w:fill="auto"/>
                  <w:vAlign w:val="bottom"/>
                </w:tcPr>
                <w:p w:rsidR="007544CA" w:rsidRPr="007E34F5" w:rsidRDefault="007544CA" w:rsidP="00133508">
                  <w:pPr>
                    <w:rPr>
                      <w:rFonts w:ascii="Arial" w:hAnsi="Arial" w:cs="Arial"/>
                      <w:b/>
                      <w:bCs/>
                      <w:sz w:val="18"/>
                      <w:szCs w:val="18"/>
                    </w:rPr>
                  </w:pPr>
                  <w:r w:rsidRPr="007E34F5">
                    <w:rPr>
                      <w:rFonts w:ascii="Arial" w:hAnsi="Arial" w:cs="Arial"/>
                      <w:b/>
                      <w:bCs/>
                      <w:sz w:val="18"/>
                      <w:szCs w:val="18"/>
                    </w:rPr>
                    <w:t>Services</w:t>
                  </w:r>
                </w:p>
              </w:tc>
              <w:tc>
                <w:tcPr>
                  <w:tcW w:w="501" w:type="pct"/>
                  <w:vAlign w:val="bottom"/>
                </w:tcPr>
                <w:p w:rsidR="007544CA" w:rsidRPr="00547F68" w:rsidRDefault="007544CA" w:rsidP="00133508">
                  <w:pPr>
                    <w:pStyle w:val="TableBodyText"/>
                    <w:spacing w:after="0"/>
                    <w:ind w:left="0" w:right="57"/>
                    <w:rPr>
                      <w:b/>
                    </w:rPr>
                  </w:pPr>
                  <w:r w:rsidRPr="00547F68">
                    <w:rPr>
                      <w:b/>
                    </w:rPr>
                    <w:t>3344.9</w:t>
                  </w:r>
                </w:p>
              </w:tc>
              <w:tc>
                <w:tcPr>
                  <w:tcW w:w="501" w:type="pct"/>
                  <w:vAlign w:val="bottom"/>
                </w:tcPr>
                <w:p w:rsidR="007544CA" w:rsidRPr="00547F68" w:rsidRDefault="007544CA" w:rsidP="00133508">
                  <w:pPr>
                    <w:pStyle w:val="TableBodyText"/>
                    <w:spacing w:after="0"/>
                    <w:ind w:left="0" w:right="57"/>
                    <w:rPr>
                      <w:b/>
                    </w:rPr>
                  </w:pPr>
                  <w:r w:rsidRPr="00547F68">
                    <w:rPr>
                      <w:b/>
                    </w:rPr>
                    <w:t>3335.6</w:t>
                  </w:r>
                </w:p>
              </w:tc>
              <w:tc>
                <w:tcPr>
                  <w:tcW w:w="501" w:type="pct"/>
                  <w:vAlign w:val="bottom"/>
                </w:tcPr>
                <w:p w:rsidR="007544CA" w:rsidRPr="00547F68" w:rsidRDefault="007544CA" w:rsidP="00133508">
                  <w:pPr>
                    <w:pStyle w:val="TableBodyText"/>
                    <w:spacing w:after="0"/>
                    <w:ind w:left="0" w:right="57"/>
                    <w:rPr>
                      <w:b/>
                    </w:rPr>
                  </w:pPr>
                  <w:r w:rsidRPr="00547F68">
                    <w:rPr>
                      <w:b/>
                    </w:rPr>
                    <w:t>2835.4</w:t>
                  </w:r>
                </w:p>
              </w:tc>
              <w:tc>
                <w:tcPr>
                  <w:tcW w:w="499" w:type="pct"/>
                  <w:vAlign w:val="bottom"/>
                </w:tcPr>
                <w:p w:rsidR="007544CA" w:rsidRPr="00547F68" w:rsidRDefault="007544CA" w:rsidP="00133508">
                  <w:pPr>
                    <w:pStyle w:val="TableBodyText"/>
                    <w:spacing w:after="0"/>
                    <w:ind w:left="0" w:right="57"/>
                    <w:rPr>
                      <w:b/>
                    </w:rPr>
                  </w:pPr>
                  <w:r w:rsidRPr="00547F68">
                    <w:rPr>
                      <w:b/>
                    </w:rPr>
                    <w:t>2522.9</w:t>
                  </w:r>
                </w:p>
              </w:tc>
              <w:tc>
                <w:tcPr>
                  <w:tcW w:w="499" w:type="pct"/>
                  <w:shd w:val="clear" w:color="auto" w:fill="auto"/>
                  <w:vAlign w:val="bottom"/>
                </w:tcPr>
                <w:p w:rsidR="007544CA" w:rsidRPr="00547F68" w:rsidRDefault="007544CA" w:rsidP="00133508">
                  <w:pPr>
                    <w:pStyle w:val="TableBodyText"/>
                    <w:spacing w:after="0"/>
                    <w:ind w:left="0" w:right="57"/>
                    <w:rPr>
                      <w:b/>
                    </w:rPr>
                  </w:pPr>
                  <w:r w:rsidRPr="00547F68">
                    <w:rPr>
                      <w:b/>
                    </w:rPr>
                    <w:t>2079.9</w:t>
                  </w:r>
                </w:p>
              </w:tc>
              <w:tc>
                <w:tcPr>
                  <w:tcW w:w="500" w:type="pct"/>
                  <w:shd w:val="clear" w:color="auto" w:fill="auto"/>
                  <w:vAlign w:val="bottom"/>
                </w:tcPr>
                <w:p w:rsidR="007544CA" w:rsidRPr="00547F68" w:rsidRDefault="007544CA" w:rsidP="00133508">
                  <w:pPr>
                    <w:pStyle w:val="TableBodyText"/>
                    <w:spacing w:after="0"/>
                    <w:ind w:left="0" w:right="57"/>
                    <w:rPr>
                      <w:b/>
                    </w:rPr>
                  </w:pPr>
                  <w:r w:rsidRPr="00547F68">
                    <w:rPr>
                      <w:b/>
                    </w:rPr>
                    <w:t>1677.1</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Electricity, gas, water &amp; waste services</w:t>
                  </w:r>
                </w:p>
              </w:tc>
              <w:tc>
                <w:tcPr>
                  <w:tcW w:w="501" w:type="pct"/>
                  <w:vAlign w:val="bottom"/>
                </w:tcPr>
                <w:p w:rsidR="007544CA" w:rsidRPr="00547F68" w:rsidRDefault="007544CA" w:rsidP="00133508">
                  <w:pPr>
                    <w:pStyle w:val="TableBodyText"/>
                    <w:spacing w:after="0"/>
                    <w:ind w:left="0" w:right="57"/>
                  </w:pPr>
                  <w:r w:rsidRPr="00547F68">
                    <w:t>54.5</w:t>
                  </w:r>
                </w:p>
              </w:tc>
              <w:tc>
                <w:tcPr>
                  <w:tcW w:w="501" w:type="pct"/>
                  <w:vAlign w:val="bottom"/>
                </w:tcPr>
                <w:p w:rsidR="007544CA" w:rsidRPr="00547F68" w:rsidRDefault="007544CA" w:rsidP="00133508">
                  <w:pPr>
                    <w:pStyle w:val="TableBodyText"/>
                    <w:spacing w:after="0"/>
                    <w:ind w:left="0" w:right="57"/>
                  </w:pPr>
                  <w:r w:rsidRPr="00547F68">
                    <w:t>388.6</w:t>
                  </w:r>
                </w:p>
              </w:tc>
              <w:tc>
                <w:tcPr>
                  <w:tcW w:w="501" w:type="pct"/>
                  <w:vAlign w:val="bottom"/>
                </w:tcPr>
                <w:p w:rsidR="007544CA" w:rsidRPr="00547F68" w:rsidRDefault="007544CA" w:rsidP="00133508">
                  <w:pPr>
                    <w:pStyle w:val="TableBodyText"/>
                    <w:spacing w:after="0"/>
                    <w:ind w:left="0" w:right="57"/>
                  </w:pPr>
                  <w:r w:rsidRPr="00547F68">
                    <w:t>33.9</w:t>
                  </w:r>
                </w:p>
              </w:tc>
              <w:tc>
                <w:tcPr>
                  <w:tcW w:w="499" w:type="pct"/>
                  <w:vAlign w:val="bottom"/>
                </w:tcPr>
                <w:p w:rsidR="007544CA" w:rsidRPr="00547F68" w:rsidRDefault="007544CA" w:rsidP="00133508">
                  <w:pPr>
                    <w:pStyle w:val="TableBodyText"/>
                    <w:spacing w:after="0"/>
                    <w:ind w:left="0" w:right="57"/>
                  </w:pPr>
                  <w:r w:rsidRPr="00547F68">
                    <w:t>30.8</w:t>
                  </w:r>
                </w:p>
              </w:tc>
              <w:tc>
                <w:tcPr>
                  <w:tcW w:w="499" w:type="pct"/>
                  <w:shd w:val="clear" w:color="auto" w:fill="auto"/>
                  <w:vAlign w:val="bottom"/>
                </w:tcPr>
                <w:p w:rsidR="007544CA" w:rsidRPr="00547F68" w:rsidRDefault="007544CA" w:rsidP="00133508">
                  <w:pPr>
                    <w:pStyle w:val="TableBodyText"/>
                    <w:spacing w:after="0"/>
                    <w:ind w:left="0" w:right="57"/>
                  </w:pPr>
                  <w:r w:rsidRPr="00547F68">
                    <w:t>16.3</w:t>
                  </w:r>
                </w:p>
              </w:tc>
              <w:tc>
                <w:tcPr>
                  <w:tcW w:w="500" w:type="pct"/>
                  <w:shd w:val="clear" w:color="auto" w:fill="auto"/>
                  <w:vAlign w:val="bottom"/>
                </w:tcPr>
                <w:p w:rsidR="007544CA" w:rsidRPr="00547F68" w:rsidRDefault="007544CA" w:rsidP="00133508">
                  <w:pPr>
                    <w:pStyle w:val="TableBodyText"/>
                    <w:spacing w:after="0"/>
                    <w:ind w:left="0" w:right="57"/>
                  </w:pPr>
                  <w:r w:rsidRPr="00547F68">
                    <w:t>13.6</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Construction</w:t>
                  </w:r>
                </w:p>
              </w:tc>
              <w:tc>
                <w:tcPr>
                  <w:tcW w:w="501" w:type="pct"/>
                  <w:vAlign w:val="bottom"/>
                </w:tcPr>
                <w:p w:rsidR="007544CA" w:rsidRPr="00547F68" w:rsidRDefault="007544CA" w:rsidP="00133508">
                  <w:pPr>
                    <w:pStyle w:val="TableBodyText"/>
                    <w:spacing w:after="0"/>
                    <w:ind w:left="0" w:right="57"/>
                  </w:pPr>
                  <w:r w:rsidRPr="00547F68">
                    <w:t>278.1</w:t>
                  </w:r>
                </w:p>
              </w:tc>
              <w:tc>
                <w:tcPr>
                  <w:tcW w:w="501" w:type="pct"/>
                  <w:vAlign w:val="bottom"/>
                </w:tcPr>
                <w:p w:rsidR="007544CA" w:rsidRPr="00547F68" w:rsidRDefault="007544CA" w:rsidP="00133508">
                  <w:pPr>
                    <w:pStyle w:val="TableBodyText"/>
                    <w:spacing w:after="0"/>
                    <w:ind w:left="0" w:right="57"/>
                  </w:pPr>
                  <w:r w:rsidRPr="00547F68">
                    <w:t>193.9</w:t>
                  </w:r>
                </w:p>
              </w:tc>
              <w:tc>
                <w:tcPr>
                  <w:tcW w:w="501" w:type="pct"/>
                  <w:vAlign w:val="bottom"/>
                </w:tcPr>
                <w:p w:rsidR="007544CA" w:rsidRPr="00547F68" w:rsidRDefault="007544CA" w:rsidP="00133508">
                  <w:pPr>
                    <w:pStyle w:val="TableBodyText"/>
                    <w:spacing w:after="0"/>
                    <w:ind w:left="0" w:right="57"/>
                  </w:pPr>
                  <w:r w:rsidRPr="00547F68">
                    <w:t>192.3</w:t>
                  </w:r>
                </w:p>
              </w:tc>
              <w:tc>
                <w:tcPr>
                  <w:tcW w:w="499" w:type="pct"/>
                  <w:vAlign w:val="bottom"/>
                </w:tcPr>
                <w:p w:rsidR="007544CA" w:rsidRPr="00547F68" w:rsidRDefault="007544CA" w:rsidP="00133508">
                  <w:pPr>
                    <w:pStyle w:val="TableBodyText"/>
                    <w:spacing w:after="0"/>
                    <w:ind w:left="0" w:right="57"/>
                  </w:pPr>
                  <w:r w:rsidRPr="00547F68">
                    <w:t>133.4</w:t>
                  </w:r>
                </w:p>
              </w:tc>
              <w:tc>
                <w:tcPr>
                  <w:tcW w:w="499" w:type="pct"/>
                  <w:shd w:val="clear" w:color="auto" w:fill="auto"/>
                  <w:vAlign w:val="bottom"/>
                </w:tcPr>
                <w:p w:rsidR="007544CA" w:rsidRPr="00547F68" w:rsidRDefault="007544CA" w:rsidP="00133508">
                  <w:pPr>
                    <w:pStyle w:val="TableBodyText"/>
                    <w:spacing w:after="0"/>
                    <w:ind w:left="0" w:right="57"/>
                  </w:pPr>
                  <w:r w:rsidRPr="00547F68">
                    <w:t>115.6</w:t>
                  </w:r>
                </w:p>
              </w:tc>
              <w:tc>
                <w:tcPr>
                  <w:tcW w:w="500" w:type="pct"/>
                  <w:shd w:val="clear" w:color="auto" w:fill="auto"/>
                  <w:vAlign w:val="bottom"/>
                </w:tcPr>
                <w:p w:rsidR="007544CA" w:rsidRPr="00547F68" w:rsidRDefault="007544CA" w:rsidP="00133508">
                  <w:pPr>
                    <w:pStyle w:val="TableBodyText"/>
                    <w:spacing w:after="0"/>
                    <w:ind w:left="0" w:right="57"/>
                  </w:pPr>
                  <w:r w:rsidRPr="00547F68">
                    <w:t>34.0</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Wholesale trade</w:t>
                  </w:r>
                </w:p>
              </w:tc>
              <w:tc>
                <w:tcPr>
                  <w:tcW w:w="501" w:type="pct"/>
                  <w:vAlign w:val="bottom"/>
                </w:tcPr>
                <w:p w:rsidR="007544CA" w:rsidRPr="00547F68" w:rsidRDefault="007544CA" w:rsidP="00133508">
                  <w:pPr>
                    <w:pStyle w:val="TableBodyText"/>
                    <w:spacing w:after="0"/>
                    <w:ind w:left="0" w:right="57"/>
                  </w:pPr>
                  <w:r w:rsidRPr="00547F68">
                    <w:t>270.0</w:t>
                  </w:r>
                </w:p>
              </w:tc>
              <w:tc>
                <w:tcPr>
                  <w:tcW w:w="501" w:type="pct"/>
                  <w:vAlign w:val="bottom"/>
                </w:tcPr>
                <w:p w:rsidR="007544CA" w:rsidRPr="00547F68" w:rsidRDefault="007544CA" w:rsidP="00133508">
                  <w:pPr>
                    <w:pStyle w:val="TableBodyText"/>
                    <w:spacing w:after="0"/>
                    <w:ind w:left="0" w:right="57"/>
                  </w:pPr>
                  <w:r w:rsidRPr="00547F68">
                    <w:t>404.1</w:t>
                  </w:r>
                </w:p>
              </w:tc>
              <w:tc>
                <w:tcPr>
                  <w:tcW w:w="501" w:type="pct"/>
                  <w:vAlign w:val="bottom"/>
                </w:tcPr>
                <w:p w:rsidR="007544CA" w:rsidRPr="00547F68" w:rsidRDefault="007544CA" w:rsidP="00133508">
                  <w:pPr>
                    <w:pStyle w:val="TableBodyText"/>
                    <w:spacing w:after="0"/>
                    <w:ind w:left="0" w:right="57"/>
                  </w:pPr>
                  <w:r w:rsidRPr="00547F68">
                    <w:t>246.9</w:t>
                  </w:r>
                </w:p>
              </w:tc>
              <w:tc>
                <w:tcPr>
                  <w:tcW w:w="499" w:type="pct"/>
                  <w:vAlign w:val="bottom"/>
                </w:tcPr>
                <w:p w:rsidR="007544CA" w:rsidRPr="00547F68" w:rsidRDefault="007544CA" w:rsidP="00133508">
                  <w:pPr>
                    <w:pStyle w:val="TableBodyText"/>
                    <w:spacing w:after="0"/>
                    <w:ind w:left="0" w:right="57"/>
                  </w:pPr>
                  <w:r w:rsidRPr="00547F68">
                    <w:t>180.0</w:t>
                  </w:r>
                </w:p>
              </w:tc>
              <w:tc>
                <w:tcPr>
                  <w:tcW w:w="499" w:type="pct"/>
                  <w:shd w:val="clear" w:color="auto" w:fill="auto"/>
                  <w:vAlign w:val="bottom"/>
                </w:tcPr>
                <w:p w:rsidR="007544CA" w:rsidRPr="00547F68" w:rsidRDefault="007544CA" w:rsidP="00133508">
                  <w:pPr>
                    <w:pStyle w:val="TableBodyText"/>
                    <w:spacing w:after="0"/>
                    <w:ind w:left="0" w:right="57"/>
                  </w:pPr>
                  <w:r w:rsidRPr="00547F68">
                    <w:t>137.4</w:t>
                  </w:r>
                </w:p>
              </w:tc>
              <w:tc>
                <w:tcPr>
                  <w:tcW w:w="500" w:type="pct"/>
                  <w:shd w:val="clear" w:color="auto" w:fill="auto"/>
                  <w:vAlign w:val="bottom"/>
                </w:tcPr>
                <w:p w:rsidR="007544CA" w:rsidRPr="00547F68" w:rsidRDefault="007544CA" w:rsidP="00133508">
                  <w:pPr>
                    <w:pStyle w:val="TableBodyText"/>
                    <w:spacing w:after="0"/>
                    <w:ind w:left="0" w:right="57"/>
                  </w:pPr>
                  <w:r w:rsidRPr="00547F68">
                    <w:t>76.7</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Retail trade</w:t>
                  </w:r>
                </w:p>
              </w:tc>
              <w:tc>
                <w:tcPr>
                  <w:tcW w:w="501" w:type="pct"/>
                  <w:vAlign w:val="bottom"/>
                </w:tcPr>
                <w:p w:rsidR="007544CA" w:rsidRPr="00547F68" w:rsidRDefault="007544CA" w:rsidP="00133508">
                  <w:pPr>
                    <w:pStyle w:val="TableBodyText"/>
                    <w:spacing w:after="0"/>
                    <w:ind w:left="0" w:right="57"/>
                  </w:pPr>
                  <w:r w:rsidRPr="00547F68">
                    <w:t>180.6</w:t>
                  </w:r>
                </w:p>
              </w:tc>
              <w:tc>
                <w:tcPr>
                  <w:tcW w:w="501" w:type="pct"/>
                  <w:vAlign w:val="bottom"/>
                </w:tcPr>
                <w:p w:rsidR="007544CA" w:rsidRPr="00547F68" w:rsidRDefault="007544CA" w:rsidP="00133508">
                  <w:pPr>
                    <w:pStyle w:val="TableBodyText"/>
                    <w:spacing w:after="0"/>
                    <w:ind w:left="0" w:right="57"/>
                  </w:pPr>
                  <w:r w:rsidRPr="00547F68">
                    <w:t>144.8</w:t>
                  </w:r>
                </w:p>
              </w:tc>
              <w:tc>
                <w:tcPr>
                  <w:tcW w:w="501" w:type="pct"/>
                  <w:vAlign w:val="bottom"/>
                </w:tcPr>
                <w:p w:rsidR="007544CA" w:rsidRPr="00547F68" w:rsidRDefault="007544CA" w:rsidP="00133508">
                  <w:pPr>
                    <w:pStyle w:val="TableBodyText"/>
                    <w:spacing w:after="0"/>
                    <w:ind w:left="0" w:right="57"/>
                  </w:pPr>
                  <w:r w:rsidRPr="00547F68">
                    <w:t>104.1</w:t>
                  </w:r>
                </w:p>
              </w:tc>
              <w:tc>
                <w:tcPr>
                  <w:tcW w:w="499" w:type="pct"/>
                  <w:vAlign w:val="bottom"/>
                </w:tcPr>
                <w:p w:rsidR="007544CA" w:rsidRPr="00547F68" w:rsidRDefault="007544CA" w:rsidP="00133508">
                  <w:pPr>
                    <w:pStyle w:val="TableBodyText"/>
                    <w:spacing w:after="0"/>
                    <w:ind w:left="0" w:right="57"/>
                  </w:pPr>
                  <w:r w:rsidRPr="00547F68">
                    <w:t>90.6</w:t>
                  </w:r>
                </w:p>
              </w:tc>
              <w:tc>
                <w:tcPr>
                  <w:tcW w:w="499" w:type="pct"/>
                  <w:shd w:val="clear" w:color="auto" w:fill="auto"/>
                  <w:vAlign w:val="bottom"/>
                </w:tcPr>
                <w:p w:rsidR="007544CA" w:rsidRPr="00547F68" w:rsidRDefault="007544CA" w:rsidP="00133508">
                  <w:pPr>
                    <w:pStyle w:val="TableBodyText"/>
                    <w:spacing w:after="0"/>
                    <w:ind w:left="0" w:right="57"/>
                  </w:pPr>
                  <w:r w:rsidRPr="00547F68">
                    <w:t>88.3</w:t>
                  </w:r>
                </w:p>
              </w:tc>
              <w:tc>
                <w:tcPr>
                  <w:tcW w:w="500" w:type="pct"/>
                  <w:shd w:val="clear" w:color="auto" w:fill="auto"/>
                  <w:vAlign w:val="bottom"/>
                </w:tcPr>
                <w:p w:rsidR="007544CA" w:rsidRPr="00547F68" w:rsidRDefault="007544CA" w:rsidP="00133508">
                  <w:pPr>
                    <w:pStyle w:val="TableBodyText"/>
                    <w:spacing w:after="0"/>
                    <w:ind w:left="0" w:right="57"/>
                  </w:pPr>
                  <w:r w:rsidRPr="00547F68">
                    <w:t>67.0</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Accommodation &amp; food services</w:t>
                  </w:r>
                </w:p>
              </w:tc>
              <w:tc>
                <w:tcPr>
                  <w:tcW w:w="501" w:type="pct"/>
                  <w:vAlign w:val="bottom"/>
                </w:tcPr>
                <w:p w:rsidR="007544CA" w:rsidRPr="00547F68" w:rsidRDefault="007544CA" w:rsidP="00133508">
                  <w:pPr>
                    <w:pStyle w:val="TableBodyText"/>
                    <w:spacing w:after="0"/>
                    <w:ind w:left="0" w:right="57"/>
                  </w:pPr>
                  <w:r w:rsidRPr="00547F68">
                    <w:t>77.8</w:t>
                  </w:r>
                </w:p>
              </w:tc>
              <w:tc>
                <w:tcPr>
                  <w:tcW w:w="501" w:type="pct"/>
                  <w:vAlign w:val="bottom"/>
                </w:tcPr>
                <w:p w:rsidR="007544CA" w:rsidRPr="00547F68" w:rsidRDefault="007544CA" w:rsidP="00133508">
                  <w:pPr>
                    <w:pStyle w:val="TableBodyText"/>
                    <w:spacing w:after="0"/>
                    <w:ind w:left="0" w:right="57"/>
                  </w:pPr>
                  <w:r w:rsidRPr="00547F68">
                    <w:t>65.7</w:t>
                  </w:r>
                </w:p>
              </w:tc>
              <w:tc>
                <w:tcPr>
                  <w:tcW w:w="501" w:type="pct"/>
                  <w:vAlign w:val="bottom"/>
                </w:tcPr>
                <w:p w:rsidR="007544CA" w:rsidRPr="00547F68" w:rsidRDefault="007544CA" w:rsidP="00133508">
                  <w:pPr>
                    <w:pStyle w:val="TableBodyText"/>
                    <w:spacing w:after="0"/>
                    <w:ind w:left="0" w:right="57"/>
                  </w:pPr>
                  <w:r w:rsidRPr="00547F68">
                    <w:t>63.2</w:t>
                  </w:r>
                </w:p>
              </w:tc>
              <w:tc>
                <w:tcPr>
                  <w:tcW w:w="499" w:type="pct"/>
                  <w:vAlign w:val="bottom"/>
                </w:tcPr>
                <w:p w:rsidR="007544CA" w:rsidRPr="00547F68" w:rsidRDefault="007544CA" w:rsidP="00133508">
                  <w:pPr>
                    <w:pStyle w:val="TableBodyText"/>
                    <w:spacing w:after="0"/>
                    <w:ind w:left="0" w:right="57"/>
                  </w:pPr>
                  <w:r w:rsidRPr="00547F68">
                    <w:t>60.7</w:t>
                  </w:r>
                </w:p>
              </w:tc>
              <w:tc>
                <w:tcPr>
                  <w:tcW w:w="499" w:type="pct"/>
                  <w:shd w:val="clear" w:color="auto" w:fill="auto"/>
                  <w:vAlign w:val="bottom"/>
                </w:tcPr>
                <w:p w:rsidR="007544CA" w:rsidRPr="00547F68" w:rsidRDefault="007544CA" w:rsidP="00133508">
                  <w:pPr>
                    <w:pStyle w:val="TableBodyText"/>
                    <w:spacing w:after="0"/>
                    <w:ind w:left="0" w:right="57"/>
                  </w:pPr>
                  <w:r w:rsidRPr="00547F68">
                    <w:t>70.9</w:t>
                  </w:r>
                </w:p>
              </w:tc>
              <w:tc>
                <w:tcPr>
                  <w:tcW w:w="500" w:type="pct"/>
                  <w:shd w:val="clear" w:color="auto" w:fill="auto"/>
                  <w:vAlign w:val="bottom"/>
                </w:tcPr>
                <w:p w:rsidR="007544CA" w:rsidRPr="00547F68" w:rsidRDefault="007544CA" w:rsidP="00133508">
                  <w:pPr>
                    <w:pStyle w:val="TableBodyText"/>
                    <w:spacing w:after="0"/>
                    <w:ind w:left="0" w:right="57"/>
                  </w:pPr>
                  <w:r w:rsidRPr="00547F68">
                    <w:t>66.7</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Transport, postal &amp; warehousing</w:t>
                  </w:r>
                </w:p>
              </w:tc>
              <w:tc>
                <w:tcPr>
                  <w:tcW w:w="501" w:type="pct"/>
                  <w:vAlign w:val="bottom"/>
                </w:tcPr>
                <w:p w:rsidR="007544CA" w:rsidRPr="00547F68" w:rsidRDefault="007544CA" w:rsidP="00133508">
                  <w:pPr>
                    <w:pStyle w:val="TableBodyText"/>
                    <w:spacing w:after="0"/>
                    <w:ind w:left="0" w:right="57"/>
                  </w:pPr>
                  <w:r w:rsidRPr="00547F68">
                    <w:t>219.3</w:t>
                  </w:r>
                </w:p>
              </w:tc>
              <w:tc>
                <w:tcPr>
                  <w:tcW w:w="501" w:type="pct"/>
                  <w:vAlign w:val="bottom"/>
                </w:tcPr>
                <w:p w:rsidR="007544CA" w:rsidRPr="00547F68" w:rsidRDefault="007544CA" w:rsidP="00133508">
                  <w:pPr>
                    <w:pStyle w:val="TableBodyText"/>
                    <w:spacing w:after="0"/>
                    <w:ind w:left="0" w:right="57"/>
                  </w:pPr>
                  <w:r w:rsidRPr="00547F68">
                    <w:t>214.2</w:t>
                  </w:r>
                </w:p>
              </w:tc>
              <w:tc>
                <w:tcPr>
                  <w:tcW w:w="501" w:type="pct"/>
                  <w:vAlign w:val="bottom"/>
                </w:tcPr>
                <w:p w:rsidR="007544CA" w:rsidRPr="00547F68" w:rsidRDefault="007544CA" w:rsidP="00133508">
                  <w:pPr>
                    <w:pStyle w:val="TableBodyText"/>
                    <w:spacing w:after="0"/>
                    <w:ind w:left="0" w:right="57"/>
                  </w:pPr>
                  <w:r w:rsidRPr="00547F68">
                    <w:t>187.8</w:t>
                  </w:r>
                </w:p>
              </w:tc>
              <w:tc>
                <w:tcPr>
                  <w:tcW w:w="499" w:type="pct"/>
                  <w:vAlign w:val="bottom"/>
                </w:tcPr>
                <w:p w:rsidR="007544CA" w:rsidRPr="00547F68" w:rsidRDefault="007544CA" w:rsidP="00133508">
                  <w:pPr>
                    <w:pStyle w:val="TableBodyText"/>
                    <w:spacing w:after="0"/>
                    <w:ind w:left="0" w:right="57"/>
                  </w:pPr>
                  <w:r w:rsidRPr="00547F68">
                    <w:t>127.8</w:t>
                  </w:r>
                </w:p>
              </w:tc>
              <w:tc>
                <w:tcPr>
                  <w:tcW w:w="499" w:type="pct"/>
                  <w:shd w:val="clear" w:color="auto" w:fill="auto"/>
                  <w:vAlign w:val="bottom"/>
                </w:tcPr>
                <w:p w:rsidR="007544CA" w:rsidRPr="00547F68" w:rsidRDefault="007544CA" w:rsidP="00133508">
                  <w:pPr>
                    <w:pStyle w:val="TableBodyText"/>
                    <w:spacing w:after="0"/>
                    <w:ind w:left="0" w:right="57"/>
                  </w:pPr>
                  <w:r w:rsidRPr="00547F68">
                    <w:t>60.4</w:t>
                  </w:r>
                </w:p>
              </w:tc>
              <w:tc>
                <w:tcPr>
                  <w:tcW w:w="500" w:type="pct"/>
                  <w:shd w:val="clear" w:color="auto" w:fill="auto"/>
                  <w:vAlign w:val="bottom"/>
                </w:tcPr>
                <w:p w:rsidR="007544CA" w:rsidRPr="00547F68" w:rsidRDefault="007544CA" w:rsidP="00133508">
                  <w:pPr>
                    <w:pStyle w:val="TableBodyText"/>
                    <w:spacing w:after="0"/>
                    <w:ind w:left="0" w:right="57"/>
                  </w:pPr>
                  <w:r w:rsidRPr="00547F68">
                    <w:t>34.4</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Information &amp; telecommunications</w:t>
                  </w:r>
                </w:p>
              </w:tc>
              <w:tc>
                <w:tcPr>
                  <w:tcW w:w="501" w:type="pct"/>
                  <w:vAlign w:val="bottom"/>
                </w:tcPr>
                <w:p w:rsidR="007544CA" w:rsidRPr="00547F68" w:rsidRDefault="007544CA" w:rsidP="00133508">
                  <w:pPr>
                    <w:pStyle w:val="TableBodyText"/>
                    <w:spacing w:after="0"/>
                    <w:ind w:left="0" w:right="57"/>
                  </w:pPr>
                  <w:r w:rsidRPr="00547F68">
                    <w:t>98.0</w:t>
                  </w:r>
                </w:p>
              </w:tc>
              <w:tc>
                <w:tcPr>
                  <w:tcW w:w="501" w:type="pct"/>
                  <w:vAlign w:val="bottom"/>
                </w:tcPr>
                <w:p w:rsidR="007544CA" w:rsidRPr="00547F68" w:rsidRDefault="007544CA" w:rsidP="00133508">
                  <w:pPr>
                    <w:pStyle w:val="TableBodyText"/>
                    <w:spacing w:after="0"/>
                    <w:ind w:left="0" w:right="57"/>
                  </w:pPr>
                  <w:r w:rsidRPr="00547F68">
                    <w:t>166.3</w:t>
                  </w:r>
                </w:p>
              </w:tc>
              <w:tc>
                <w:tcPr>
                  <w:tcW w:w="501" w:type="pct"/>
                  <w:vAlign w:val="bottom"/>
                </w:tcPr>
                <w:p w:rsidR="007544CA" w:rsidRPr="00547F68" w:rsidRDefault="007544CA" w:rsidP="00133508">
                  <w:pPr>
                    <w:pStyle w:val="TableBodyText"/>
                    <w:spacing w:after="0"/>
                    <w:ind w:left="0" w:right="57"/>
                  </w:pPr>
                  <w:r w:rsidRPr="00547F68">
                    <w:t>205.5</w:t>
                  </w:r>
                </w:p>
              </w:tc>
              <w:tc>
                <w:tcPr>
                  <w:tcW w:w="499" w:type="pct"/>
                  <w:vAlign w:val="bottom"/>
                </w:tcPr>
                <w:p w:rsidR="007544CA" w:rsidRPr="00547F68" w:rsidRDefault="007544CA" w:rsidP="00133508">
                  <w:pPr>
                    <w:pStyle w:val="TableBodyText"/>
                    <w:spacing w:after="0"/>
                    <w:ind w:left="0" w:right="57"/>
                  </w:pPr>
                  <w:r w:rsidRPr="00547F68">
                    <w:t>246.6</w:t>
                  </w:r>
                </w:p>
              </w:tc>
              <w:tc>
                <w:tcPr>
                  <w:tcW w:w="499" w:type="pct"/>
                  <w:shd w:val="clear" w:color="auto" w:fill="auto"/>
                  <w:vAlign w:val="bottom"/>
                </w:tcPr>
                <w:p w:rsidR="007544CA" w:rsidRPr="00547F68" w:rsidRDefault="007544CA" w:rsidP="00133508">
                  <w:pPr>
                    <w:pStyle w:val="TableBodyText"/>
                    <w:spacing w:after="0"/>
                    <w:ind w:left="0" w:right="57"/>
                  </w:pPr>
                  <w:r w:rsidRPr="00547F68">
                    <w:t>48.8</w:t>
                  </w:r>
                </w:p>
              </w:tc>
              <w:tc>
                <w:tcPr>
                  <w:tcW w:w="500" w:type="pct"/>
                  <w:shd w:val="clear" w:color="auto" w:fill="auto"/>
                  <w:vAlign w:val="bottom"/>
                </w:tcPr>
                <w:p w:rsidR="007544CA" w:rsidRPr="00547F68" w:rsidRDefault="007544CA" w:rsidP="00133508">
                  <w:pPr>
                    <w:pStyle w:val="TableBodyText"/>
                    <w:spacing w:after="0"/>
                    <w:ind w:left="0" w:right="57"/>
                  </w:pPr>
                  <w:r w:rsidRPr="00547F68">
                    <w:t>5.5</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Financial and insurance services</w:t>
                  </w:r>
                </w:p>
              </w:tc>
              <w:tc>
                <w:tcPr>
                  <w:tcW w:w="501" w:type="pct"/>
                  <w:vAlign w:val="bottom"/>
                </w:tcPr>
                <w:p w:rsidR="007544CA" w:rsidRPr="00547F68" w:rsidRDefault="007544CA" w:rsidP="00133508">
                  <w:pPr>
                    <w:pStyle w:val="TableBodyText"/>
                    <w:spacing w:after="0"/>
                    <w:ind w:left="0" w:right="57"/>
                  </w:pPr>
                  <w:r w:rsidRPr="00547F68">
                    <w:t>941.4</w:t>
                  </w:r>
                </w:p>
              </w:tc>
              <w:tc>
                <w:tcPr>
                  <w:tcW w:w="501" w:type="pct"/>
                  <w:vAlign w:val="bottom"/>
                </w:tcPr>
                <w:p w:rsidR="007544CA" w:rsidRPr="00547F68" w:rsidRDefault="007544CA" w:rsidP="00133508">
                  <w:pPr>
                    <w:pStyle w:val="TableBodyText"/>
                    <w:spacing w:after="0"/>
                    <w:ind w:left="0" w:right="57"/>
                  </w:pPr>
                  <w:r w:rsidRPr="00547F68">
                    <w:t>780.9</w:t>
                  </w:r>
                </w:p>
              </w:tc>
              <w:tc>
                <w:tcPr>
                  <w:tcW w:w="501" w:type="pct"/>
                  <w:vAlign w:val="bottom"/>
                </w:tcPr>
                <w:p w:rsidR="007544CA" w:rsidRPr="00547F68" w:rsidRDefault="007544CA" w:rsidP="00133508">
                  <w:pPr>
                    <w:pStyle w:val="TableBodyText"/>
                    <w:spacing w:after="0"/>
                    <w:ind w:left="0" w:right="57"/>
                  </w:pPr>
                  <w:r w:rsidRPr="00547F68">
                    <w:t>899.1</w:t>
                  </w:r>
                </w:p>
              </w:tc>
              <w:tc>
                <w:tcPr>
                  <w:tcW w:w="499" w:type="pct"/>
                  <w:vAlign w:val="bottom"/>
                </w:tcPr>
                <w:p w:rsidR="007544CA" w:rsidRPr="00547F68" w:rsidRDefault="007544CA" w:rsidP="00133508">
                  <w:pPr>
                    <w:pStyle w:val="TableBodyText"/>
                    <w:spacing w:after="0"/>
                    <w:ind w:left="0" w:right="57"/>
                  </w:pPr>
                  <w:r w:rsidRPr="00547F68">
                    <w:t>810.6</w:t>
                  </w:r>
                </w:p>
              </w:tc>
              <w:tc>
                <w:tcPr>
                  <w:tcW w:w="499" w:type="pct"/>
                  <w:shd w:val="clear" w:color="auto" w:fill="auto"/>
                  <w:vAlign w:val="bottom"/>
                </w:tcPr>
                <w:p w:rsidR="007544CA" w:rsidRPr="00547F68" w:rsidRDefault="007544CA" w:rsidP="00133508">
                  <w:pPr>
                    <w:pStyle w:val="TableBodyText"/>
                    <w:spacing w:after="0"/>
                    <w:ind w:left="0" w:right="57"/>
                  </w:pPr>
                  <w:r w:rsidRPr="00547F68">
                    <w:t>829.6</w:t>
                  </w:r>
                </w:p>
              </w:tc>
              <w:tc>
                <w:tcPr>
                  <w:tcW w:w="500" w:type="pct"/>
                  <w:shd w:val="clear" w:color="auto" w:fill="auto"/>
                  <w:vAlign w:val="bottom"/>
                </w:tcPr>
                <w:p w:rsidR="007544CA" w:rsidRPr="00547F68" w:rsidRDefault="007544CA" w:rsidP="00133508">
                  <w:pPr>
                    <w:pStyle w:val="TableBodyText"/>
                    <w:spacing w:after="0"/>
                    <w:ind w:left="0" w:right="57"/>
                  </w:pPr>
                  <w:r w:rsidRPr="00547F68">
                    <w:t>937.0</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Property, professional &amp; admin.</w:t>
                  </w:r>
                </w:p>
              </w:tc>
              <w:tc>
                <w:tcPr>
                  <w:tcW w:w="501" w:type="pct"/>
                  <w:vAlign w:val="bottom"/>
                </w:tcPr>
                <w:p w:rsidR="007544CA" w:rsidRPr="00547F68" w:rsidRDefault="007544CA" w:rsidP="00133508">
                  <w:pPr>
                    <w:pStyle w:val="TableBodyText"/>
                    <w:spacing w:after="0"/>
                    <w:ind w:left="0" w:right="57"/>
                  </w:pPr>
                  <w:r w:rsidRPr="00547F68">
                    <w:t>722.6</w:t>
                  </w:r>
                </w:p>
              </w:tc>
              <w:tc>
                <w:tcPr>
                  <w:tcW w:w="501" w:type="pct"/>
                  <w:vAlign w:val="bottom"/>
                </w:tcPr>
                <w:p w:rsidR="007544CA" w:rsidRPr="00547F68" w:rsidRDefault="007544CA" w:rsidP="00133508">
                  <w:pPr>
                    <w:pStyle w:val="TableBodyText"/>
                    <w:spacing w:after="0"/>
                    <w:ind w:left="0" w:right="57"/>
                  </w:pPr>
                  <w:r w:rsidRPr="00547F68">
                    <w:t>634.1</w:t>
                  </w:r>
                </w:p>
              </w:tc>
              <w:tc>
                <w:tcPr>
                  <w:tcW w:w="501" w:type="pct"/>
                  <w:vAlign w:val="bottom"/>
                </w:tcPr>
                <w:p w:rsidR="007544CA" w:rsidRPr="00547F68" w:rsidRDefault="007544CA" w:rsidP="00133508">
                  <w:pPr>
                    <w:pStyle w:val="TableBodyText"/>
                    <w:spacing w:after="0"/>
                    <w:ind w:left="0" w:right="57"/>
                  </w:pPr>
                  <w:r w:rsidRPr="00547F68">
                    <w:t>530.5</w:t>
                  </w:r>
                </w:p>
              </w:tc>
              <w:tc>
                <w:tcPr>
                  <w:tcW w:w="499" w:type="pct"/>
                  <w:vAlign w:val="bottom"/>
                </w:tcPr>
                <w:p w:rsidR="007544CA" w:rsidRPr="00547F68" w:rsidRDefault="007544CA" w:rsidP="00133508">
                  <w:pPr>
                    <w:pStyle w:val="TableBodyText"/>
                    <w:spacing w:after="0"/>
                    <w:ind w:left="0" w:right="57"/>
                  </w:pPr>
                  <w:r w:rsidRPr="00547F68">
                    <w:t>437.4</w:t>
                  </w:r>
                </w:p>
              </w:tc>
              <w:tc>
                <w:tcPr>
                  <w:tcW w:w="499" w:type="pct"/>
                  <w:shd w:val="clear" w:color="auto" w:fill="auto"/>
                  <w:vAlign w:val="bottom"/>
                </w:tcPr>
                <w:p w:rsidR="007544CA" w:rsidRPr="00547F68" w:rsidRDefault="007544CA" w:rsidP="00133508">
                  <w:pPr>
                    <w:pStyle w:val="TableBodyText"/>
                    <w:spacing w:after="0"/>
                    <w:ind w:left="0" w:right="57"/>
                  </w:pPr>
                  <w:r w:rsidRPr="00547F68">
                    <w:t>294.4</w:t>
                  </w:r>
                </w:p>
              </w:tc>
              <w:tc>
                <w:tcPr>
                  <w:tcW w:w="500" w:type="pct"/>
                  <w:shd w:val="clear" w:color="auto" w:fill="auto"/>
                  <w:vAlign w:val="bottom"/>
                </w:tcPr>
                <w:p w:rsidR="007544CA" w:rsidRPr="00547F68" w:rsidRDefault="007544CA" w:rsidP="00133508">
                  <w:pPr>
                    <w:pStyle w:val="TableBodyText"/>
                    <w:spacing w:after="0"/>
                    <w:ind w:left="0" w:right="57"/>
                  </w:pPr>
                  <w:r w:rsidRPr="00547F68">
                    <w:t>132.2</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Public administration and safety</w:t>
                  </w:r>
                </w:p>
              </w:tc>
              <w:tc>
                <w:tcPr>
                  <w:tcW w:w="501" w:type="pct"/>
                  <w:vAlign w:val="bottom"/>
                </w:tcPr>
                <w:p w:rsidR="007544CA" w:rsidRPr="00547F68" w:rsidRDefault="007544CA" w:rsidP="00133508">
                  <w:pPr>
                    <w:pStyle w:val="TableBodyText"/>
                    <w:spacing w:after="0"/>
                    <w:ind w:left="0" w:right="57"/>
                  </w:pPr>
                  <w:r w:rsidRPr="00547F68">
                    <w:t>8.4</w:t>
                  </w:r>
                </w:p>
              </w:tc>
              <w:tc>
                <w:tcPr>
                  <w:tcW w:w="501" w:type="pct"/>
                  <w:vAlign w:val="bottom"/>
                </w:tcPr>
                <w:p w:rsidR="007544CA" w:rsidRPr="00547F68" w:rsidRDefault="007544CA" w:rsidP="00133508">
                  <w:pPr>
                    <w:pStyle w:val="TableBodyText"/>
                    <w:spacing w:after="0"/>
                    <w:ind w:left="0" w:right="57"/>
                  </w:pPr>
                  <w:r w:rsidRPr="00547F68">
                    <w:t>7.4</w:t>
                  </w:r>
                </w:p>
              </w:tc>
              <w:tc>
                <w:tcPr>
                  <w:tcW w:w="501" w:type="pct"/>
                  <w:vAlign w:val="bottom"/>
                </w:tcPr>
                <w:p w:rsidR="007544CA" w:rsidRPr="00547F68" w:rsidRDefault="007544CA" w:rsidP="00133508">
                  <w:pPr>
                    <w:pStyle w:val="TableBodyText"/>
                    <w:spacing w:after="0"/>
                    <w:ind w:left="0" w:right="57"/>
                  </w:pPr>
                  <w:r w:rsidRPr="00547F68">
                    <w:t>5.2</w:t>
                  </w:r>
                </w:p>
              </w:tc>
              <w:tc>
                <w:tcPr>
                  <w:tcW w:w="499" w:type="pct"/>
                  <w:vAlign w:val="bottom"/>
                </w:tcPr>
                <w:p w:rsidR="007544CA" w:rsidRPr="00547F68" w:rsidRDefault="007544CA" w:rsidP="00133508">
                  <w:pPr>
                    <w:pStyle w:val="TableBodyText"/>
                    <w:spacing w:after="0"/>
                    <w:ind w:left="0" w:right="57"/>
                  </w:pPr>
                  <w:r w:rsidRPr="00547F68">
                    <w:t>6.8</w:t>
                  </w:r>
                </w:p>
              </w:tc>
              <w:tc>
                <w:tcPr>
                  <w:tcW w:w="499" w:type="pct"/>
                  <w:shd w:val="clear" w:color="auto" w:fill="auto"/>
                  <w:vAlign w:val="bottom"/>
                </w:tcPr>
                <w:p w:rsidR="007544CA" w:rsidRPr="00547F68" w:rsidRDefault="007544CA" w:rsidP="00133508">
                  <w:pPr>
                    <w:pStyle w:val="TableBodyText"/>
                    <w:spacing w:after="0"/>
                    <w:ind w:left="0" w:right="57"/>
                  </w:pPr>
                  <w:r w:rsidRPr="00547F68">
                    <w:t>4.2</w:t>
                  </w:r>
                </w:p>
              </w:tc>
              <w:tc>
                <w:tcPr>
                  <w:tcW w:w="500" w:type="pct"/>
                  <w:shd w:val="clear" w:color="auto" w:fill="auto"/>
                  <w:vAlign w:val="bottom"/>
                </w:tcPr>
                <w:p w:rsidR="007544CA" w:rsidRPr="00547F68" w:rsidRDefault="007544CA" w:rsidP="00133508">
                  <w:pPr>
                    <w:pStyle w:val="TableBodyText"/>
                    <w:spacing w:after="0"/>
                    <w:ind w:left="0" w:right="57"/>
                  </w:pPr>
                  <w:r w:rsidRPr="00547F68">
                    <w:t>0.2</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Education and training</w:t>
                  </w:r>
                </w:p>
              </w:tc>
              <w:tc>
                <w:tcPr>
                  <w:tcW w:w="501" w:type="pct"/>
                  <w:vAlign w:val="bottom"/>
                </w:tcPr>
                <w:p w:rsidR="007544CA" w:rsidRPr="00547F68" w:rsidRDefault="007544CA" w:rsidP="00133508">
                  <w:pPr>
                    <w:pStyle w:val="TableBodyText"/>
                    <w:spacing w:after="0"/>
                    <w:ind w:left="0" w:right="57"/>
                  </w:pPr>
                  <w:r w:rsidRPr="00547F68">
                    <w:t>19.1</w:t>
                  </w:r>
                </w:p>
              </w:tc>
              <w:tc>
                <w:tcPr>
                  <w:tcW w:w="501" w:type="pct"/>
                  <w:vAlign w:val="bottom"/>
                </w:tcPr>
                <w:p w:rsidR="007544CA" w:rsidRPr="00547F68" w:rsidRDefault="007544CA" w:rsidP="00133508">
                  <w:pPr>
                    <w:pStyle w:val="TableBodyText"/>
                    <w:spacing w:after="0"/>
                    <w:ind w:left="0" w:right="57"/>
                  </w:pPr>
                  <w:r w:rsidRPr="00547F68">
                    <w:t>11.0</w:t>
                  </w:r>
                </w:p>
              </w:tc>
              <w:tc>
                <w:tcPr>
                  <w:tcW w:w="501" w:type="pct"/>
                  <w:vAlign w:val="bottom"/>
                </w:tcPr>
                <w:p w:rsidR="007544CA" w:rsidRPr="00547F68" w:rsidRDefault="007544CA" w:rsidP="00133508">
                  <w:pPr>
                    <w:pStyle w:val="TableBodyText"/>
                    <w:spacing w:after="0"/>
                    <w:ind w:left="0" w:right="57"/>
                  </w:pPr>
                  <w:r w:rsidRPr="00547F68">
                    <w:t>14.1</w:t>
                  </w:r>
                </w:p>
              </w:tc>
              <w:tc>
                <w:tcPr>
                  <w:tcW w:w="499" w:type="pct"/>
                  <w:vAlign w:val="bottom"/>
                </w:tcPr>
                <w:p w:rsidR="007544CA" w:rsidRPr="00547F68" w:rsidRDefault="007544CA" w:rsidP="00133508">
                  <w:pPr>
                    <w:pStyle w:val="TableBodyText"/>
                    <w:spacing w:after="0"/>
                    <w:ind w:left="0" w:right="57"/>
                  </w:pPr>
                  <w:r w:rsidRPr="00547F68">
                    <w:t>12.3</w:t>
                  </w:r>
                </w:p>
              </w:tc>
              <w:tc>
                <w:tcPr>
                  <w:tcW w:w="499" w:type="pct"/>
                  <w:shd w:val="clear" w:color="auto" w:fill="auto"/>
                  <w:vAlign w:val="bottom"/>
                </w:tcPr>
                <w:p w:rsidR="007544CA" w:rsidRPr="00547F68" w:rsidRDefault="007544CA" w:rsidP="00133508">
                  <w:pPr>
                    <w:pStyle w:val="TableBodyText"/>
                    <w:spacing w:after="0"/>
                    <w:ind w:left="0" w:right="57"/>
                  </w:pPr>
                  <w:r w:rsidRPr="00547F68">
                    <w:t>8.4</w:t>
                  </w:r>
                </w:p>
              </w:tc>
              <w:tc>
                <w:tcPr>
                  <w:tcW w:w="500" w:type="pct"/>
                  <w:shd w:val="clear" w:color="auto" w:fill="auto"/>
                  <w:vAlign w:val="bottom"/>
                </w:tcPr>
                <w:p w:rsidR="007544CA" w:rsidRPr="00547F68" w:rsidRDefault="007544CA" w:rsidP="00133508">
                  <w:pPr>
                    <w:pStyle w:val="TableBodyText"/>
                    <w:spacing w:after="0"/>
                    <w:ind w:left="0" w:right="57"/>
                  </w:pPr>
                  <w:r w:rsidRPr="00547F68">
                    <w:t>5.9</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Health care and social assistance</w:t>
                  </w:r>
                </w:p>
              </w:tc>
              <w:tc>
                <w:tcPr>
                  <w:tcW w:w="501" w:type="pct"/>
                  <w:vAlign w:val="bottom"/>
                </w:tcPr>
                <w:p w:rsidR="007544CA" w:rsidRPr="00547F68" w:rsidRDefault="007544CA" w:rsidP="00133508">
                  <w:pPr>
                    <w:pStyle w:val="TableBodyText"/>
                    <w:spacing w:after="0"/>
                    <w:ind w:left="0" w:right="57"/>
                  </w:pPr>
                  <w:r w:rsidRPr="00547F68">
                    <w:t>121.7</w:t>
                  </w:r>
                </w:p>
              </w:tc>
              <w:tc>
                <w:tcPr>
                  <w:tcW w:w="501" w:type="pct"/>
                  <w:vAlign w:val="bottom"/>
                </w:tcPr>
                <w:p w:rsidR="007544CA" w:rsidRPr="00547F68" w:rsidRDefault="007544CA" w:rsidP="00133508">
                  <w:pPr>
                    <w:pStyle w:val="TableBodyText"/>
                    <w:spacing w:after="0"/>
                    <w:ind w:left="0" w:right="57"/>
                  </w:pPr>
                  <w:r w:rsidRPr="00547F68">
                    <w:t>83.4</w:t>
                  </w:r>
                </w:p>
              </w:tc>
              <w:tc>
                <w:tcPr>
                  <w:tcW w:w="501" w:type="pct"/>
                  <w:vAlign w:val="bottom"/>
                </w:tcPr>
                <w:p w:rsidR="007544CA" w:rsidRPr="00547F68" w:rsidRDefault="007544CA" w:rsidP="00133508">
                  <w:pPr>
                    <w:pStyle w:val="TableBodyText"/>
                    <w:spacing w:after="0"/>
                    <w:ind w:left="0" w:right="57"/>
                  </w:pPr>
                  <w:r w:rsidRPr="00547F68">
                    <w:t>70.9</w:t>
                  </w:r>
                </w:p>
              </w:tc>
              <w:tc>
                <w:tcPr>
                  <w:tcW w:w="499" w:type="pct"/>
                  <w:vAlign w:val="bottom"/>
                </w:tcPr>
                <w:p w:rsidR="007544CA" w:rsidRPr="00547F68" w:rsidRDefault="007544CA" w:rsidP="00133508">
                  <w:pPr>
                    <w:pStyle w:val="TableBodyText"/>
                    <w:spacing w:after="0"/>
                    <w:ind w:left="0" w:right="57"/>
                  </w:pPr>
                  <w:r w:rsidRPr="00547F68">
                    <w:t>62.9</w:t>
                  </w:r>
                </w:p>
              </w:tc>
              <w:tc>
                <w:tcPr>
                  <w:tcW w:w="499" w:type="pct"/>
                  <w:shd w:val="clear" w:color="auto" w:fill="auto"/>
                  <w:vAlign w:val="bottom"/>
                </w:tcPr>
                <w:p w:rsidR="007544CA" w:rsidRPr="00547F68" w:rsidRDefault="007544CA" w:rsidP="00133508">
                  <w:pPr>
                    <w:pStyle w:val="TableBodyText"/>
                    <w:spacing w:after="0"/>
                    <w:ind w:left="0" w:right="57"/>
                  </w:pPr>
                  <w:r w:rsidRPr="00547F68">
                    <w:t>60.9</w:t>
                  </w:r>
                </w:p>
              </w:tc>
              <w:tc>
                <w:tcPr>
                  <w:tcW w:w="500" w:type="pct"/>
                  <w:shd w:val="clear" w:color="auto" w:fill="auto"/>
                  <w:vAlign w:val="bottom"/>
                </w:tcPr>
                <w:p w:rsidR="007544CA" w:rsidRPr="00547F68" w:rsidRDefault="007544CA" w:rsidP="00133508">
                  <w:pPr>
                    <w:pStyle w:val="TableBodyText"/>
                    <w:spacing w:after="0"/>
                    <w:ind w:left="0" w:right="57"/>
                  </w:pPr>
                  <w:r w:rsidRPr="00547F68">
                    <w:t>75.8</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Arts and recreation services</w:t>
                  </w:r>
                </w:p>
              </w:tc>
              <w:tc>
                <w:tcPr>
                  <w:tcW w:w="501" w:type="pct"/>
                  <w:vAlign w:val="bottom"/>
                </w:tcPr>
                <w:p w:rsidR="007544CA" w:rsidRPr="00547F68" w:rsidRDefault="007544CA" w:rsidP="00133508">
                  <w:pPr>
                    <w:pStyle w:val="TableBodyText"/>
                    <w:spacing w:after="0"/>
                    <w:ind w:left="0" w:right="57"/>
                  </w:pPr>
                  <w:r w:rsidRPr="00547F68">
                    <w:t>285.8</w:t>
                  </w:r>
                </w:p>
              </w:tc>
              <w:tc>
                <w:tcPr>
                  <w:tcW w:w="501" w:type="pct"/>
                  <w:vAlign w:val="bottom"/>
                </w:tcPr>
                <w:p w:rsidR="007544CA" w:rsidRPr="00547F68" w:rsidRDefault="007544CA" w:rsidP="00133508">
                  <w:pPr>
                    <w:pStyle w:val="TableBodyText"/>
                    <w:spacing w:after="0"/>
                    <w:ind w:left="0" w:right="57"/>
                  </w:pPr>
                  <w:r w:rsidRPr="00547F68">
                    <w:t>189.4</w:t>
                  </w:r>
                </w:p>
              </w:tc>
              <w:tc>
                <w:tcPr>
                  <w:tcW w:w="501" w:type="pct"/>
                  <w:vAlign w:val="bottom"/>
                </w:tcPr>
                <w:p w:rsidR="007544CA" w:rsidRPr="00547F68" w:rsidRDefault="007544CA" w:rsidP="00133508">
                  <w:pPr>
                    <w:pStyle w:val="TableBodyText"/>
                    <w:spacing w:after="0"/>
                    <w:ind w:left="0" w:right="57"/>
                  </w:pPr>
                  <w:r w:rsidRPr="00547F68">
                    <w:t>233.2</w:t>
                  </w:r>
                </w:p>
              </w:tc>
              <w:tc>
                <w:tcPr>
                  <w:tcW w:w="499" w:type="pct"/>
                  <w:vAlign w:val="bottom"/>
                </w:tcPr>
                <w:p w:rsidR="007544CA" w:rsidRPr="00547F68" w:rsidRDefault="007544CA" w:rsidP="00133508">
                  <w:pPr>
                    <w:pStyle w:val="TableBodyText"/>
                    <w:spacing w:after="0"/>
                    <w:ind w:left="0" w:right="57"/>
                  </w:pPr>
                  <w:r w:rsidRPr="00547F68">
                    <w:t>284.1</w:t>
                  </w:r>
                </w:p>
              </w:tc>
              <w:tc>
                <w:tcPr>
                  <w:tcW w:w="499" w:type="pct"/>
                  <w:shd w:val="clear" w:color="auto" w:fill="auto"/>
                  <w:vAlign w:val="bottom"/>
                </w:tcPr>
                <w:p w:rsidR="007544CA" w:rsidRPr="00547F68" w:rsidRDefault="007544CA" w:rsidP="00133508">
                  <w:pPr>
                    <w:pStyle w:val="TableBodyText"/>
                    <w:spacing w:after="0"/>
                    <w:ind w:left="0" w:right="57"/>
                  </w:pPr>
                  <w:r w:rsidRPr="00547F68">
                    <w:t>318.9</w:t>
                  </w:r>
                </w:p>
              </w:tc>
              <w:tc>
                <w:tcPr>
                  <w:tcW w:w="500" w:type="pct"/>
                  <w:shd w:val="clear" w:color="auto" w:fill="auto"/>
                  <w:vAlign w:val="bottom"/>
                </w:tcPr>
                <w:p w:rsidR="007544CA" w:rsidRPr="00547F68" w:rsidRDefault="007544CA" w:rsidP="00133508">
                  <w:pPr>
                    <w:pStyle w:val="TableBodyText"/>
                    <w:spacing w:after="0"/>
                    <w:ind w:left="0" w:right="57"/>
                  </w:pPr>
                  <w:r w:rsidRPr="00547F68">
                    <w:t>211.6</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Other services</w:t>
                  </w:r>
                </w:p>
              </w:tc>
              <w:tc>
                <w:tcPr>
                  <w:tcW w:w="501" w:type="pct"/>
                  <w:vAlign w:val="bottom"/>
                </w:tcPr>
                <w:p w:rsidR="007544CA" w:rsidRPr="00547F68" w:rsidRDefault="007544CA" w:rsidP="00133508">
                  <w:pPr>
                    <w:pStyle w:val="TableBodyText"/>
                    <w:spacing w:after="0"/>
                    <w:ind w:left="0" w:right="57"/>
                  </w:pPr>
                  <w:r w:rsidRPr="00547F68">
                    <w:t>67.6</w:t>
                  </w:r>
                </w:p>
              </w:tc>
              <w:tc>
                <w:tcPr>
                  <w:tcW w:w="501" w:type="pct"/>
                  <w:vAlign w:val="bottom"/>
                </w:tcPr>
                <w:p w:rsidR="007544CA" w:rsidRPr="00547F68" w:rsidRDefault="007544CA" w:rsidP="00133508">
                  <w:pPr>
                    <w:pStyle w:val="TableBodyText"/>
                    <w:spacing w:after="0"/>
                    <w:ind w:left="0" w:right="57"/>
                  </w:pPr>
                  <w:r w:rsidRPr="00547F68">
                    <w:t>51.8</w:t>
                  </w:r>
                </w:p>
              </w:tc>
              <w:tc>
                <w:tcPr>
                  <w:tcW w:w="501" w:type="pct"/>
                  <w:vAlign w:val="bottom"/>
                </w:tcPr>
                <w:p w:rsidR="007544CA" w:rsidRPr="00547F68" w:rsidRDefault="007544CA" w:rsidP="00133508">
                  <w:pPr>
                    <w:pStyle w:val="TableBodyText"/>
                    <w:spacing w:after="0"/>
                    <w:ind w:left="0" w:right="57"/>
                  </w:pPr>
                  <w:r w:rsidRPr="00547F68">
                    <w:t>48.6</w:t>
                  </w:r>
                </w:p>
              </w:tc>
              <w:tc>
                <w:tcPr>
                  <w:tcW w:w="499" w:type="pct"/>
                  <w:vAlign w:val="bottom"/>
                </w:tcPr>
                <w:p w:rsidR="007544CA" w:rsidRPr="00547F68" w:rsidRDefault="007544CA" w:rsidP="00133508">
                  <w:pPr>
                    <w:pStyle w:val="TableBodyText"/>
                    <w:spacing w:after="0"/>
                    <w:ind w:left="0" w:right="57"/>
                  </w:pPr>
                  <w:r w:rsidRPr="00547F68">
                    <w:t>39.0</w:t>
                  </w:r>
                </w:p>
              </w:tc>
              <w:tc>
                <w:tcPr>
                  <w:tcW w:w="499" w:type="pct"/>
                  <w:shd w:val="clear" w:color="auto" w:fill="auto"/>
                  <w:vAlign w:val="bottom"/>
                </w:tcPr>
                <w:p w:rsidR="007544CA" w:rsidRPr="00547F68" w:rsidRDefault="007544CA" w:rsidP="00133508">
                  <w:pPr>
                    <w:pStyle w:val="TableBodyText"/>
                    <w:spacing w:after="0"/>
                    <w:ind w:left="0" w:right="57"/>
                  </w:pPr>
                  <w:r w:rsidRPr="00547F68">
                    <w:t>25.7</w:t>
                  </w:r>
                </w:p>
              </w:tc>
              <w:tc>
                <w:tcPr>
                  <w:tcW w:w="500" w:type="pct"/>
                  <w:shd w:val="clear" w:color="auto" w:fill="auto"/>
                  <w:vAlign w:val="bottom"/>
                </w:tcPr>
                <w:p w:rsidR="007544CA" w:rsidRPr="00547F68" w:rsidRDefault="007544CA" w:rsidP="00133508">
                  <w:pPr>
                    <w:pStyle w:val="TableBodyText"/>
                    <w:spacing w:after="0"/>
                    <w:ind w:left="0" w:right="57"/>
                  </w:pPr>
                  <w:r w:rsidRPr="00547F68">
                    <w:t>16.4</w:t>
                  </w:r>
                </w:p>
              </w:tc>
            </w:tr>
            <w:tr w:rsidR="007544CA" w:rsidTr="00133508">
              <w:tc>
                <w:tcPr>
                  <w:tcW w:w="1998" w:type="pct"/>
                  <w:shd w:val="clear" w:color="auto" w:fill="auto"/>
                  <w:vAlign w:val="center"/>
                </w:tcPr>
                <w:p w:rsidR="007544CA" w:rsidRPr="00037109" w:rsidRDefault="007544CA" w:rsidP="00133508">
                  <w:pPr>
                    <w:rPr>
                      <w:rFonts w:ascii="Arial" w:hAnsi="Arial" w:cs="Arial"/>
                      <w:sz w:val="18"/>
                      <w:szCs w:val="18"/>
                    </w:rPr>
                  </w:pPr>
                  <w:r w:rsidRPr="00037109">
                    <w:rPr>
                      <w:rFonts w:ascii="Arial" w:hAnsi="Arial" w:cs="Arial"/>
                      <w:sz w:val="18"/>
                      <w:szCs w:val="18"/>
                    </w:rPr>
                    <w:t>Unallocated services</w:t>
                  </w:r>
                  <w:r>
                    <w:rPr>
                      <w:rStyle w:val="NoteLabel"/>
                    </w:rPr>
                    <w:t>a</w:t>
                  </w:r>
                </w:p>
              </w:tc>
              <w:tc>
                <w:tcPr>
                  <w:tcW w:w="501" w:type="pct"/>
                  <w:vAlign w:val="bottom"/>
                </w:tcPr>
                <w:p w:rsidR="007544CA" w:rsidRPr="007E34F5" w:rsidRDefault="007544CA" w:rsidP="00133508">
                  <w:pPr>
                    <w:pStyle w:val="TableBodyText"/>
                    <w:spacing w:after="0"/>
                    <w:ind w:left="0" w:right="57"/>
                  </w:pPr>
                  <w:r w:rsidRPr="007E34F5">
                    <w:t xml:space="preserve">– </w:t>
                  </w:r>
                </w:p>
              </w:tc>
              <w:tc>
                <w:tcPr>
                  <w:tcW w:w="501" w:type="pct"/>
                  <w:vAlign w:val="bottom"/>
                </w:tcPr>
                <w:p w:rsidR="007544CA" w:rsidRPr="007E34F5" w:rsidRDefault="007544CA" w:rsidP="00133508">
                  <w:pPr>
                    <w:pStyle w:val="TableBodyText"/>
                    <w:spacing w:after="0"/>
                    <w:ind w:left="0" w:right="57"/>
                  </w:pPr>
                  <w:r w:rsidRPr="007E34F5">
                    <w:t xml:space="preserve">– </w:t>
                  </w:r>
                </w:p>
              </w:tc>
              <w:tc>
                <w:tcPr>
                  <w:tcW w:w="501" w:type="pct"/>
                  <w:vAlign w:val="bottom"/>
                </w:tcPr>
                <w:p w:rsidR="007544CA" w:rsidRPr="007E34F5" w:rsidRDefault="007544CA" w:rsidP="00133508">
                  <w:pPr>
                    <w:pStyle w:val="TableBodyText"/>
                    <w:spacing w:after="0"/>
                    <w:ind w:left="0" w:right="57"/>
                  </w:pPr>
                  <w:r w:rsidRPr="007E34F5">
                    <w:t xml:space="preserve">– </w:t>
                  </w:r>
                </w:p>
              </w:tc>
              <w:tc>
                <w:tcPr>
                  <w:tcW w:w="499" w:type="pct"/>
                  <w:vAlign w:val="bottom"/>
                </w:tcPr>
                <w:p w:rsidR="007544CA" w:rsidRPr="007E34F5" w:rsidRDefault="007544CA" w:rsidP="00133508">
                  <w:pPr>
                    <w:pStyle w:val="TableBodyText"/>
                    <w:spacing w:after="0"/>
                    <w:ind w:left="0" w:right="57"/>
                  </w:pPr>
                  <w:r w:rsidRPr="007E34F5">
                    <w:t xml:space="preserve">– </w:t>
                  </w:r>
                </w:p>
              </w:tc>
              <w:tc>
                <w:tcPr>
                  <w:tcW w:w="499" w:type="pct"/>
                  <w:shd w:val="clear" w:color="auto" w:fill="auto"/>
                  <w:vAlign w:val="bottom"/>
                </w:tcPr>
                <w:p w:rsidR="007544CA" w:rsidRPr="007E34F5" w:rsidRDefault="007544CA" w:rsidP="00133508">
                  <w:pPr>
                    <w:pStyle w:val="TableBodyText"/>
                    <w:spacing w:after="0"/>
                    <w:ind w:left="0" w:right="57"/>
                  </w:pPr>
                  <w:r w:rsidRPr="007E34F5">
                    <w:t xml:space="preserve">– </w:t>
                  </w:r>
                </w:p>
              </w:tc>
              <w:tc>
                <w:tcPr>
                  <w:tcW w:w="500" w:type="pct"/>
                  <w:shd w:val="clear" w:color="auto" w:fill="auto"/>
                  <w:vAlign w:val="bottom"/>
                </w:tcPr>
                <w:p w:rsidR="007544CA" w:rsidRPr="007E34F5" w:rsidRDefault="007544CA" w:rsidP="00133508">
                  <w:pPr>
                    <w:pStyle w:val="TableBodyText"/>
                    <w:spacing w:after="0"/>
                    <w:ind w:left="0" w:right="57"/>
                  </w:pPr>
                  <w:r w:rsidRPr="007E34F5">
                    <w:t xml:space="preserve">– </w:t>
                  </w:r>
                </w:p>
              </w:tc>
            </w:tr>
            <w:tr w:rsidR="007544CA" w:rsidRPr="007E34F5" w:rsidTr="00133508">
              <w:tc>
                <w:tcPr>
                  <w:tcW w:w="1998" w:type="pct"/>
                  <w:shd w:val="clear" w:color="auto" w:fill="auto"/>
                  <w:vAlign w:val="center"/>
                </w:tcPr>
                <w:p w:rsidR="007544CA" w:rsidRPr="007E34F5" w:rsidRDefault="007544CA" w:rsidP="00133508">
                  <w:pPr>
                    <w:rPr>
                      <w:rFonts w:ascii="Arial" w:hAnsi="Arial" w:cs="Arial"/>
                      <w:b/>
                      <w:bCs/>
                      <w:sz w:val="18"/>
                      <w:szCs w:val="18"/>
                    </w:rPr>
                  </w:pPr>
                  <w:r w:rsidRPr="007E34F5">
                    <w:rPr>
                      <w:rFonts w:ascii="Arial" w:hAnsi="Arial" w:cs="Arial"/>
                      <w:b/>
                      <w:bCs/>
                      <w:sz w:val="18"/>
                      <w:szCs w:val="18"/>
                    </w:rPr>
                    <w:t>Unallocated other</w:t>
                  </w:r>
                  <w:r>
                    <w:rPr>
                      <w:rStyle w:val="NoteLabel"/>
                    </w:rPr>
                    <w:t>a</w:t>
                  </w:r>
                </w:p>
              </w:tc>
              <w:tc>
                <w:tcPr>
                  <w:tcW w:w="501" w:type="pct"/>
                  <w:vAlign w:val="bottom"/>
                </w:tcPr>
                <w:p w:rsidR="007544CA" w:rsidRPr="00547F68" w:rsidRDefault="007544CA" w:rsidP="00133508">
                  <w:pPr>
                    <w:pStyle w:val="TableBodyText"/>
                    <w:spacing w:after="0"/>
                    <w:ind w:left="0" w:right="57"/>
                    <w:rPr>
                      <w:b/>
                    </w:rPr>
                  </w:pPr>
                  <w:r w:rsidRPr="00547F68">
                    <w:rPr>
                      <w:b/>
                    </w:rPr>
                    <w:t>428.4</w:t>
                  </w:r>
                </w:p>
              </w:tc>
              <w:tc>
                <w:tcPr>
                  <w:tcW w:w="501" w:type="pct"/>
                  <w:vAlign w:val="bottom"/>
                </w:tcPr>
                <w:p w:rsidR="007544CA" w:rsidRPr="00547F68" w:rsidRDefault="007544CA" w:rsidP="00133508">
                  <w:pPr>
                    <w:pStyle w:val="TableBodyText"/>
                    <w:spacing w:after="0"/>
                    <w:ind w:left="0" w:right="57"/>
                    <w:rPr>
                      <w:b/>
                    </w:rPr>
                  </w:pPr>
                  <w:r w:rsidRPr="00547F68">
                    <w:rPr>
                      <w:b/>
                    </w:rPr>
                    <w:t>625.3</w:t>
                  </w:r>
                </w:p>
              </w:tc>
              <w:tc>
                <w:tcPr>
                  <w:tcW w:w="501" w:type="pct"/>
                  <w:vAlign w:val="bottom"/>
                </w:tcPr>
                <w:p w:rsidR="007544CA" w:rsidRPr="00547F68" w:rsidRDefault="007544CA" w:rsidP="00133508">
                  <w:pPr>
                    <w:pStyle w:val="TableBodyText"/>
                    <w:spacing w:after="0"/>
                    <w:ind w:left="0" w:right="57"/>
                    <w:rPr>
                      <w:b/>
                    </w:rPr>
                  </w:pPr>
                  <w:r w:rsidRPr="00547F68">
                    <w:rPr>
                      <w:b/>
                    </w:rPr>
                    <w:t>635.4</w:t>
                  </w:r>
                </w:p>
              </w:tc>
              <w:tc>
                <w:tcPr>
                  <w:tcW w:w="499" w:type="pct"/>
                  <w:vAlign w:val="bottom"/>
                </w:tcPr>
                <w:p w:rsidR="007544CA" w:rsidRPr="00547F68" w:rsidRDefault="007544CA" w:rsidP="00133508">
                  <w:pPr>
                    <w:pStyle w:val="TableBodyText"/>
                    <w:spacing w:after="0"/>
                    <w:ind w:left="0" w:right="57"/>
                    <w:rPr>
                      <w:b/>
                    </w:rPr>
                  </w:pPr>
                  <w:r w:rsidRPr="00547F68">
                    <w:rPr>
                      <w:b/>
                    </w:rPr>
                    <w:t>486.8</w:t>
                  </w:r>
                </w:p>
              </w:tc>
              <w:tc>
                <w:tcPr>
                  <w:tcW w:w="499" w:type="pct"/>
                  <w:shd w:val="clear" w:color="auto" w:fill="auto"/>
                  <w:vAlign w:val="bottom"/>
                </w:tcPr>
                <w:p w:rsidR="007544CA" w:rsidRPr="00547F68" w:rsidRDefault="007544CA" w:rsidP="00133508">
                  <w:pPr>
                    <w:pStyle w:val="TableBodyText"/>
                    <w:spacing w:after="0"/>
                    <w:ind w:left="0" w:right="57"/>
                    <w:rPr>
                      <w:b/>
                    </w:rPr>
                  </w:pPr>
                  <w:r w:rsidRPr="00547F68">
                    <w:rPr>
                      <w:b/>
                    </w:rPr>
                    <w:t>693.5</w:t>
                  </w:r>
                </w:p>
              </w:tc>
              <w:tc>
                <w:tcPr>
                  <w:tcW w:w="500" w:type="pct"/>
                  <w:shd w:val="clear" w:color="auto" w:fill="auto"/>
                  <w:vAlign w:val="bottom"/>
                </w:tcPr>
                <w:p w:rsidR="007544CA" w:rsidRPr="00547F68" w:rsidRDefault="007544CA" w:rsidP="00133508">
                  <w:pPr>
                    <w:pStyle w:val="TableBodyText"/>
                    <w:spacing w:after="0"/>
                    <w:ind w:left="0" w:right="57"/>
                    <w:rPr>
                      <w:b/>
                    </w:rPr>
                  </w:pPr>
                  <w:r w:rsidRPr="00547F68">
                    <w:rPr>
                      <w:b/>
                    </w:rPr>
                    <w:t>271.0</w:t>
                  </w:r>
                </w:p>
              </w:tc>
            </w:tr>
            <w:tr w:rsidR="007544CA" w:rsidRPr="007E34F5" w:rsidTr="00133508">
              <w:tc>
                <w:tcPr>
                  <w:tcW w:w="1998" w:type="pct"/>
                  <w:tcBorders>
                    <w:bottom w:val="single" w:sz="6" w:space="0" w:color="BFBFBF"/>
                  </w:tcBorders>
                  <w:shd w:val="clear" w:color="auto" w:fill="auto"/>
                  <w:vAlign w:val="center"/>
                </w:tcPr>
                <w:p w:rsidR="007544CA" w:rsidRPr="007E34F5" w:rsidRDefault="007544CA" w:rsidP="001A47C2">
                  <w:pPr>
                    <w:spacing w:after="40"/>
                    <w:rPr>
                      <w:rFonts w:ascii="Arial" w:hAnsi="Arial" w:cs="Arial"/>
                      <w:b/>
                      <w:bCs/>
                      <w:sz w:val="18"/>
                      <w:szCs w:val="18"/>
                    </w:rPr>
                  </w:pPr>
                  <w:r w:rsidRPr="007E34F5">
                    <w:rPr>
                      <w:rFonts w:ascii="Arial" w:hAnsi="Arial" w:cs="Arial"/>
                      <w:b/>
                      <w:bCs/>
                      <w:sz w:val="18"/>
                      <w:szCs w:val="18"/>
                    </w:rPr>
                    <w:t>Total</w:t>
                  </w:r>
                </w:p>
              </w:tc>
              <w:tc>
                <w:tcPr>
                  <w:tcW w:w="501" w:type="pct"/>
                  <w:tcBorders>
                    <w:bottom w:val="single" w:sz="6" w:space="0" w:color="BFBFBF"/>
                  </w:tcBorders>
                  <w:vAlign w:val="bottom"/>
                </w:tcPr>
                <w:p w:rsidR="007544CA" w:rsidRPr="00547F68" w:rsidRDefault="007544CA" w:rsidP="001A47C2">
                  <w:pPr>
                    <w:pStyle w:val="TableBodyText"/>
                    <w:ind w:left="0" w:right="57"/>
                    <w:rPr>
                      <w:b/>
                    </w:rPr>
                  </w:pPr>
                  <w:r w:rsidRPr="00547F68">
                    <w:rPr>
                      <w:b/>
                    </w:rPr>
                    <w:t>5921.0</w:t>
                  </w:r>
                </w:p>
              </w:tc>
              <w:tc>
                <w:tcPr>
                  <w:tcW w:w="501" w:type="pct"/>
                  <w:tcBorders>
                    <w:bottom w:val="single" w:sz="6" w:space="0" w:color="BFBFBF"/>
                  </w:tcBorders>
                  <w:vAlign w:val="bottom"/>
                </w:tcPr>
                <w:p w:rsidR="007544CA" w:rsidRPr="00547F68" w:rsidRDefault="007544CA" w:rsidP="001A47C2">
                  <w:pPr>
                    <w:pStyle w:val="TableBodyText"/>
                    <w:ind w:left="0" w:right="57"/>
                    <w:rPr>
                      <w:b/>
                    </w:rPr>
                  </w:pPr>
                  <w:r w:rsidRPr="00547F68">
                    <w:rPr>
                      <w:b/>
                    </w:rPr>
                    <w:t>6400.9</w:t>
                  </w:r>
                </w:p>
              </w:tc>
              <w:tc>
                <w:tcPr>
                  <w:tcW w:w="501" w:type="pct"/>
                  <w:tcBorders>
                    <w:bottom w:val="single" w:sz="6" w:space="0" w:color="BFBFBF"/>
                  </w:tcBorders>
                  <w:vAlign w:val="bottom"/>
                </w:tcPr>
                <w:p w:rsidR="007544CA" w:rsidRPr="00547F68" w:rsidRDefault="007544CA" w:rsidP="001A47C2">
                  <w:pPr>
                    <w:pStyle w:val="TableBodyText"/>
                    <w:ind w:left="0" w:right="57"/>
                    <w:rPr>
                      <w:b/>
                    </w:rPr>
                  </w:pPr>
                  <w:r w:rsidRPr="00547F68">
                    <w:rPr>
                      <w:b/>
                    </w:rPr>
                    <w:t>4900.2</w:t>
                  </w:r>
                </w:p>
              </w:tc>
              <w:tc>
                <w:tcPr>
                  <w:tcW w:w="499" w:type="pct"/>
                  <w:tcBorders>
                    <w:bottom w:val="single" w:sz="6" w:space="0" w:color="BFBFBF"/>
                  </w:tcBorders>
                  <w:vAlign w:val="bottom"/>
                </w:tcPr>
                <w:p w:rsidR="007544CA" w:rsidRPr="00547F68" w:rsidRDefault="007544CA" w:rsidP="001A47C2">
                  <w:pPr>
                    <w:pStyle w:val="TableBodyText"/>
                    <w:ind w:left="0" w:right="57"/>
                    <w:rPr>
                      <w:b/>
                    </w:rPr>
                  </w:pPr>
                  <w:r w:rsidRPr="00547F68">
                    <w:rPr>
                      <w:b/>
                    </w:rPr>
                    <w:t>4395.8</w:t>
                  </w:r>
                </w:p>
              </w:tc>
              <w:tc>
                <w:tcPr>
                  <w:tcW w:w="499" w:type="pct"/>
                  <w:tcBorders>
                    <w:bottom w:val="single" w:sz="6" w:space="0" w:color="BFBFBF"/>
                  </w:tcBorders>
                  <w:shd w:val="clear" w:color="auto" w:fill="auto"/>
                  <w:vAlign w:val="bottom"/>
                </w:tcPr>
                <w:p w:rsidR="007544CA" w:rsidRPr="00547F68" w:rsidRDefault="007544CA" w:rsidP="001A47C2">
                  <w:pPr>
                    <w:pStyle w:val="TableBodyText"/>
                    <w:ind w:left="0" w:right="57"/>
                    <w:rPr>
                      <w:b/>
                    </w:rPr>
                  </w:pPr>
                  <w:r w:rsidRPr="00547F68">
                    <w:rPr>
                      <w:b/>
                    </w:rPr>
                    <w:t>3900.8</w:t>
                  </w:r>
                </w:p>
              </w:tc>
              <w:tc>
                <w:tcPr>
                  <w:tcW w:w="500" w:type="pct"/>
                  <w:tcBorders>
                    <w:bottom w:val="single" w:sz="6" w:space="0" w:color="BFBFBF"/>
                  </w:tcBorders>
                  <w:shd w:val="clear" w:color="auto" w:fill="auto"/>
                  <w:vAlign w:val="bottom"/>
                </w:tcPr>
                <w:p w:rsidR="007544CA" w:rsidRPr="00547F68" w:rsidRDefault="007544CA" w:rsidP="001A47C2">
                  <w:pPr>
                    <w:pStyle w:val="TableBodyText"/>
                    <w:ind w:left="0" w:right="57"/>
                    <w:rPr>
                      <w:b/>
                    </w:rPr>
                  </w:pPr>
                  <w:r w:rsidRPr="00547F68">
                    <w:rPr>
                      <w:b/>
                    </w:rPr>
                    <w:t>3079.9</w:t>
                  </w:r>
                </w:p>
              </w:tc>
            </w:tr>
          </w:tbl>
          <w:p w:rsidR="007544CA" w:rsidRDefault="007544CA" w:rsidP="00133508">
            <w:pPr>
              <w:pStyle w:val="Box"/>
            </w:pP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Note"/>
              <w:rPr>
                <w:i/>
              </w:rPr>
            </w:pPr>
            <w:r>
              <w:rPr>
                <w:rFonts w:cs="Arial"/>
                <w:szCs w:val="18"/>
              </w:rPr>
              <w:t xml:space="preserve">– Nil. </w:t>
            </w:r>
            <w:r w:rsidRPr="00C74A79">
              <w:rPr>
                <w:rFonts w:cs="Arial"/>
                <w:szCs w:val="18"/>
              </w:rPr>
              <w:t>Figures may not add to totals due to rounding.</w:t>
            </w:r>
            <w:r>
              <w:rPr>
                <w:rFonts w:cs="Arial"/>
                <w:szCs w:val="18"/>
              </w:rPr>
              <w:t xml:space="preserve"> </w:t>
            </w:r>
            <w:r w:rsidRPr="008E77FE">
              <w:rPr>
                <w:rStyle w:val="NoteLabel"/>
              </w:rPr>
              <w:t>a</w:t>
            </w:r>
            <w:r>
              <w:t> </w:t>
            </w:r>
            <w:r w:rsidRPr="008405D4">
              <w:t>Unallocated includes budgetary measures where details of beneficiaries are unknown.</w:t>
            </w: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Source"/>
            </w:pPr>
            <w:r>
              <w:rPr>
                <w:i/>
              </w:rPr>
              <w:t>Source</w:t>
            </w:r>
            <w:r w:rsidRPr="00167F06">
              <w:t xml:space="preserve">: </w:t>
            </w:r>
            <w:r>
              <w:t>Commission estimates.</w:t>
            </w:r>
          </w:p>
        </w:tc>
      </w:tr>
      <w:tr w:rsidR="007544CA" w:rsidTr="00133508">
        <w:trPr>
          <w:cantSplit/>
        </w:trPr>
        <w:tc>
          <w:tcPr>
            <w:tcW w:w="8771" w:type="dxa"/>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BodyText"/>
      </w:pPr>
      <w:r>
        <w:br w:type="page"/>
      </w:r>
    </w:p>
    <w:p w:rsidR="007544CA" w:rsidRDefault="007544CA" w:rsidP="0013350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8"/>
      </w:tblGrid>
      <w:tr w:rsidR="007544CA" w:rsidTr="00133508">
        <w:tc>
          <w:tcPr>
            <w:tcW w:w="8771" w:type="dxa"/>
            <w:tcBorders>
              <w:top w:val="single" w:sz="6" w:space="0" w:color="78A22F"/>
              <w:left w:val="nil"/>
              <w:bottom w:val="nil"/>
              <w:right w:val="nil"/>
            </w:tcBorders>
            <w:shd w:val="clear" w:color="auto" w:fill="auto"/>
          </w:tcPr>
          <w:p w:rsidR="007544CA" w:rsidRDefault="007544CA" w:rsidP="00133508">
            <w:pPr>
              <w:pStyle w:val="TableTitle"/>
            </w:pPr>
            <w:r>
              <w:rPr>
                <w:b w:val="0"/>
              </w:rPr>
              <w:t xml:space="preserve">Table </w:t>
            </w:r>
            <w:r>
              <w:rPr>
                <w:b w:val="0"/>
              </w:rPr>
              <w:fldChar w:fldCharType="begin" w:fldLock="1"/>
            </w:r>
            <w:r>
              <w:rPr>
                <w:b w:val="0"/>
              </w:rPr>
              <w:instrText xml:space="preserve"> COMMENTS  \* MERGEFORMAT </w:instrText>
            </w:r>
            <w:r>
              <w:rPr>
                <w:b w:val="0"/>
              </w:rPr>
              <w:fldChar w:fldCharType="separate"/>
            </w:r>
            <w:proofErr w:type="spellStart"/>
            <w:r>
              <w:rPr>
                <w:b w:val="0"/>
              </w:rPr>
              <w:t>A.</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8</w:t>
            </w:r>
            <w:proofErr w:type="spellEnd"/>
            <w:r>
              <w:rPr>
                <w:b w:val="0"/>
              </w:rPr>
              <w:fldChar w:fldCharType="end"/>
            </w:r>
            <w:r>
              <w:tab/>
            </w:r>
            <w:r w:rsidRPr="00217AFD">
              <w:t xml:space="preserve">Nominal rate of combined assistance on outputs </w:t>
            </w:r>
            <w:r>
              <w:br/>
            </w:r>
            <w:r w:rsidRPr="00217AFD">
              <w:t>by industry grouping, 200</w:t>
            </w:r>
            <w:r>
              <w:t>9</w:t>
            </w:r>
            <w:r>
              <w:noBreakHyphen/>
              <w:t>10</w:t>
            </w:r>
            <w:r w:rsidRPr="00217AFD">
              <w:t xml:space="preserve"> to 201</w:t>
            </w:r>
            <w:r>
              <w:t>4</w:t>
            </w:r>
            <w:r>
              <w:noBreakHyphen/>
            </w:r>
            <w:r w:rsidRPr="00217AFD">
              <w:t>1</w:t>
            </w:r>
            <w:r>
              <w:t>5</w:t>
            </w:r>
            <w:r w:rsidRPr="00F74259">
              <w:rPr>
                <w:rStyle w:val="NoteLabel"/>
                <w:rFonts w:ascii="Arial Bold" w:hAnsi="Arial Bold"/>
                <w:b/>
                <w:position w:val="10"/>
              </w:rPr>
              <w:t>a</w:t>
            </w:r>
          </w:p>
          <w:p w:rsidR="007544CA" w:rsidRPr="00784A05" w:rsidRDefault="007544CA" w:rsidP="00133508">
            <w:pPr>
              <w:pStyle w:val="Subtitle"/>
            </w:pPr>
            <w:r>
              <w:t>per cent</w:t>
            </w:r>
          </w:p>
        </w:tc>
      </w:tr>
      <w:tr w:rsidR="007544CA" w:rsidTr="00133508">
        <w:trPr>
          <w:cantSplit/>
        </w:trPr>
        <w:tc>
          <w:tcPr>
            <w:tcW w:w="8771" w:type="dxa"/>
            <w:tcBorders>
              <w:top w:val="nil"/>
              <w:left w:val="nil"/>
              <w:bottom w:val="nil"/>
              <w:right w:val="nil"/>
            </w:tcBorders>
            <w:shd w:val="clear" w:color="auto" w:fill="auto"/>
          </w:tcPr>
          <w:tbl>
            <w:tblPr>
              <w:tblW w:w="8504" w:type="dxa"/>
              <w:tblCellMar>
                <w:top w:w="28" w:type="dxa"/>
                <w:left w:w="0" w:type="dxa"/>
                <w:right w:w="0" w:type="dxa"/>
              </w:tblCellMar>
              <w:tblLook w:val="0000" w:firstRow="0" w:lastRow="0" w:firstColumn="0" w:lastColumn="0" w:noHBand="0" w:noVBand="0"/>
            </w:tblPr>
            <w:tblGrid>
              <w:gridCol w:w="3404"/>
              <w:gridCol w:w="851"/>
              <w:gridCol w:w="850"/>
              <w:gridCol w:w="850"/>
              <w:gridCol w:w="850"/>
              <w:gridCol w:w="850"/>
              <w:gridCol w:w="849"/>
            </w:tblGrid>
            <w:tr w:rsidR="007544CA" w:rsidTr="00133508">
              <w:tc>
                <w:tcPr>
                  <w:tcW w:w="2001" w:type="pct"/>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r>
                    <w:t>Industry grouping</w:t>
                  </w:r>
                </w:p>
              </w:tc>
              <w:tc>
                <w:tcPr>
                  <w:tcW w:w="500"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2009</w:t>
                  </w:r>
                  <w:r>
                    <w:rPr>
                      <w:szCs w:val="18"/>
                    </w:rPr>
                    <w:noBreakHyphen/>
                  </w:r>
                  <w:r w:rsidRPr="00AB1D7C">
                    <w:rPr>
                      <w:szCs w:val="18"/>
                    </w:rPr>
                    <w:t>10</w:t>
                  </w:r>
                </w:p>
              </w:tc>
              <w:tc>
                <w:tcPr>
                  <w:tcW w:w="500"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2010</w:t>
                  </w:r>
                  <w:r>
                    <w:rPr>
                      <w:szCs w:val="18"/>
                    </w:rPr>
                    <w:noBreakHyphen/>
                  </w:r>
                  <w:r w:rsidRPr="00AB1D7C">
                    <w:rPr>
                      <w:szCs w:val="18"/>
                    </w:rPr>
                    <w:t>11</w:t>
                  </w:r>
                </w:p>
              </w:tc>
              <w:tc>
                <w:tcPr>
                  <w:tcW w:w="500"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2011</w:t>
                  </w:r>
                  <w:r>
                    <w:rPr>
                      <w:szCs w:val="18"/>
                    </w:rPr>
                    <w:noBreakHyphen/>
                  </w:r>
                  <w:r w:rsidRPr="00AB1D7C">
                    <w:rPr>
                      <w:szCs w:val="18"/>
                    </w:rPr>
                    <w:t>12</w:t>
                  </w:r>
                </w:p>
              </w:tc>
              <w:tc>
                <w:tcPr>
                  <w:tcW w:w="500"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2012</w:t>
                  </w:r>
                  <w:r>
                    <w:rPr>
                      <w:szCs w:val="18"/>
                    </w:rPr>
                    <w:noBreakHyphen/>
                  </w:r>
                  <w:r w:rsidRPr="00AB1D7C">
                    <w:rPr>
                      <w:szCs w:val="18"/>
                    </w:rPr>
                    <w:t>13</w:t>
                  </w:r>
                </w:p>
              </w:tc>
              <w:tc>
                <w:tcPr>
                  <w:tcW w:w="500" w:type="pct"/>
                  <w:tcBorders>
                    <w:top w:val="single" w:sz="6" w:space="0" w:color="BFBFBF"/>
                    <w:bottom w:val="single" w:sz="6" w:space="0" w:color="BFBFBF"/>
                  </w:tcBorders>
                  <w:shd w:val="clear" w:color="auto" w:fill="auto"/>
                  <w:tcMar>
                    <w:top w:w="28" w:type="dxa"/>
                  </w:tcMar>
                </w:tcPr>
                <w:p w:rsidR="007544CA" w:rsidRPr="00AB1D7C" w:rsidRDefault="007544CA" w:rsidP="00133508">
                  <w:pPr>
                    <w:pStyle w:val="TableColumnHeading"/>
                    <w:ind w:left="0" w:right="57"/>
                    <w:rPr>
                      <w:szCs w:val="18"/>
                    </w:rPr>
                  </w:pPr>
                  <w:r w:rsidRPr="00AB1D7C">
                    <w:rPr>
                      <w:szCs w:val="18"/>
                    </w:rPr>
                    <w:t>2013</w:t>
                  </w:r>
                  <w:r>
                    <w:rPr>
                      <w:szCs w:val="18"/>
                    </w:rPr>
                    <w:noBreakHyphen/>
                  </w:r>
                  <w:r w:rsidRPr="00AB1D7C">
                    <w:rPr>
                      <w:szCs w:val="18"/>
                    </w:rPr>
                    <w:t>14</w:t>
                  </w:r>
                </w:p>
              </w:tc>
              <w:tc>
                <w:tcPr>
                  <w:tcW w:w="499" w:type="pct"/>
                  <w:tcBorders>
                    <w:top w:val="single" w:sz="6" w:space="0" w:color="BFBFBF"/>
                    <w:bottom w:val="single" w:sz="6" w:space="0" w:color="BFBFBF"/>
                  </w:tcBorders>
                  <w:shd w:val="clear" w:color="auto" w:fill="auto"/>
                  <w:tcMar>
                    <w:top w:w="28" w:type="dxa"/>
                  </w:tcMar>
                </w:tcPr>
                <w:p w:rsidR="007544CA" w:rsidRPr="00AB1D7C" w:rsidRDefault="007544CA" w:rsidP="00133508">
                  <w:pPr>
                    <w:pStyle w:val="TableColumnHeading"/>
                    <w:ind w:left="0" w:right="57"/>
                    <w:rPr>
                      <w:szCs w:val="18"/>
                    </w:rPr>
                  </w:pPr>
                  <w:r w:rsidRPr="00AB1D7C">
                    <w:rPr>
                      <w:szCs w:val="18"/>
                    </w:rPr>
                    <w:t>201</w:t>
                  </w:r>
                  <w:r>
                    <w:rPr>
                      <w:szCs w:val="18"/>
                    </w:rPr>
                    <w:t>4</w:t>
                  </w:r>
                  <w:r>
                    <w:rPr>
                      <w:szCs w:val="18"/>
                    </w:rPr>
                    <w:noBreakHyphen/>
                  </w:r>
                  <w:r w:rsidRPr="00AB1D7C">
                    <w:rPr>
                      <w:szCs w:val="18"/>
                    </w:rPr>
                    <w:t>1</w:t>
                  </w:r>
                  <w:r>
                    <w:rPr>
                      <w:szCs w:val="18"/>
                    </w:rPr>
                    <w:t>5</w:t>
                  </w:r>
                </w:p>
              </w:tc>
            </w:tr>
            <w:tr w:rsidR="007544CA" w:rsidRPr="00A9616E" w:rsidTr="00133508">
              <w:tc>
                <w:tcPr>
                  <w:tcW w:w="2001" w:type="pct"/>
                  <w:tcBorders>
                    <w:top w:val="single" w:sz="6" w:space="0" w:color="BFBFBF"/>
                  </w:tcBorders>
                  <w:vAlign w:val="center"/>
                </w:tcPr>
                <w:p w:rsidR="007544CA" w:rsidRPr="00A9616E" w:rsidRDefault="007544CA" w:rsidP="00133508">
                  <w:pPr>
                    <w:pStyle w:val="TableBodyText"/>
                    <w:jc w:val="left"/>
                    <w:rPr>
                      <w:b/>
                    </w:rPr>
                  </w:pPr>
                  <w:r w:rsidRPr="00A9616E">
                    <w:rPr>
                      <w:b/>
                    </w:rPr>
                    <w:t>Primary Production</w:t>
                  </w:r>
                  <w:r w:rsidRPr="00A9616E">
                    <w:rPr>
                      <w:rStyle w:val="NoteLabel"/>
                    </w:rPr>
                    <w:t>b</w:t>
                  </w:r>
                </w:p>
              </w:tc>
              <w:tc>
                <w:tcPr>
                  <w:tcW w:w="500" w:type="pct"/>
                  <w:tcBorders>
                    <w:top w:val="single" w:sz="6" w:space="0" w:color="BFBFBF"/>
                  </w:tcBorders>
                  <w:vAlign w:val="center"/>
                </w:tcPr>
                <w:p w:rsidR="007544CA" w:rsidRPr="00A9616E" w:rsidRDefault="007544CA" w:rsidP="00133508">
                  <w:pPr>
                    <w:pStyle w:val="TableBodyText"/>
                    <w:rPr>
                      <w:b/>
                    </w:rPr>
                  </w:pPr>
                  <w:r w:rsidRPr="00A9616E">
                    <w:rPr>
                      <w:b/>
                    </w:rPr>
                    <w:t>0.4</w:t>
                  </w:r>
                </w:p>
              </w:tc>
              <w:tc>
                <w:tcPr>
                  <w:tcW w:w="500" w:type="pct"/>
                  <w:tcBorders>
                    <w:top w:val="single" w:sz="6" w:space="0" w:color="BFBFBF"/>
                  </w:tcBorders>
                  <w:vAlign w:val="center"/>
                </w:tcPr>
                <w:p w:rsidR="007544CA" w:rsidRPr="00A9616E" w:rsidRDefault="007544CA" w:rsidP="00133508">
                  <w:pPr>
                    <w:pStyle w:val="TableBodyText"/>
                    <w:rPr>
                      <w:b/>
                    </w:rPr>
                  </w:pPr>
                  <w:r w:rsidRPr="00A9616E">
                    <w:rPr>
                      <w:b/>
                    </w:rPr>
                    <w:t>0.4</w:t>
                  </w:r>
                </w:p>
              </w:tc>
              <w:tc>
                <w:tcPr>
                  <w:tcW w:w="500" w:type="pct"/>
                  <w:tcBorders>
                    <w:top w:val="single" w:sz="6" w:space="0" w:color="BFBFBF"/>
                  </w:tcBorders>
                  <w:vAlign w:val="center"/>
                </w:tcPr>
                <w:p w:rsidR="007544CA" w:rsidRPr="00A9616E" w:rsidRDefault="007544CA" w:rsidP="00133508">
                  <w:pPr>
                    <w:pStyle w:val="TableBodyText"/>
                    <w:rPr>
                      <w:b/>
                    </w:rPr>
                  </w:pPr>
                  <w:r w:rsidRPr="00A9616E">
                    <w:rPr>
                      <w:b/>
                    </w:rPr>
                    <w:t>0.4</w:t>
                  </w:r>
                </w:p>
              </w:tc>
              <w:tc>
                <w:tcPr>
                  <w:tcW w:w="500" w:type="pct"/>
                  <w:tcBorders>
                    <w:top w:val="single" w:sz="6" w:space="0" w:color="BFBFBF"/>
                  </w:tcBorders>
                  <w:vAlign w:val="center"/>
                </w:tcPr>
                <w:p w:rsidR="007544CA" w:rsidRPr="00A9616E" w:rsidRDefault="007544CA" w:rsidP="00133508">
                  <w:pPr>
                    <w:pStyle w:val="TableBodyText"/>
                    <w:rPr>
                      <w:b/>
                    </w:rPr>
                  </w:pPr>
                  <w:r w:rsidRPr="00A9616E">
                    <w:rPr>
                      <w:b/>
                    </w:rPr>
                    <w:t>0.4</w:t>
                  </w:r>
                </w:p>
              </w:tc>
              <w:tc>
                <w:tcPr>
                  <w:tcW w:w="500" w:type="pct"/>
                  <w:tcBorders>
                    <w:top w:val="single" w:sz="6" w:space="0" w:color="BFBFBF"/>
                  </w:tcBorders>
                  <w:vAlign w:val="center"/>
                </w:tcPr>
                <w:p w:rsidR="007544CA" w:rsidRPr="00A9616E" w:rsidRDefault="007544CA" w:rsidP="00133508">
                  <w:pPr>
                    <w:pStyle w:val="TableBodyText"/>
                    <w:rPr>
                      <w:b/>
                    </w:rPr>
                  </w:pPr>
                  <w:r w:rsidRPr="00A9616E">
                    <w:rPr>
                      <w:b/>
                    </w:rPr>
                    <w:t>0.3</w:t>
                  </w:r>
                </w:p>
              </w:tc>
              <w:tc>
                <w:tcPr>
                  <w:tcW w:w="499" w:type="pct"/>
                  <w:tcBorders>
                    <w:top w:val="single" w:sz="6" w:space="0" w:color="BFBFBF"/>
                  </w:tcBorders>
                  <w:vAlign w:val="center"/>
                </w:tcPr>
                <w:p w:rsidR="007544CA" w:rsidRPr="00A9616E" w:rsidRDefault="007544CA" w:rsidP="00133508">
                  <w:pPr>
                    <w:pStyle w:val="TableBodyText"/>
                    <w:rPr>
                      <w:b/>
                    </w:rPr>
                  </w:pPr>
                  <w:r w:rsidRPr="00A9616E">
                    <w:rPr>
                      <w:b/>
                    </w:rPr>
                    <w:t>0.3</w:t>
                  </w:r>
                </w:p>
              </w:tc>
            </w:tr>
            <w:tr w:rsidR="007544CA" w:rsidTr="00133508">
              <w:tc>
                <w:tcPr>
                  <w:tcW w:w="2001" w:type="pct"/>
                  <w:vAlign w:val="bottom"/>
                </w:tcPr>
                <w:p w:rsidR="007544CA" w:rsidRPr="00937824" w:rsidRDefault="007544CA" w:rsidP="00133508">
                  <w:pPr>
                    <w:pStyle w:val="TableBodyText"/>
                    <w:jc w:val="left"/>
                  </w:pPr>
                  <w:r w:rsidRPr="00937824">
                    <w:t>Horticulture and fruit growing</w:t>
                  </w:r>
                </w:p>
              </w:tc>
              <w:tc>
                <w:tcPr>
                  <w:tcW w:w="500" w:type="pct"/>
                  <w:vAlign w:val="center"/>
                </w:tcPr>
                <w:p w:rsidR="007544CA" w:rsidRPr="00416800" w:rsidRDefault="007544CA" w:rsidP="00133508">
                  <w:pPr>
                    <w:pStyle w:val="TableBodyText"/>
                  </w:pPr>
                  <w:r w:rsidRPr="00416800">
                    <w:t>1.1</w:t>
                  </w:r>
                </w:p>
              </w:tc>
              <w:tc>
                <w:tcPr>
                  <w:tcW w:w="500" w:type="pct"/>
                  <w:vAlign w:val="center"/>
                </w:tcPr>
                <w:p w:rsidR="007544CA" w:rsidRPr="00416800" w:rsidRDefault="007544CA" w:rsidP="00133508">
                  <w:pPr>
                    <w:pStyle w:val="TableBodyText"/>
                  </w:pPr>
                  <w:r w:rsidRPr="00416800">
                    <w:t>1.1</w:t>
                  </w:r>
                </w:p>
              </w:tc>
              <w:tc>
                <w:tcPr>
                  <w:tcW w:w="500" w:type="pct"/>
                  <w:vAlign w:val="center"/>
                </w:tcPr>
                <w:p w:rsidR="007544CA" w:rsidRPr="00416800" w:rsidRDefault="007544CA" w:rsidP="00133508">
                  <w:pPr>
                    <w:pStyle w:val="TableBodyText"/>
                  </w:pPr>
                  <w:r w:rsidRPr="00416800">
                    <w:t>1.2</w:t>
                  </w:r>
                </w:p>
              </w:tc>
              <w:tc>
                <w:tcPr>
                  <w:tcW w:w="500" w:type="pct"/>
                  <w:vAlign w:val="center"/>
                </w:tcPr>
                <w:p w:rsidR="007544CA" w:rsidRPr="00416800" w:rsidRDefault="007544CA" w:rsidP="00133508">
                  <w:pPr>
                    <w:pStyle w:val="TableBodyText"/>
                  </w:pPr>
                  <w:r w:rsidRPr="00416800">
                    <w:t>1.2</w:t>
                  </w:r>
                </w:p>
              </w:tc>
              <w:tc>
                <w:tcPr>
                  <w:tcW w:w="500" w:type="pct"/>
                  <w:vAlign w:val="center"/>
                </w:tcPr>
                <w:p w:rsidR="007544CA" w:rsidRPr="00416800" w:rsidRDefault="007544CA" w:rsidP="00133508">
                  <w:pPr>
                    <w:pStyle w:val="TableBodyText"/>
                  </w:pPr>
                  <w:r w:rsidRPr="00416800">
                    <w:t>1.2</w:t>
                  </w:r>
                </w:p>
              </w:tc>
              <w:tc>
                <w:tcPr>
                  <w:tcW w:w="499" w:type="pct"/>
                  <w:vAlign w:val="center"/>
                </w:tcPr>
                <w:p w:rsidR="007544CA" w:rsidRPr="00416800" w:rsidRDefault="007544CA" w:rsidP="00133508">
                  <w:pPr>
                    <w:pStyle w:val="TableBodyText"/>
                  </w:pPr>
                  <w:r w:rsidRPr="00416800">
                    <w:t>1.1</w:t>
                  </w:r>
                </w:p>
              </w:tc>
            </w:tr>
            <w:tr w:rsidR="007544CA" w:rsidTr="00133508">
              <w:tc>
                <w:tcPr>
                  <w:tcW w:w="2001" w:type="pct"/>
                  <w:shd w:val="clear" w:color="auto" w:fill="auto"/>
                  <w:vAlign w:val="bottom"/>
                </w:tcPr>
                <w:p w:rsidR="007544CA" w:rsidRPr="00937824" w:rsidRDefault="007544CA" w:rsidP="00133508">
                  <w:pPr>
                    <w:pStyle w:val="TableBodyText"/>
                    <w:jc w:val="left"/>
                  </w:pPr>
                  <w:r w:rsidRPr="00937824">
                    <w:t>Sheep, beef cattle and grain farming</w:t>
                  </w:r>
                </w:p>
              </w:tc>
              <w:tc>
                <w:tcPr>
                  <w:tcW w:w="500" w:type="pct"/>
                  <w:vAlign w:val="center"/>
                </w:tcPr>
                <w:p w:rsidR="007544CA" w:rsidRPr="00416800" w:rsidRDefault="007544CA" w:rsidP="00133508">
                  <w:pPr>
                    <w:pStyle w:val="TableBodyText"/>
                  </w:pPr>
                  <w:r w:rsidRPr="00416800">
                    <w:t>0.0</w:t>
                  </w:r>
                </w:p>
              </w:tc>
              <w:tc>
                <w:tcPr>
                  <w:tcW w:w="500" w:type="pct"/>
                  <w:vAlign w:val="center"/>
                </w:tcPr>
                <w:p w:rsidR="007544CA" w:rsidRPr="00416800" w:rsidRDefault="007544CA" w:rsidP="00133508">
                  <w:pPr>
                    <w:pStyle w:val="TableBodyText"/>
                  </w:pPr>
                  <w:r w:rsidRPr="00416800">
                    <w:t>0.0</w:t>
                  </w:r>
                </w:p>
              </w:tc>
              <w:tc>
                <w:tcPr>
                  <w:tcW w:w="500" w:type="pct"/>
                  <w:vAlign w:val="center"/>
                </w:tcPr>
                <w:p w:rsidR="007544CA" w:rsidRPr="00416800" w:rsidRDefault="007544CA" w:rsidP="00133508">
                  <w:pPr>
                    <w:pStyle w:val="TableBodyText"/>
                  </w:pPr>
                  <w:r w:rsidRPr="00416800">
                    <w:t>0.0</w:t>
                  </w:r>
                </w:p>
              </w:tc>
              <w:tc>
                <w:tcPr>
                  <w:tcW w:w="500" w:type="pct"/>
                  <w:vAlign w:val="center"/>
                </w:tcPr>
                <w:p w:rsidR="007544CA" w:rsidRPr="00416800" w:rsidRDefault="007544CA" w:rsidP="00133508">
                  <w:pPr>
                    <w:pStyle w:val="TableBodyText"/>
                  </w:pPr>
                  <w:r w:rsidRPr="00416800">
                    <w:t>0.0</w:t>
                  </w:r>
                </w:p>
              </w:tc>
              <w:tc>
                <w:tcPr>
                  <w:tcW w:w="500" w:type="pct"/>
                  <w:shd w:val="clear" w:color="auto" w:fill="auto"/>
                  <w:vAlign w:val="center"/>
                </w:tcPr>
                <w:p w:rsidR="007544CA" w:rsidRPr="00416800" w:rsidRDefault="007544CA" w:rsidP="00133508">
                  <w:pPr>
                    <w:pStyle w:val="TableBodyText"/>
                  </w:pPr>
                  <w:r w:rsidRPr="00416800">
                    <w:t>0.0</w:t>
                  </w:r>
                </w:p>
              </w:tc>
              <w:tc>
                <w:tcPr>
                  <w:tcW w:w="499" w:type="pct"/>
                  <w:shd w:val="clear" w:color="auto" w:fill="auto"/>
                  <w:vAlign w:val="center"/>
                </w:tcPr>
                <w:p w:rsidR="007544CA" w:rsidRPr="00416800" w:rsidRDefault="007544CA" w:rsidP="00133508">
                  <w:pPr>
                    <w:pStyle w:val="TableBodyText"/>
                  </w:pPr>
                  <w:r w:rsidRPr="00416800">
                    <w:t>0.0</w:t>
                  </w:r>
                </w:p>
              </w:tc>
            </w:tr>
            <w:tr w:rsidR="007544CA" w:rsidTr="00133508">
              <w:tc>
                <w:tcPr>
                  <w:tcW w:w="2001" w:type="pct"/>
                  <w:shd w:val="clear" w:color="auto" w:fill="auto"/>
                  <w:vAlign w:val="bottom"/>
                </w:tcPr>
                <w:p w:rsidR="007544CA" w:rsidRPr="00937824" w:rsidRDefault="007544CA" w:rsidP="00133508">
                  <w:pPr>
                    <w:pStyle w:val="TableBodyText"/>
                    <w:jc w:val="left"/>
                  </w:pPr>
                  <w:r w:rsidRPr="00937824">
                    <w:t>Other crop growing</w:t>
                  </w:r>
                </w:p>
              </w:tc>
              <w:tc>
                <w:tcPr>
                  <w:tcW w:w="500" w:type="pct"/>
                  <w:vAlign w:val="center"/>
                </w:tcPr>
                <w:p w:rsidR="007544CA" w:rsidRPr="00416800" w:rsidRDefault="007544CA" w:rsidP="00133508">
                  <w:pPr>
                    <w:pStyle w:val="TableBodyText"/>
                  </w:pPr>
                  <w:r w:rsidRPr="00416800">
                    <w:t>0.0</w:t>
                  </w:r>
                </w:p>
              </w:tc>
              <w:tc>
                <w:tcPr>
                  <w:tcW w:w="500" w:type="pct"/>
                  <w:vAlign w:val="center"/>
                </w:tcPr>
                <w:p w:rsidR="007544CA" w:rsidRPr="00416800" w:rsidRDefault="007544CA" w:rsidP="00133508">
                  <w:pPr>
                    <w:pStyle w:val="TableBodyText"/>
                  </w:pPr>
                  <w:r w:rsidRPr="00416800">
                    <w:t>0.0</w:t>
                  </w:r>
                </w:p>
              </w:tc>
              <w:tc>
                <w:tcPr>
                  <w:tcW w:w="500" w:type="pct"/>
                  <w:vAlign w:val="center"/>
                </w:tcPr>
                <w:p w:rsidR="007544CA" w:rsidRPr="00416800" w:rsidRDefault="007544CA" w:rsidP="00133508">
                  <w:pPr>
                    <w:pStyle w:val="TableBodyText"/>
                  </w:pPr>
                  <w:r w:rsidRPr="00416800">
                    <w:t>0.0</w:t>
                  </w:r>
                </w:p>
              </w:tc>
              <w:tc>
                <w:tcPr>
                  <w:tcW w:w="500" w:type="pct"/>
                  <w:vAlign w:val="center"/>
                </w:tcPr>
                <w:p w:rsidR="007544CA" w:rsidRPr="00416800" w:rsidRDefault="007544CA" w:rsidP="00133508">
                  <w:pPr>
                    <w:pStyle w:val="TableBodyText"/>
                  </w:pPr>
                  <w:r w:rsidRPr="00416800">
                    <w:t>0.0</w:t>
                  </w:r>
                </w:p>
              </w:tc>
              <w:tc>
                <w:tcPr>
                  <w:tcW w:w="500" w:type="pct"/>
                  <w:shd w:val="clear" w:color="auto" w:fill="auto"/>
                  <w:vAlign w:val="center"/>
                </w:tcPr>
                <w:p w:rsidR="007544CA" w:rsidRPr="00416800" w:rsidRDefault="007544CA" w:rsidP="00133508">
                  <w:pPr>
                    <w:pStyle w:val="TableBodyText"/>
                  </w:pPr>
                  <w:r w:rsidRPr="00416800">
                    <w:t>0.0</w:t>
                  </w:r>
                </w:p>
              </w:tc>
              <w:tc>
                <w:tcPr>
                  <w:tcW w:w="499" w:type="pct"/>
                  <w:shd w:val="clear" w:color="auto" w:fill="auto"/>
                  <w:vAlign w:val="center"/>
                </w:tcPr>
                <w:p w:rsidR="007544CA" w:rsidRPr="00416800" w:rsidRDefault="007544CA" w:rsidP="00133508">
                  <w:pPr>
                    <w:pStyle w:val="TableBodyText"/>
                  </w:pPr>
                  <w:r w:rsidRPr="00416800">
                    <w:t>0.0</w:t>
                  </w:r>
                </w:p>
              </w:tc>
            </w:tr>
            <w:tr w:rsidR="007544CA" w:rsidTr="00133508">
              <w:tc>
                <w:tcPr>
                  <w:tcW w:w="2001" w:type="pct"/>
                  <w:shd w:val="clear" w:color="auto" w:fill="auto"/>
                  <w:vAlign w:val="bottom"/>
                </w:tcPr>
                <w:p w:rsidR="007544CA" w:rsidRPr="00937824" w:rsidRDefault="007544CA" w:rsidP="00133508">
                  <w:pPr>
                    <w:pStyle w:val="TableBodyText"/>
                    <w:jc w:val="left"/>
                  </w:pPr>
                  <w:r w:rsidRPr="00937824">
                    <w:t>Dairy cattle farming</w:t>
                  </w:r>
                </w:p>
              </w:tc>
              <w:tc>
                <w:tcPr>
                  <w:tcW w:w="500" w:type="pct"/>
                  <w:vAlign w:val="center"/>
                </w:tcPr>
                <w:p w:rsidR="007544CA" w:rsidRPr="00416800" w:rsidRDefault="007544CA" w:rsidP="00133508">
                  <w:pPr>
                    <w:pStyle w:val="TableBodyText"/>
                  </w:pPr>
                  <w:r w:rsidRPr="00416800">
                    <w:t>0.0</w:t>
                  </w:r>
                </w:p>
              </w:tc>
              <w:tc>
                <w:tcPr>
                  <w:tcW w:w="500" w:type="pct"/>
                  <w:vAlign w:val="center"/>
                </w:tcPr>
                <w:p w:rsidR="007544CA" w:rsidRPr="00416800" w:rsidRDefault="007544CA" w:rsidP="00133508">
                  <w:pPr>
                    <w:pStyle w:val="TableBodyText"/>
                  </w:pPr>
                  <w:r w:rsidRPr="00416800">
                    <w:t>0.0</w:t>
                  </w:r>
                </w:p>
              </w:tc>
              <w:tc>
                <w:tcPr>
                  <w:tcW w:w="500" w:type="pct"/>
                  <w:vAlign w:val="center"/>
                </w:tcPr>
                <w:p w:rsidR="007544CA" w:rsidRPr="00416800" w:rsidRDefault="007544CA" w:rsidP="00133508">
                  <w:pPr>
                    <w:pStyle w:val="TableBodyText"/>
                  </w:pPr>
                  <w:r w:rsidRPr="00416800">
                    <w:t>0.0</w:t>
                  </w:r>
                </w:p>
              </w:tc>
              <w:tc>
                <w:tcPr>
                  <w:tcW w:w="500" w:type="pct"/>
                  <w:vAlign w:val="center"/>
                </w:tcPr>
                <w:p w:rsidR="007544CA" w:rsidRPr="00416800" w:rsidRDefault="007544CA" w:rsidP="00133508">
                  <w:pPr>
                    <w:pStyle w:val="TableBodyText"/>
                  </w:pPr>
                  <w:r w:rsidRPr="00416800">
                    <w:t>0.0</w:t>
                  </w:r>
                </w:p>
              </w:tc>
              <w:tc>
                <w:tcPr>
                  <w:tcW w:w="500" w:type="pct"/>
                  <w:shd w:val="clear" w:color="auto" w:fill="auto"/>
                  <w:vAlign w:val="center"/>
                </w:tcPr>
                <w:p w:rsidR="007544CA" w:rsidRPr="00416800" w:rsidRDefault="007544CA" w:rsidP="00133508">
                  <w:pPr>
                    <w:pStyle w:val="TableBodyText"/>
                  </w:pPr>
                  <w:r w:rsidRPr="00416800">
                    <w:t>0.0</w:t>
                  </w:r>
                </w:p>
              </w:tc>
              <w:tc>
                <w:tcPr>
                  <w:tcW w:w="499" w:type="pct"/>
                  <w:shd w:val="clear" w:color="auto" w:fill="auto"/>
                  <w:vAlign w:val="center"/>
                </w:tcPr>
                <w:p w:rsidR="007544CA" w:rsidRPr="00416800" w:rsidRDefault="007544CA" w:rsidP="00133508">
                  <w:pPr>
                    <w:pStyle w:val="TableBodyText"/>
                  </w:pPr>
                  <w:r w:rsidRPr="00416800">
                    <w:t>0.0</w:t>
                  </w:r>
                </w:p>
              </w:tc>
            </w:tr>
            <w:tr w:rsidR="007544CA" w:rsidTr="00133508">
              <w:tc>
                <w:tcPr>
                  <w:tcW w:w="2001" w:type="pct"/>
                  <w:shd w:val="clear" w:color="auto" w:fill="auto"/>
                  <w:vAlign w:val="bottom"/>
                </w:tcPr>
                <w:p w:rsidR="007544CA" w:rsidRPr="00937824" w:rsidRDefault="007544CA" w:rsidP="00133508">
                  <w:pPr>
                    <w:pStyle w:val="TableBodyText"/>
                    <w:jc w:val="left"/>
                  </w:pPr>
                  <w:r w:rsidRPr="00937824">
                    <w:t>Other livestock farming</w:t>
                  </w:r>
                </w:p>
              </w:tc>
              <w:tc>
                <w:tcPr>
                  <w:tcW w:w="500" w:type="pct"/>
                  <w:vAlign w:val="center"/>
                </w:tcPr>
                <w:p w:rsidR="007544CA" w:rsidRPr="00416800" w:rsidRDefault="007544CA" w:rsidP="00133508">
                  <w:pPr>
                    <w:pStyle w:val="TableBodyText"/>
                  </w:pPr>
                  <w:r w:rsidRPr="00416800">
                    <w:t>0.0</w:t>
                  </w:r>
                </w:p>
              </w:tc>
              <w:tc>
                <w:tcPr>
                  <w:tcW w:w="500" w:type="pct"/>
                  <w:vAlign w:val="center"/>
                </w:tcPr>
                <w:p w:rsidR="007544CA" w:rsidRPr="00416800" w:rsidRDefault="007544CA" w:rsidP="00133508">
                  <w:pPr>
                    <w:pStyle w:val="TableBodyText"/>
                  </w:pPr>
                  <w:r w:rsidRPr="00416800">
                    <w:t>0.0</w:t>
                  </w:r>
                </w:p>
              </w:tc>
              <w:tc>
                <w:tcPr>
                  <w:tcW w:w="500" w:type="pct"/>
                  <w:vAlign w:val="center"/>
                </w:tcPr>
                <w:p w:rsidR="007544CA" w:rsidRPr="00416800" w:rsidRDefault="007544CA" w:rsidP="00133508">
                  <w:pPr>
                    <w:pStyle w:val="TableBodyText"/>
                  </w:pPr>
                  <w:r w:rsidRPr="00416800">
                    <w:t>0.0</w:t>
                  </w:r>
                </w:p>
              </w:tc>
              <w:tc>
                <w:tcPr>
                  <w:tcW w:w="500" w:type="pct"/>
                  <w:vAlign w:val="center"/>
                </w:tcPr>
                <w:p w:rsidR="007544CA" w:rsidRPr="00416800" w:rsidRDefault="007544CA" w:rsidP="00133508">
                  <w:pPr>
                    <w:pStyle w:val="TableBodyText"/>
                  </w:pPr>
                  <w:r w:rsidRPr="00416800">
                    <w:t>0.0</w:t>
                  </w:r>
                </w:p>
              </w:tc>
              <w:tc>
                <w:tcPr>
                  <w:tcW w:w="500" w:type="pct"/>
                  <w:shd w:val="clear" w:color="auto" w:fill="auto"/>
                  <w:vAlign w:val="center"/>
                </w:tcPr>
                <w:p w:rsidR="007544CA" w:rsidRPr="00416800" w:rsidRDefault="007544CA" w:rsidP="00133508">
                  <w:pPr>
                    <w:pStyle w:val="TableBodyText"/>
                  </w:pPr>
                  <w:r w:rsidRPr="00416800">
                    <w:t>0.0</w:t>
                  </w:r>
                </w:p>
              </w:tc>
              <w:tc>
                <w:tcPr>
                  <w:tcW w:w="499" w:type="pct"/>
                  <w:shd w:val="clear" w:color="auto" w:fill="auto"/>
                  <w:vAlign w:val="center"/>
                </w:tcPr>
                <w:p w:rsidR="007544CA" w:rsidRPr="00416800" w:rsidRDefault="007544CA" w:rsidP="00133508">
                  <w:pPr>
                    <w:pStyle w:val="TableBodyText"/>
                  </w:pPr>
                  <w:r w:rsidRPr="00416800">
                    <w:t>0.0</w:t>
                  </w:r>
                </w:p>
              </w:tc>
            </w:tr>
            <w:tr w:rsidR="007544CA" w:rsidTr="00133508">
              <w:tc>
                <w:tcPr>
                  <w:tcW w:w="2001" w:type="pct"/>
                  <w:shd w:val="clear" w:color="auto" w:fill="auto"/>
                  <w:vAlign w:val="bottom"/>
                </w:tcPr>
                <w:p w:rsidR="007544CA" w:rsidRPr="00937824" w:rsidRDefault="007544CA" w:rsidP="00133508">
                  <w:pPr>
                    <w:pStyle w:val="TableBodyText"/>
                    <w:jc w:val="left"/>
                  </w:pPr>
                  <w:r w:rsidRPr="00937824">
                    <w:t>Aquaculture and fishing</w:t>
                  </w:r>
                </w:p>
              </w:tc>
              <w:tc>
                <w:tcPr>
                  <w:tcW w:w="500" w:type="pct"/>
                  <w:vAlign w:val="center"/>
                </w:tcPr>
                <w:p w:rsidR="007544CA" w:rsidRPr="00416800" w:rsidRDefault="007544CA" w:rsidP="00133508">
                  <w:pPr>
                    <w:pStyle w:val="TableBodyText"/>
                  </w:pPr>
                  <w:r w:rsidRPr="00416800">
                    <w:t>0.2</w:t>
                  </w:r>
                </w:p>
              </w:tc>
              <w:tc>
                <w:tcPr>
                  <w:tcW w:w="500" w:type="pct"/>
                  <w:vAlign w:val="center"/>
                </w:tcPr>
                <w:p w:rsidR="007544CA" w:rsidRPr="00416800" w:rsidRDefault="007544CA" w:rsidP="00133508">
                  <w:pPr>
                    <w:pStyle w:val="TableBodyText"/>
                  </w:pPr>
                  <w:r w:rsidRPr="00416800">
                    <w:t>0.2</w:t>
                  </w:r>
                </w:p>
              </w:tc>
              <w:tc>
                <w:tcPr>
                  <w:tcW w:w="500" w:type="pct"/>
                  <w:vAlign w:val="center"/>
                </w:tcPr>
                <w:p w:rsidR="007544CA" w:rsidRPr="00416800" w:rsidRDefault="007544CA" w:rsidP="00133508">
                  <w:pPr>
                    <w:pStyle w:val="TableBodyText"/>
                  </w:pPr>
                  <w:r w:rsidRPr="00416800">
                    <w:t>0.2</w:t>
                  </w:r>
                </w:p>
              </w:tc>
              <w:tc>
                <w:tcPr>
                  <w:tcW w:w="500" w:type="pct"/>
                  <w:vAlign w:val="center"/>
                </w:tcPr>
                <w:p w:rsidR="007544CA" w:rsidRPr="00416800" w:rsidRDefault="007544CA" w:rsidP="00133508">
                  <w:pPr>
                    <w:pStyle w:val="TableBodyText"/>
                  </w:pPr>
                  <w:r w:rsidRPr="00416800">
                    <w:t>0.1</w:t>
                  </w:r>
                </w:p>
              </w:tc>
              <w:tc>
                <w:tcPr>
                  <w:tcW w:w="500" w:type="pct"/>
                  <w:shd w:val="clear" w:color="auto" w:fill="auto"/>
                  <w:vAlign w:val="center"/>
                </w:tcPr>
                <w:p w:rsidR="007544CA" w:rsidRPr="00416800" w:rsidRDefault="007544CA" w:rsidP="00133508">
                  <w:pPr>
                    <w:pStyle w:val="TableBodyText"/>
                  </w:pPr>
                  <w:r w:rsidRPr="00416800">
                    <w:t>0.1</w:t>
                  </w:r>
                </w:p>
              </w:tc>
              <w:tc>
                <w:tcPr>
                  <w:tcW w:w="499" w:type="pct"/>
                  <w:shd w:val="clear" w:color="auto" w:fill="auto"/>
                  <w:vAlign w:val="center"/>
                </w:tcPr>
                <w:p w:rsidR="007544CA" w:rsidRPr="00416800" w:rsidRDefault="007544CA" w:rsidP="00133508">
                  <w:pPr>
                    <w:pStyle w:val="TableBodyText"/>
                  </w:pPr>
                  <w:r w:rsidRPr="00416800">
                    <w:t>0.1</w:t>
                  </w:r>
                </w:p>
              </w:tc>
            </w:tr>
            <w:tr w:rsidR="007544CA" w:rsidTr="00133508">
              <w:tc>
                <w:tcPr>
                  <w:tcW w:w="2001" w:type="pct"/>
                  <w:shd w:val="clear" w:color="auto" w:fill="auto"/>
                  <w:vAlign w:val="bottom"/>
                </w:tcPr>
                <w:p w:rsidR="007544CA" w:rsidRPr="00937824" w:rsidRDefault="007544CA" w:rsidP="00133508">
                  <w:pPr>
                    <w:pStyle w:val="TableBodyText"/>
                    <w:jc w:val="left"/>
                  </w:pPr>
                  <w:r w:rsidRPr="00937824">
                    <w:t>Forestry and logging</w:t>
                  </w:r>
                </w:p>
              </w:tc>
              <w:tc>
                <w:tcPr>
                  <w:tcW w:w="500" w:type="pct"/>
                  <w:vAlign w:val="center"/>
                </w:tcPr>
                <w:p w:rsidR="007544CA" w:rsidRPr="00416800" w:rsidRDefault="007544CA" w:rsidP="00133508">
                  <w:pPr>
                    <w:pStyle w:val="TableBodyText"/>
                  </w:pPr>
                  <w:r w:rsidRPr="00416800">
                    <w:t>2.1</w:t>
                  </w:r>
                </w:p>
              </w:tc>
              <w:tc>
                <w:tcPr>
                  <w:tcW w:w="500" w:type="pct"/>
                  <w:vAlign w:val="center"/>
                </w:tcPr>
                <w:p w:rsidR="007544CA" w:rsidRPr="00416800" w:rsidRDefault="007544CA" w:rsidP="00133508">
                  <w:pPr>
                    <w:pStyle w:val="TableBodyText"/>
                  </w:pPr>
                  <w:r w:rsidRPr="00416800">
                    <w:t>2.1</w:t>
                  </w:r>
                </w:p>
              </w:tc>
              <w:tc>
                <w:tcPr>
                  <w:tcW w:w="500" w:type="pct"/>
                  <w:vAlign w:val="center"/>
                </w:tcPr>
                <w:p w:rsidR="007544CA" w:rsidRPr="00416800" w:rsidRDefault="007544CA" w:rsidP="00133508">
                  <w:pPr>
                    <w:pStyle w:val="TableBodyText"/>
                  </w:pPr>
                  <w:r w:rsidRPr="00416800">
                    <w:t>2.1</w:t>
                  </w:r>
                </w:p>
              </w:tc>
              <w:tc>
                <w:tcPr>
                  <w:tcW w:w="500" w:type="pct"/>
                  <w:vAlign w:val="center"/>
                </w:tcPr>
                <w:p w:rsidR="007544CA" w:rsidRPr="00416800" w:rsidRDefault="007544CA" w:rsidP="00133508">
                  <w:pPr>
                    <w:pStyle w:val="TableBodyText"/>
                  </w:pPr>
                  <w:r w:rsidRPr="00416800">
                    <w:t>2.1</w:t>
                  </w:r>
                </w:p>
              </w:tc>
              <w:tc>
                <w:tcPr>
                  <w:tcW w:w="500" w:type="pct"/>
                  <w:shd w:val="clear" w:color="auto" w:fill="auto"/>
                  <w:vAlign w:val="center"/>
                </w:tcPr>
                <w:p w:rsidR="007544CA" w:rsidRPr="00416800" w:rsidRDefault="007544CA" w:rsidP="00133508">
                  <w:pPr>
                    <w:pStyle w:val="TableBodyText"/>
                  </w:pPr>
                  <w:r w:rsidRPr="00416800">
                    <w:t>2.1</w:t>
                  </w:r>
                </w:p>
              </w:tc>
              <w:tc>
                <w:tcPr>
                  <w:tcW w:w="499" w:type="pct"/>
                  <w:shd w:val="clear" w:color="auto" w:fill="auto"/>
                  <w:vAlign w:val="center"/>
                </w:tcPr>
                <w:p w:rsidR="007544CA" w:rsidRPr="00416800" w:rsidRDefault="007544CA" w:rsidP="00133508">
                  <w:pPr>
                    <w:pStyle w:val="TableBodyText"/>
                  </w:pPr>
                  <w:r w:rsidRPr="00416800">
                    <w:t>2.1</w:t>
                  </w:r>
                </w:p>
              </w:tc>
            </w:tr>
            <w:tr w:rsidR="007544CA" w:rsidTr="00133508">
              <w:tc>
                <w:tcPr>
                  <w:tcW w:w="2001" w:type="pct"/>
                  <w:shd w:val="clear" w:color="auto" w:fill="auto"/>
                  <w:vAlign w:val="bottom"/>
                </w:tcPr>
                <w:p w:rsidR="007544CA" w:rsidRPr="00937824" w:rsidRDefault="007544CA" w:rsidP="00133508">
                  <w:pPr>
                    <w:pStyle w:val="TableBodyText"/>
                    <w:jc w:val="left"/>
                  </w:pPr>
                  <w:r w:rsidRPr="00937824">
                    <w:t>Primary production support services</w:t>
                  </w:r>
                </w:p>
              </w:tc>
              <w:tc>
                <w:tcPr>
                  <w:tcW w:w="500" w:type="pct"/>
                  <w:vAlign w:val="center"/>
                </w:tcPr>
                <w:p w:rsidR="007544CA" w:rsidRPr="00416800" w:rsidRDefault="007544CA" w:rsidP="00133508">
                  <w:pPr>
                    <w:pStyle w:val="TableBodyText"/>
                  </w:pPr>
                  <w:r w:rsidRPr="00416800">
                    <w:t>0.0</w:t>
                  </w:r>
                </w:p>
              </w:tc>
              <w:tc>
                <w:tcPr>
                  <w:tcW w:w="500" w:type="pct"/>
                  <w:vAlign w:val="center"/>
                </w:tcPr>
                <w:p w:rsidR="007544CA" w:rsidRPr="00416800" w:rsidRDefault="007544CA" w:rsidP="00133508">
                  <w:pPr>
                    <w:pStyle w:val="TableBodyText"/>
                  </w:pPr>
                  <w:r w:rsidRPr="00416800">
                    <w:t>0.0</w:t>
                  </w:r>
                </w:p>
              </w:tc>
              <w:tc>
                <w:tcPr>
                  <w:tcW w:w="500" w:type="pct"/>
                  <w:vAlign w:val="center"/>
                </w:tcPr>
                <w:p w:rsidR="007544CA" w:rsidRPr="00416800" w:rsidRDefault="007544CA" w:rsidP="00133508">
                  <w:pPr>
                    <w:pStyle w:val="TableBodyText"/>
                  </w:pPr>
                  <w:r w:rsidRPr="00416800">
                    <w:t>0.0</w:t>
                  </w:r>
                </w:p>
              </w:tc>
              <w:tc>
                <w:tcPr>
                  <w:tcW w:w="500" w:type="pct"/>
                  <w:vAlign w:val="center"/>
                </w:tcPr>
                <w:p w:rsidR="007544CA" w:rsidRPr="00416800" w:rsidRDefault="007544CA" w:rsidP="00133508">
                  <w:pPr>
                    <w:pStyle w:val="TableBodyText"/>
                  </w:pPr>
                  <w:r w:rsidRPr="00416800">
                    <w:t>0.0</w:t>
                  </w:r>
                </w:p>
              </w:tc>
              <w:tc>
                <w:tcPr>
                  <w:tcW w:w="500" w:type="pct"/>
                  <w:shd w:val="clear" w:color="auto" w:fill="auto"/>
                  <w:vAlign w:val="center"/>
                </w:tcPr>
                <w:p w:rsidR="007544CA" w:rsidRPr="00416800" w:rsidRDefault="007544CA" w:rsidP="00133508">
                  <w:pPr>
                    <w:pStyle w:val="TableBodyText"/>
                  </w:pPr>
                  <w:r w:rsidRPr="00416800">
                    <w:t>0.0</w:t>
                  </w:r>
                </w:p>
              </w:tc>
              <w:tc>
                <w:tcPr>
                  <w:tcW w:w="499" w:type="pct"/>
                  <w:shd w:val="clear" w:color="auto" w:fill="auto"/>
                  <w:vAlign w:val="center"/>
                </w:tcPr>
                <w:p w:rsidR="007544CA" w:rsidRPr="00416800" w:rsidRDefault="007544CA" w:rsidP="00133508">
                  <w:pPr>
                    <w:pStyle w:val="TableBodyText"/>
                  </w:pPr>
                  <w:r w:rsidRPr="00416800">
                    <w:t>0.0</w:t>
                  </w:r>
                </w:p>
              </w:tc>
            </w:tr>
            <w:tr w:rsidR="007544CA" w:rsidRPr="00A9616E" w:rsidTr="00133508">
              <w:tc>
                <w:tcPr>
                  <w:tcW w:w="2001" w:type="pct"/>
                  <w:shd w:val="clear" w:color="auto" w:fill="auto"/>
                  <w:vAlign w:val="bottom"/>
                </w:tcPr>
                <w:p w:rsidR="007544CA" w:rsidRPr="00A9616E" w:rsidRDefault="007544CA" w:rsidP="00133508">
                  <w:pPr>
                    <w:pStyle w:val="TableBodyText"/>
                    <w:jc w:val="left"/>
                    <w:rPr>
                      <w:b/>
                    </w:rPr>
                  </w:pPr>
                  <w:r w:rsidRPr="00A9616E">
                    <w:rPr>
                      <w:b/>
                    </w:rPr>
                    <w:t>Mining</w:t>
                  </w:r>
                </w:p>
              </w:tc>
              <w:tc>
                <w:tcPr>
                  <w:tcW w:w="500" w:type="pct"/>
                  <w:vAlign w:val="center"/>
                </w:tcPr>
                <w:p w:rsidR="007544CA" w:rsidRPr="00A9616E" w:rsidRDefault="007544CA" w:rsidP="00133508">
                  <w:pPr>
                    <w:pStyle w:val="TableBodyText"/>
                    <w:rPr>
                      <w:b/>
                    </w:rPr>
                  </w:pPr>
                  <w:r w:rsidRPr="00A9616E">
                    <w:rPr>
                      <w:b/>
                    </w:rPr>
                    <w:t>0.0</w:t>
                  </w:r>
                </w:p>
              </w:tc>
              <w:tc>
                <w:tcPr>
                  <w:tcW w:w="500" w:type="pct"/>
                  <w:vAlign w:val="center"/>
                </w:tcPr>
                <w:p w:rsidR="007544CA" w:rsidRPr="00A9616E" w:rsidRDefault="007544CA" w:rsidP="00133508">
                  <w:pPr>
                    <w:pStyle w:val="TableBodyText"/>
                    <w:rPr>
                      <w:b/>
                    </w:rPr>
                  </w:pPr>
                  <w:r w:rsidRPr="00A9616E">
                    <w:rPr>
                      <w:b/>
                    </w:rPr>
                    <w:t>0.0</w:t>
                  </w:r>
                </w:p>
              </w:tc>
              <w:tc>
                <w:tcPr>
                  <w:tcW w:w="500" w:type="pct"/>
                  <w:vAlign w:val="center"/>
                </w:tcPr>
                <w:p w:rsidR="007544CA" w:rsidRPr="00A9616E" w:rsidRDefault="007544CA" w:rsidP="00133508">
                  <w:pPr>
                    <w:pStyle w:val="TableBodyText"/>
                    <w:rPr>
                      <w:b/>
                    </w:rPr>
                  </w:pPr>
                  <w:r w:rsidRPr="00A9616E">
                    <w:rPr>
                      <w:b/>
                    </w:rPr>
                    <w:t>0.0</w:t>
                  </w:r>
                </w:p>
              </w:tc>
              <w:tc>
                <w:tcPr>
                  <w:tcW w:w="500" w:type="pct"/>
                  <w:vAlign w:val="center"/>
                </w:tcPr>
                <w:p w:rsidR="007544CA" w:rsidRPr="00A9616E" w:rsidRDefault="007544CA" w:rsidP="00133508">
                  <w:pPr>
                    <w:pStyle w:val="TableBodyText"/>
                    <w:rPr>
                      <w:b/>
                    </w:rPr>
                  </w:pPr>
                  <w:r w:rsidRPr="00A9616E">
                    <w:rPr>
                      <w:b/>
                    </w:rPr>
                    <w:t>0.0</w:t>
                  </w:r>
                </w:p>
              </w:tc>
              <w:tc>
                <w:tcPr>
                  <w:tcW w:w="500" w:type="pct"/>
                  <w:shd w:val="clear" w:color="auto" w:fill="auto"/>
                  <w:vAlign w:val="center"/>
                </w:tcPr>
                <w:p w:rsidR="007544CA" w:rsidRPr="00A9616E" w:rsidRDefault="007544CA" w:rsidP="00133508">
                  <w:pPr>
                    <w:pStyle w:val="TableBodyText"/>
                    <w:rPr>
                      <w:b/>
                    </w:rPr>
                  </w:pPr>
                  <w:r w:rsidRPr="00A9616E">
                    <w:rPr>
                      <w:b/>
                    </w:rPr>
                    <w:t>0.0</w:t>
                  </w:r>
                </w:p>
              </w:tc>
              <w:tc>
                <w:tcPr>
                  <w:tcW w:w="499" w:type="pct"/>
                  <w:shd w:val="clear" w:color="auto" w:fill="auto"/>
                  <w:vAlign w:val="center"/>
                </w:tcPr>
                <w:p w:rsidR="007544CA" w:rsidRPr="00A9616E" w:rsidRDefault="007544CA" w:rsidP="00133508">
                  <w:pPr>
                    <w:pStyle w:val="TableBodyText"/>
                    <w:rPr>
                      <w:b/>
                    </w:rPr>
                  </w:pPr>
                  <w:r w:rsidRPr="00A9616E">
                    <w:rPr>
                      <w:b/>
                    </w:rPr>
                    <w:t>0.0</w:t>
                  </w:r>
                </w:p>
              </w:tc>
            </w:tr>
            <w:tr w:rsidR="007544CA" w:rsidRPr="00A9616E" w:rsidTr="00133508">
              <w:tc>
                <w:tcPr>
                  <w:tcW w:w="2001" w:type="pct"/>
                  <w:shd w:val="clear" w:color="auto" w:fill="auto"/>
                  <w:vAlign w:val="bottom"/>
                </w:tcPr>
                <w:p w:rsidR="007544CA" w:rsidRPr="00A9616E" w:rsidRDefault="007544CA" w:rsidP="00133508">
                  <w:pPr>
                    <w:pStyle w:val="TableBodyText"/>
                    <w:jc w:val="left"/>
                    <w:rPr>
                      <w:b/>
                    </w:rPr>
                  </w:pPr>
                  <w:r w:rsidRPr="00A9616E">
                    <w:rPr>
                      <w:b/>
                    </w:rPr>
                    <w:t>Manufacturing</w:t>
                  </w:r>
                  <w:r w:rsidRPr="00A9616E">
                    <w:rPr>
                      <w:rStyle w:val="NoteLabel"/>
                    </w:rPr>
                    <w:t>b</w:t>
                  </w:r>
                </w:p>
              </w:tc>
              <w:tc>
                <w:tcPr>
                  <w:tcW w:w="500" w:type="pct"/>
                  <w:vAlign w:val="center"/>
                </w:tcPr>
                <w:p w:rsidR="007544CA" w:rsidRPr="00A9616E" w:rsidRDefault="007544CA" w:rsidP="00133508">
                  <w:pPr>
                    <w:pStyle w:val="TableBodyText"/>
                    <w:rPr>
                      <w:b/>
                    </w:rPr>
                  </w:pPr>
                  <w:r w:rsidRPr="00A9616E">
                    <w:rPr>
                      <w:b/>
                    </w:rPr>
                    <w:t>2.4</w:t>
                  </w:r>
                </w:p>
              </w:tc>
              <w:tc>
                <w:tcPr>
                  <w:tcW w:w="500" w:type="pct"/>
                  <w:vAlign w:val="center"/>
                </w:tcPr>
                <w:p w:rsidR="007544CA" w:rsidRPr="00A9616E" w:rsidRDefault="007544CA" w:rsidP="00133508">
                  <w:pPr>
                    <w:pStyle w:val="TableBodyText"/>
                    <w:rPr>
                      <w:b/>
                    </w:rPr>
                  </w:pPr>
                  <w:r w:rsidRPr="00A9616E">
                    <w:rPr>
                      <w:b/>
                    </w:rPr>
                    <w:t>2.3</w:t>
                  </w:r>
                </w:p>
              </w:tc>
              <w:tc>
                <w:tcPr>
                  <w:tcW w:w="500" w:type="pct"/>
                  <w:vAlign w:val="center"/>
                </w:tcPr>
                <w:p w:rsidR="007544CA" w:rsidRPr="00A9616E" w:rsidRDefault="007544CA" w:rsidP="00133508">
                  <w:pPr>
                    <w:pStyle w:val="TableBodyText"/>
                    <w:rPr>
                      <w:b/>
                    </w:rPr>
                  </w:pPr>
                  <w:r w:rsidRPr="00A9616E">
                    <w:rPr>
                      <w:b/>
                    </w:rPr>
                    <w:t>2.2</w:t>
                  </w:r>
                </w:p>
              </w:tc>
              <w:tc>
                <w:tcPr>
                  <w:tcW w:w="500" w:type="pct"/>
                  <w:vAlign w:val="center"/>
                </w:tcPr>
                <w:p w:rsidR="007544CA" w:rsidRPr="00A9616E" w:rsidRDefault="007544CA" w:rsidP="00133508">
                  <w:pPr>
                    <w:pStyle w:val="TableBodyText"/>
                    <w:rPr>
                      <w:b/>
                    </w:rPr>
                  </w:pPr>
                  <w:r w:rsidRPr="00A9616E">
                    <w:rPr>
                      <w:b/>
                    </w:rPr>
                    <w:t>2.2</w:t>
                  </w:r>
                </w:p>
              </w:tc>
              <w:tc>
                <w:tcPr>
                  <w:tcW w:w="500" w:type="pct"/>
                  <w:shd w:val="clear" w:color="auto" w:fill="auto"/>
                  <w:vAlign w:val="center"/>
                </w:tcPr>
                <w:p w:rsidR="007544CA" w:rsidRPr="00A9616E" w:rsidRDefault="007544CA" w:rsidP="00133508">
                  <w:pPr>
                    <w:pStyle w:val="TableBodyText"/>
                    <w:rPr>
                      <w:b/>
                    </w:rPr>
                  </w:pPr>
                  <w:r w:rsidRPr="00A9616E">
                    <w:rPr>
                      <w:b/>
                    </w:rPr>
                    <w:t>2.2</w:t>
                  </w:r>
                </w:p>
              </w:tc>
              <w:tc>
                <w:tcPr>
                  <w:tcW w:w="499" w:type="pct"/>
                  <w:shd w:val="clear" w:color="auto" w:fill="auto"/>
                  <w:vAlign w:val="center"/>
                </w:tcPr>
                <w:p w:rsidR="007544CA" w:rsidRPr="00A9616E" w:rsidRDefault="007544CA" w:rsidP="00133508">
                  <w:pPr>
                    <w:pStyle w:val="TableBodyText"/>
                    <w:rPr>
                      <w:b/>
                    </w:rPr>
                  </w:pPr>
                  <w:r w:rsidRPr="00A9616E">
                    <w:rPr>
                      <w:b/>
                    </w:rPr>
                    <w:t>2.2</w:t>
                  </w:r>
                </w:p>
              </w:tc>
            </w:tr>
            <w:tr w:rsidR="007544CA" w:rsidTr="00133508">
              <w:tc>
                <w:tcPr>
                  <w:tcW w:w="2001" w:type="pct"/>
                  <w:shd w:val="clear" w:color="auto" w:fill="auto"/>
                  <w:vAlign w:val="bottom"/>
                </w:tcPr>
                <w:p w:rsidR="007544CA" w:rsidRPr="00937824" w:rsidRDefault="007544CA" w:rsidP="00133508">
                  <w:pPr>
                    <w:pStyle w:val="TableBodyText"/>
                    <w:jc w:val="left"/>
                  </w:pPr>
                  <w:r w:rsidRPr="00937824">
                    <w:t>Food, beverages and tobacco</w:t>
                  </w:r>
                </w:p>
              </w:tc>
              <w:tc>
                <w:tcPr>
                  <w:tcW w:w="500" w:type="pct"/>
                  <w:vAlign w:val="center"/>
                </w:tcPr>
                <w:p w:rsidR="007544CA" w:rsidRPr="00416800" w:rsidRDefault="007544CA" w:rsidP="00133508">
                  <w:pPr>
                    <w:pStyle w:val="TableBodyText"/>
                  </w:pPr>
                  <w:r w:rsidRPr="00416800">
                    <w:t>2.1</w:t>
                  </w:r>
                </w:p>
              </w:tc>
              <w:tc>
                <w:tcPr>
                  <w:tcW w:w="500" w:type="pct"/>
                  <w:vAlign w:val="center"/>
                </w:tcPr>
                <w:p w:rsidR="007544CA" w:rsidRPr="00416800" w:rsidRDefault="007544CA" w:rsidP="00133508">
                  <w:pPr>
                    <w:pStyle w:val="TableBodyText"/>
                  </w:pPr>
                  <w:r w:rsidRPr="00416800">
                    <w:t>2.1</w:t>
                  </w:r>
                </w:p>
              </w:tc>
              <w:tc>
                <w:tcPr>
                  <w:tcW w:w="500" w:type="pct"/>
                  <w:vAlign w:val="center"/>
                </w:tcPr>
                <w:p w:rsidR="007544CA" w:rsidRPr="00416800" w:rsidRDefault="007544CA" w:rsidP="00133508">
                  <w:pPr>
                    <w:pStyle w:val="TableBodyText"/>
                  </w:pPr>
                  <w:r w:rsidRPr="00416800">
                    <w:t>2.1</w:t>
                  </w:r>
                </w:p>
              </w:tc>
              <w:tc>
                <w:tcPr>
                  <w:tcW w:w="500" w:type="pct"/>
                  <w:vAlign w:val="center"/>
                </w:tcPr>
                <w:p w:rsidR="007544CA" w:rsidRPr="00416800" w:rsidRDefault="007544CA" w:rsidP="00133508">
                  <w:pPr>
                    <w:pStyle w:val="TableBodyText"/>
                  </w:pPr>
                  <w:r w:rsidRPr="00416800">
                    <w:t>2.1</w:t>
                  </w:r>
                </w:p>
              </w:tc>
              <w:tc>
                <w:tcPr>
                  <w:tcW w:w="500" w:type="pct"/>
                  <w:shd w:val="clear" w:color="auto" w:fill="auto"/>
                  <w:vAlign w:val="center"/>
                </w:tcPr>
                <w:p w:rsidR="007544CA" w:rsidRPr="00416800" w:rsidRDefault="007544CA" w:rsidP="00133508">
                  <w:pPr>
                    <w:pStyle w:val="TableBodyText"/>
                  </w:pPr>
                  <w:r w:rsidRPr="00416800">
                    <w:t>2.1</w:t>
                  </w:r>
                </w:p>
              </w:tc>
              <w:tc>
                <w:tcPr>
                  <w:tcW w:w="499" w:type="pct"/>
                  <w:shd w:val="clear" w:color="auto" w:fill="auto"/>
                  <w:vAlign w:val="center"/>
                </w:tcPr>
                <w:p w:rsidR="007544CA" w:rsidRPr="00416800" w:rsidRDefault="007544CA" w:rsidP="00133508">
                  <w:pPr>
                    <w:pStyle w:val="TableBodyText"/>
                  </w:pPr>
                  <w:r w:rsidRPr="00416800">
                    <w:t>2.1</w:t>
                  </w:r>
                </w:p>
              </w:tc>
            </w:tr>
            <w:tr w:rsidR="007544CA" w:rsidTr="00133508">
              <w:tc>
                <w:tcPr>
                  <w:tcW w:w="2001" w:type="pct"/>
                  <w:shd w:val="clear" w:color="auto" w:fill="auto"/>
                  <w:vAlign w:val="bottom"/>
                </w:tcPr>
                <w:p w:rsidR="007544CA" w:rsidRPr="00937824" w:rsidRDefault="007544CA" w:rsidP="00133508">
                  <w:pPr>
                    <w:pStyle w:val="TableBodyText"/>
                    <w:jc w:val="left"/>
                  </w:pPr>
                  <w:r w:rsidRPr="00937824">
                    <w:t>Textile</w:t>
                  </w:r>
                  <w:r>
                    <w:t>s</w:t>
                  </w:r>
                  <w:r w:rsidRPr="00937824">
                    <w:t>, leather, clothing and footwear</w:t>
                  </w:r>
                </w:p>
              </w:tc>
              <w:tc>
                <w:tcPr>
                  <w:tcW w:w="500" w:type="pct"/>
                  <w:vAlign w:val="center"/>
                </w:tcPr>
                <w:p w:rsidR="007544CA" w:rsidRPr="00416800" w:rsidRDefault="007544CA" w:rsidP="00133508">
                  <w:pPr>
                    <w:pStyle w:val="TableBodyText"/>
                  </w:pPr>
                  <w:r w:rsidRPr="00416800">
                    <w:t>6.7</w:t>
                  </w:r>
                </w:p>
              </w:tc>
              <w:tc>
                <w:tcPr>
                  <w:tcW w:w="500" w:type="pct"/>
                  <w:vAlign w:val="center"/>
                </w:tcPr>
                <w:p w:rsidR="007544CA" w:rsidRPr="00416800" w:rsidRDefault="007544CA" w:rsidP="00133508">
                  <w:pPr>
                    <w:pStyle w:val="TableBodyText"/>
                  </w:pPr>
                  <w:r w:rsidRPr="00416800">
                    <w:t>4.9</w:t>
                  </w:r>
                </w:p>
              </w:tc>
              <w:tc>
                <w:tcPr>
                  <w:tcW w:w="500" w:type="pct"/>
                  <w:vAlign w:val="center"/>
                </w:tcPr>
                <w:p w:rsidR="007544CA" w:rsidRPr="00416800" w:rsidRDefault="007544CA" w:rsidP="00133508">
                  <w:pPr>
                    <w:pStyle w:val="TableBodyText"/>
                  </w:pPr>
                  <w:r w:rsidRPr="00416800">
                    <w:t>4.9</w:t>
                  </w:r>
                </w:p>
              </w:tc>
              <w:tc>
                <w:tcPr>
                  <w:tcW w:w="500" w:type="pct"/>
                  <w:vAlign w:val="center"/>
                </w:tcPr>
                <w:p w:rsidR="007544CA" w:rsidRPr="00416800" w:rsidRDefault="007544CA" w:rsidP="00133508">
                  <w:pPr>
                    <w:pStyle w:val="TableBodyText"/>
                  </w:pPr>
                  <w:r w:rsidRPr="00416800">
                    <w:t>4.9</w:t>
                  </w:r>
                </w:p>
              </w:tc>
              <w:tc>
                <w:tcPr>
                  <w:tcW w:w="500" w:type="pct"/>
                  <w:shd w:val="clear" w:color="auto" w:fill="auto"/>
                  <w:vAlign w:val="center"/>
                </w:tcPr>
                <w:p w:rsidR="007544CA" w:rsidRPr="00416800" w:rsidRDefault="007544CA" w:rsidP="00133508">
                  <w:pPr>
                    <w:pStyle w:val="TableBodyText"/>
                  </w:pPr>
                  <w:r w:rsidRPr="00416800">
                    <w:t>4.9</w:t>
                  </w:r>
                </w:p>
              </w:tc>
              <w:tc>
                <w:tcPr>
                  <w:tcW w:w="499" w:type="pct"/>
                  <w:shd w:val="clear" w:color="auto" w:fill="auto"/>
                  <w:vAlign w:val="center"/>
                </w:tcPr>
                <w:p w:rsidR="007544CA" w:rsidRPr="00416800" w:rsidRDefault="007544CA" w:rsidP="00133508">
                  <w:pPr>
                    <w:pStyle w:val="TableBodyText"/>
                  </w:pPr>
                  <w:r w:rsidRPr="00416800">
                    <w:t>4.1</w:t>
                  </w:r>
                </w:p>
              </w:tc>
            </w:tr>
            <w:tr w:rsidR="007544CA" w:rsidTr="00133508">
              <w:tc>
                <w:tcPr>
                  <w:tcW w:w="2001" w:type="pct"/>
                  <w:shd w:val="clear" w:color="auto" w:fill="auto"/>
                  <w:vAlign w:val="bottom"/>
                </w:tcPr>
                <w:p w:rsidR="007544CA" w:rsidRPr="00937824" w:rsidRDefault="007544CA" w:rsidP="00133508">
                  <w:pPr>
                    <w:pStyle w:val="TableBodyText"/>
                    <w:jc w:val="left"/>
                  </w:pPr>
                  <w:r w:rsidRPr="00937824">
                    <w:t>Wood and paper products</w:t>
                  </w:r>
                </w:p>
              </w:tc>
              <w:tc>
                <w:tcPr>
                  <w:tcW w:w="500" w:type="pct"/>
                  <w:vAlign w:val="center"/>
                </w:tcPr>
                <w:p w:rsidR="007544CA" w:rsidRPr="00416800" w:rsidRDefault="007544CA" w:rsidP="00133508">
                  <w:pPr>
                    <w:pStyle w:val="TableBodyText"/>
                  </w:pPr>
                  <w:r w:rsidRPr="00416800">
                    <w:t>3.7</w:t>
                  </w:r>
                </w:p>
              </w:tc>
              <w:tc>
                <w:tcPr>
                  <w:tcW w:w="500" w:type="pct"/>
                  <w:vAlign w:val="center"/>
                </w:tcPr>
                <w:p w:rsidR="007544CA" w:rsidRPr="00416800" w:rsidRDefault="007544CA" w:rsidP="00133508">
                  <w:pPr>
                    <w:pStyle w:val="TableBodyText"/>
                  </w:pPr>
                  <w:r w:rsidRPr="00416800">
                    <w:t>3.7</w:t>
                  </w:r>
                </w:p>
              </w:tc>
              <w:tc>
                <w:tcPr>
                  <w:tcW w:w="500" w:type="pct"/>
                  <w:vAlign w:val="center"/>
                </w:tcPr>
                <w:p w:rsidR="007544CA" w:rsidRPr="00416800" w:rsidRDefault="007544CA" w:rsidP="00133508">
                  <w:pPr>
                    <w:pStyle w:val="TableBodyText"/>
                  </w:pPr>
                  <w:r w:rsidRPr="00416800">
                    <w:t>3.7</w:t>
                  </w:r>
                </w:p>
              </w:tc>
              <w:tc>
                <w:tcPr>
                  <w:tcW w:w="500" w:type="pct"/>
                  <w:vAlign w:val="center"/>
                </w:tcPr>
                <w:p w:rsidR="007544CA" w:rsidRPr="00416800" w:rsidRDefault="007544CA" w:rsidP="00133508">
                  <w:pPr>
                    <w:pStyle w:val="TableBodyText"/>
                  </w:pPr>
                  <w:r w:rsidRPr="00416800">
                    <w:t>3.7</w:t>
                  </w:r>
                </w:p>
              </w:tc>
              <w:tc>
                <w:tcPr>
                  <w:tcW w:w="500" w:type="pct"/>
                  <w:shd w:val="clear" w:color="auto" w:fill="auto"/>
                  <w:vAlign w:val="center"/>
                </w:tcPr>
                <w:p w:rsidR="007544CA" w:rsidRPr="00416800" w:rsidRDefault="007544CA" w:rsidP="00133508">
                  <w:pPr>
                    <w:pStyle w:val="TableBodyText"/>
                  </w:pPr>
                  <w:r w:rsidRPr="00416800">
                    <w:t>3.7</w:t>
                  </w:r>
                </w:p>
              </w:tc>
              <w:tc>
                <w:tcPr>
                  <w:tcW w:w="499" w:type="pct"/>
                  <w:shd w:val="clear" w:color="auto" w:fill="auto"/>
                  <w:vAlign w:val="center"/>
                </w:tcPr>
                <w:p w:rsidR="007544CA" w:rsidRPr="00416800" w:rsidRDefault="007544CA" w:rsidP="00133508">
                  <w:pPr>
                    <w:pStyle w:val="TableBodyText"/>
                  </w:pPr>
                  <w:r w:rsidRPr="00416800">
                    <w:t>3.7</w:t>
                  </w:r>
                </w:p>
              </w:tc>
            </w:tr>
            <w:tr w:rsidR="007544CA" w:rsidTr="00133508">
              <w:tc>
                <w:tcPr>
                  <w:tcW w:w="2001" w:type="pct"/>
                  <w:shd w:val="clear" w:color="auto" w:fill="auto"/>
                  <w:vAlign w:val="bottom"/>
                </w:tcPr>
                <w:p w:rsidR="007544CA" w:rsidRPr="00937824" w:rsidRDefault="007544CA" w:rsidP="00133508">
                  <w:pPr>
                    <w:pStyle w:val="TableBodyText"/>
                    <w:jc w:val="left"/>
                  </w:pPr>
                  <w:r w:rsidRPr="00937824">
                    <w:t>Printing and recorded media</w:t>
                  </w:r>
                </w:p>
              </w:tc>
              <w:tc>
                <w:tcPr>
                  <w:tcW w:w="500" w:type="pct"/>
                  <w:vAlign w:val="center"/>
                </w:tcPr>
                <w:p w:rsidR="007544CA" w:rsidRPr="00416800" w:rsidRDefault="007544CA" w:rsidP="00133508">
                  <w:pPr>
                    <w:pStyle w:val="TableBodyText"/>
                  </w:pPr>
                  <w:r w:rsidRPr="00416800">
                    <w:t>2.9</w:t>
                  </w:r>
                </w:p>
              </w:tc>
              <w:tc>
                <w:tcPr>
                  <w:tcW w:w="500" w:type="pct"/>
                  <w:vAlign w:val="center"/>
                </w:tcPr>
                <w:p w:rsidR="007544CA" w:rsidRPr="00416800" w:rsidRDefault="007544CA" w:rsidP="00133508">
                  <w:pPr>
                    <w:pStyle w:val="TableBodyText"/>
                  </w:pPr>
                  <w:r w:rsidRPr="00416800">
                    <w:t>2.9</w:t>
                  </w:r>
                </w:p>
              </w:tc>
              <w:tc>
                <w:tcPr>
                  <w:tcW w:w="500" w:type="pct"/>
                  <w:vAlign w:val="center"/>
                </w:tcPr>
                <w:p w:rsidR="007544CA" w:rsidRPr="00416800" w:rsidRDefault="007544CA" w:rsidP="00133508">
                  <w:pPr>
                    <w:pStyle w:val="TableBodyText"/>
                  </w:pPr>
                  <w:r w:rsidRPr="00416800">
                    <w:t>2.9</w:t>
                  </w:r>
                </w:p>
              </w:tc>
              <w:tc>
                <w:tcPr>
                  <w:tcW w:w="500" w:type="pct"/>
                  <w:vAlign w:val="center"/>
                </w:tcPr>
                <w:p w:rsidR="007544CA" w:rsidRPr="00416800" w:rsidRDefault="007544CA" w:rsidP="00133508">
                  <w:pPr>
                    <w:pStyle w:val="TableBodyText"/>
                  </w:pPr>
                  <w:r w:rsidRPr="00416800">
                    <w:t>2.9</w:t>
                  </w:r>
                </w:p>
              </w:tc>
              <w:tc>
                <w:tcPr>
                  <w:tcW w:w="500" w:type="pct"/>
                  <w:shd w:val="clear" w:color="auto" w:fill="auto"/>
                  <w:vAlign w:val="center"/>
                </w:tcPr>
                <w:p w:rsidR="007544CA" w:rsidRPr="00416800" w:rsidRDefault="007544CA" w:rsidP="00133508">
                  <w:pPr>
                    <w:pStyle w:val="TableBodyText"/>
                  </w:pPr>
                  <w:r w:rsidRPr="00416800">
                    <w:t>2.9</w:t>
                  </w:r>
                </w:p>
              </w:tc>
              <w:tc>
                <w:tcPr>
                  <w:tcW w:w="499" w:type="pct"/>
                  <w:shd w:val="clear" w:color="auto" w:fill="auto"/>
                  <w:vAlign w:val="center"/>
                </w:tcPr>
                <w:p w:rsidR="007544CA" w:rsidRPr="00416800" w:rsidRDefault="007544CA" w:rsidP="00133508">
                  <w:pPr>
                    <w:pStyle w:val="TableBodyText"/>
                  </w:pPr>
                  <w:r w:rsidRPr="00416800">
                    <w:t>2.9</w:t>
                  </w:r>
                </w:p>
              </w:tc>
            </w:tr>
            <w:tr w:rsidR="007544CA" w:rsidTr="00133508">
              <w:tc>
                <w:tcPr>
                  <w:tcW w:w="2001" w:type="pct"/>
                  <w:shd w:val="clear" w:color="auto" w:fill="auto"/>
                  <w:vAlign w:val="bottom"/>
                </w:tcPr>
                <w:p w:rsidR="007544CA" w:rsidRPr="00937824" w:rsidRDefault="007544CA" w:rsidP="00133508">
                  <w:pPr>
                    <w:pStyle w:val="TableBodyText"/>
                    <w:jc w:val="left"/>
                  </w:pPr>
                  <w:r w:rsidRPr="00937824">
                    <w:t>Petroleum, coal, chemical and rubber</w:t>
                  </w:r>
                </w:p>
              </w:tc>
              <w:tc>
                <w:tcPr>
                  <w:tcW w:w="500" w:type="pct"/>
                  <w:vAlign w:val="center"/>
                </w:tcPr>
                <w:p w:rsidR="007544CA" w:rsidRPr="00416800" w:rsidRDefault="007544CA" w:rsidP="00133508">
                  <w:pPr>
                    <w:pStyle w:val="TableBodyText"/>
                  </w:pPr>
                  <w:r w:rsidRPr="00416800">
                    <w:t>1.6</w:t>
                  </w:r>
                </w:p>
              </w:tc>
              <w:tc>
                <w:tcPr>
                  <w:tcW w:w="500" w:type="pct"/>
                  <w:vAlign w:val="center"/>
                </w:tcPr>
                <w:p w:rsidR="007544CA" w:rsidRPr="00416800" w:rsidRDefault="007544CA" w:rsidP="00133508">
                  <w:pPr>
                    <w:pStyle w:val="TableBodyText"/>
                  </w:pPr>
                  <w:r w:rsidRPr="00416800">
                    <w:t>1.6</w:t>
                  </w:r>
                </w:p>
              </w:tc>
              <w:tc>
                <w:tcPr>
                  <w:tcW w:w="500" w:type="pct"/>
                  <w:vAlign w:val="center"/>
                </w:tcPr>
                <w:p w:rsidR="007544CA" w:rsidRPr="00416800" w:rsidRDefault="007544CA" w:rsidP="00133508">
                  <w:pPr>
                    <w:pStyle w:val="TableBodyText"/>
                  </w:pPr>
                  <w:r w:rsidRPr="00416800">
                    <w:t>1.6</w:t>
                  </w:r>
                </w:p>
              </w:tc>
              <w:tc>
                <w:tcPr>
                  <w:tcW w:w="500" w:type="pct"/>
                  <w:vAlign w:val="center"/>
                </w:tcPr>
                <w:p w:rsidR="007544CA" w:rsidRPr="00416800" w:rsidRDefault="007544CA" w:rsidP="00133508">
                  <w:pPr>
                    <w:pStyle w:val="TableBodyText"/>
                  </w:pPr>
                  <w:r w:rsidRPr="00416800">
                    <w:t>1.6</w:t>
                  </w:r>
                </w:p>
              </w:tc>
              <w:tc>
                <w:tcPr>
                  <w:tcW w:w="500" w:type="pct"/>
                  <w:shd w:val="clear" w:color="auto" w:fill="auto"/>
                  <w:vAlign w:val="center"/>
                </w:tcPr>
                <w:p w:rsidR="007544CA" w:rsidRPr="00416800" w:rsidRDefault="007544CA" w:rsidP="00133508">
                  <w:pPr>
                    <w:pStyle w:val="TableBodyText"/>
                  </w:pPr>
                  <w:r w:rsidRPr="00416800">
                    <w:t>1.6</w:t>
                  </w:r>
                </w:p>
              </w:tc>
              <w:tc>
                <w:tcPr>
                  <w:tcW w:w="499" w:type="pct"/>
                  <w:shd w:val="clear" w:color="auto" w:fill="auto"/>
                  <w:vAlign w:val="center"/>
                </w:tcPr>
                <w:p w:rsidR="007544CA" w:rsidRPr="00416800" w:rsidRDefault="007544CA" w:rsidP="00133508">
                  <w:pPr>
                    <w:pStyle w:val="TableBodyText"/>
                  </w:pPr>
                  <w:r w:rsidRPr="00416800">
                    <w:t>1.7</w:t>
                  </w:r>
                </w:p>
              </w:tc>
            </w:tr>
            <w:tr w:rsidR="007544CA" w:rsidTr="00133508">
              <w:tc>
                <w:tcPr>
                  <w:tcW w:w="2001" w:type="pct"/>
                  <w:shd w:val="clear" w:color="auto" w:fill="auto"/>
                  <w:vAlign w:val="bottom"/>
                </w:tcPr>
                <w:p w:rsidR="007544CA" w:rsidRPr="00937824" w:rsidRDefault="007544CA" w:rsidP="00133508">
                  <w:pPr>
                    <w:pStyle w:val="TableBodyText"/>
                    <w:jc w:val="left"/>
                  </w:pPr>
                  <w:r w:rsidRPr="00937824">
                    <w:t>Non</w:t>
                  </w:r>
                  <w:r>
                    <w:noBreakHyphen/>
                  </w:r>
                  <w:r w:rsidRPr="00937824">
                    <w:t>Metallic mineral products</w:t>
                  </w:r>
                </w:p>
              </w:tc>
              <w:tc>
                <w:tcPr>
                  <w:tcW w:w="500" w:type="pct"/>
                  <w:vAlign w:val="center"/>
                </w:tcPr>
                <w:p w:rsidR="007544CA" w:rsidRPr="00416800" w:rsidRDefault="007544CA" w:rsidP="00133508">
                  <w:pPr>
                    <w:pStyle w:val="TableBodyText"/>
                  </w:pPr>
                  <w:r w:rsidRPr="00416800">
                    <w:t>2.0</w:t>
                  </w:r>
                </w:p>
              </w:tc>
              <w:tc>
                <w:tcPr>
                  <w:tcW w:w="500" w:type="pct"/>
                  <w:vAlign w:val="center"/>
                </w:tcPr>
                <w:p w:rsidR="007544CA" w:rsidRPr="00416800" w:rsidRDefault="007544CA" w:rsidP="00133508">
                  <w:pPr>
                    <w:pStyle w:val="TableBodyText"/>
                  </w:pPr>
                  <w:r w:rsidRPr="00416800">
                    <w:t>2.0</w:t>
                  </w:r>
                </w:p>
              </w:tc>
              <w:tc>
                <w:tcPr>
                  <w:tcW w:w="500" w:type="pct"/>
                  <w:vAlign w:val="center"/>
                </w:tcPr>
                <w:p w:rsidR="007544CA" w:rsidRPr="00416800" w:rsidRDefault="007544CA" w:rsidP="00133508">
                  <w:pPr>
                    <w:pStyle w:val="TableBodyText"/>
                  </w:pPr>
                  <w:r w:rsidRPr="00416800">
                    <w:t>2.0</w:t>
                  </w:r>
                </w:p>
              </w:tc>
              <w:tc>
                <w:tcPr>
                  <w:tcW w:w="500" w:type="pct"/>
                  <w:vAlign w:val="center"/>
                </w:tcPr>
                <w:p w:rsidR="007544CA" w:rsidRPr="00416800" w:rsidRDefault="007544CA" w:rsidP="00133508">
                  <w:pPr>
                    <w:pStyle w:val="TableBodyText"/>
                  </w:pPr>
                  <w:r w:rsidRPr="00416800">
                    <w:t>2.0</w:t>
                  </w:r>
                </w:p>
              </w:tc>
              <w:tc>
                <w:tcPr>
                  <w:tcW w:w="500" w:type="pct"/>
                  <w:shd w:val="clear" w:color="auto" w:fill="auto"/>
                  <w:vAlign w:val="center"/>
                </w:tcPr>
                <w:p w:rsidR="007544CA" w:rsidRPr="00416800" w:rsidRDefault="007544CA" w:rsidP="00133508">
                  <w:pPr>
                    <w:pStyle w:val="TableBodyText"/>
                  </w:pPr>
                  <w:r w:rsidRPr="00416800">
                    <w:t>2.0</w:t>
                  </w:r>
                </w:p>
              </w:tc>
              <w:tc>
                <w:tcPr>
                  <w:tcW w:w="499" w:type="pct"/>
                  <w:shd w:val="clear" w:color="auto" w:fill="auto"/>
                  <w:vAlign w:val="center"/>
                </w:tcPr>
                <w:p w:rsidR="007544CA" w:rsidRPr="00416800" w:rsidRDefault="007544CA" w:rsidP="00133508">
                  <w:pPr>
                    <w:pStyle w:val="TableBodyText"/>
                  </w:pPr>
                  <w:r w:rsidRPr="00416800">
                    <w:t>2.0</w:t>
                  </w:r>
                </w:p>
              </w:tc>
            </w:tr>
            <w:tr w:rsidR="007544CA" w:rsidTr="00133508">
              <w:tc>
                <w:tcPr>
                  <w:tcW w:w="2001" w:type="pct"/>
                  <w:shd w:val="clear" w:color="auto" w:fill="auto"/>
                  <w:vAlign w:val="bottom"/>
                </w:tcPr>
                <w:p w:rsidR="007544CA" w:rsidRPr="00937824" w:rsidRDefault="007544CA" w:rsidP="00133508">
                  <w:pPr>
                    <w:pStyle w:val="TableBodyText"/>
                    <w:jc w:val="left"/>
                  </w:pPr>
                  <w:r w:rsidRPr="00937824">
                    <w:t>Metal and fabricated metal products</w:t>
                  </w:r>
                </w:p>
              </w:tc>
              <w:tc>
                <w:tcPr>
                  <w:tcW w:w="500" w:type="pct"/>
                  <w:vAlign w:val="center"/>
                </w:tcPr>
                <w:p w:rsidR="007544CA" w:rsidRPr="00416800" w:rsidRDefault="007544CA" w:rsidP="00133508">
                  <w:pPr>
                    <w:pStyle w:val="TableBodyText"/>
                  </w:pPr>
                  <w:r w:rsidRPr="00416800">
                    <w:t>1.9</w:t>
                  </w:r>
                </w:p>
              </w:tc>
              <w:tc>
                <w:tcPr>
                  <w:tcW w:w="500" w:type="pct"/>
                  <w:vAlign w:val="center"/>
                </w:tcPr>
                <w:p w:rsidR="007544CA" w:rsidRPr="00416800" w:rsidRDefault="007544CA" w:rsidP="00133508">
                  <w:pPr>
                    <w:pStyle w:val="TableBodyText"/>
                  </w:pPr>
                  <w:r w:rsidRPr="00416800">
                    <w:t>1.9</w:t>
                  </w:r>
                </w:p>
              </w:tc>
              <w:tc>
                <w:tcPr>
                  <w:tcW w:w="500" w:type="pct"/>
                  <w:vAlign w:val="center"/>
                </w:tcPr>
                <w:p w:rsidR="007544CA" w:rsidRPr="00416800" w:rsidRDefault="007544CA" w:rsidP="00133508">
                  <w:pPr>
                    <w:pStyle w:val="TableBodyText"/>
                  </w:pPr>
                  <w:r w:rsidRPr="00416800">
                    <w:t>1.9</w:t>
                  </w:r>
                </w:p>
              </w:tc>
              <w:tc>
                <w:tcPr>
                  <w:tcW w:w="500" w:type="pct"/>
                  <w:vAlign w:val="center"/>
                </w:tcPr>
                <w:p w:rsidR="007544CA" w:rsidRPr="00416800" w:rsidRDefault="007544CA" w:rsidP="00133508">
                  <w:pPr>
                    <w:pStyle w:val="TableBodyText"/>
                  </w:pPr>
                  <w:r w:rsidRPr="00416800">
                    <w:t>1.9</w:t>
                  </w:r>
                </w:p>
              </w:tc>
              <w:tc>
                <w:tcPr>
                  <w:tcW w:w="500" w:type="pct"/>
                  <w:shd w:val="clear" w:color="auto" w:fill="auto"/>
                  <w:vAlign w:val="center"/>
                </w:tcPr>
                <w:p w:rsidR="007544CA" w:rsidRPr="00416800" w:rsidRDefault="007544CA" w:rsidP="00133508">
                  <w:pPr>
                    <w:pStyle w:val="TableBodyText"/>
                  </w:pPr>
                  <w:r w:rsidRPr="00416800">
                    <w:t>1.9</w:t>
                  </w:r>
                </w:p>
              </w:tc>
              <w:tc>
                <w:tcPr>
                  <w:tcW w:w="499" w:type="pct"/>
                  <w:shd w:val="clear" w:color="auto" w:fill="auto"/>
                  <w:vAlign w:val="center"/>
                </w:tcPr>
                <w:p w:rsidR="007544CA" w:rsidRPr="00416800" w:rsidRDefault="007544CA" w:rsidP="00133508">
                  <w:pPr>
                    <w:pStyle w:val="TableBodyText"/>
                  </w:pPr>
                  <w:r w:rsidRPr="00416800">
                    <w:t>1.9</w:t>
                  </w:r>
                </w:p>
              </w:tc>
            </w:tr>
            <w:tr w:rsidR="007544CA" w:rsidTr="00133508">
              <w:tc>
                <w:tcPr>
                  <w:tcW w:w="2001" w:type="pct"/>
                  <w:shd w:val="clear" w:color="auto" w:fill="auto"/>
                  <w:vAlign w:val="bottom"/>
                </w:tcPr>
                <w:p w:rsidR="007544CA" w:rsidRPr="00937824" w:rsidRDefault="007544CA" w:rsidP="00133508">
                  <w:pPr>
                    <w:pStyle w:val="TableBodyText"/>
                    <w:jc w:val="left"/>
                  </w:pPr>
                  <w:r w:rsidRPr="00937824">
                    <w:t>Motor vehicle</w:t>
                  </w:r>
                  <w:r>
                    <w:t>s</w:t>
                  </w:r>
                  <w:r w:rsidRPr="00937824">
                    <w:t xml:space="preserve"> and parts</w:t>
                  </w:r>
                </w:p>
              </w:tc>
              <w:tc>
                <w:tcPr>
                  <w:tcW w:w="500" w:type="pct"/>
                  <w:vAlign w:val="center"/>
                </w:tcPr>
                <w:p w:rsidR="007544CA" w:rsidRPr="00416800" w:rsidRDefault="007544CA" w:rsidP="00133508">
                  <w:pPr>
                    <w:pStyle w:val="TableBodyText"/>
                  </w:pPr>
                  <w:r w:rsidRPr="00416800">
                    <w:t>7.1</w:t>
                  </w:r>
                </w:p>
              </w:tc>
              <w:tc>
                <w:tcPr>
                  <w:tcW w:w="500" w:type="pct"/>
                  <w:vAlign w:val="center"/>
                </w:tcPr>
                <w:p w:rsidR="007544CA" w:rsidRPr="00416800" w:rsidRDefault="007544CA" w:rsidP="00133508">
                  <w:pPr>
                    <w:pStyle w:val="TableBodyText"/>
                  </w:pPr>
                  <w:r w:rsidRPr="00416800">
                    <w:t>5.1</w:t>
                  </w:r>
                </w:p>
              </w:tc>
              <w:tc>
                <w:tcPr>
                  <w:tcW w:w="500" w:type="pct"/>
                  <w:vAlign w:val="center"/>
                </w:tcPr>
                <w:p w:rsidR="007544CA" w:rsidRPr="00416800" w:rsidRDefault="007544CA" w:rsidP="00133508">
                  <w:pPr>
                    <w:pStyle w:val="TableBodyText"/>
                  </w:pPr>
                  <w:r w:rsidRPr="00416800">
                    <w:t>3.8</w:t>
                  </w:r>
                </w:p>
              </w:tc>
              <w:tc>
                <w:tcPr>
                  <w:tcW w:w="500" w:type="pct"/>
                  <w:vAlign w:val="center"/>
                </w:tcPr>
                <w:p w:rsidR="007544CA" w:rsidRPr="00416800" w:rsidRDefault="007544CA" w:rsidP="00133508">
                  <w:pPr>
                    <w:pStyle w:val="TableBodyText"/>
                  </w:pPr>
                  <w:r w:rsidRPr="00416800">
                    <w:t>3.8</w:t>
                  </w:r>
                </w:p>
              </w:tc>
              <w:tc>
                <w:tcPr>
                  <w:tcW w:w="500" w:type="pct"/>
                  <w:shd w:val="clear" w:color="auto" w:fill="auto"/>
                  <w:vAlign w:val="center"/>
                </w:tcPr>
                <w:p w:rsidR="007544CA" w:rsidRPr="00416800" w:rsidRDefault="007544CA" w:rsidP="00133508">
                  <w:pPr>
                    <w:pStyle w:val="TableBodyText"/>
                  </w:pPr>
                  <w:r w:rsidRPr="00416800">
                    <w:t>3.8</w:t>
                  </w:r>
                </w:p>
              </w:tc>
              <w:tc>
                <w:tcPr>
                  <w:tcW w:w="499" w:type="pct"/>
                  <w:shd w:val="clear" w:color="auto" w:fill="auto"/>
                  <w:vAlign w:val="center"/>
                </w:tcPr>
                <w:p w:rsidR="007544CA" w:rsidRPr="00416800" w:rsidRDefault="007544CA" w:rsidP="00133508">
                  <w:pPr>
                    <w:pStyle w:val="TableBodyText"/>
                  </w:pPr>
                  <w:r w:rsidRPr="00416800">
                    <w:t>3.8</w:t>
                  </w:r>
                </w:p>
              </w:tc>
            </w:tr>
            <w:tr w:rsidR="007544CA" w:rsidTr="00133508">
              <w:tc>
                <w:tcPr>
                  <w:tcW w:w="2001" w:type="pct"/>
                  <w:shd w:val="clear" w:color="auto" w:fill="auto"/>
                  <w:vAlign w:val="bottom"/>
                </w:tcPr>
                <w:p w:rsidR="007544CA" w:rsidRPr="00937824" w:rsidRDefault="007544CA" w:rsidP="00133508">
                  <w:pPr>
                    <w:pStyle w:val="TableBodyText"/>
                    <w:jc w:val="left"/>
                  </w:pPr>
                  <w:r w:rsidRPr="00937824">
                    <w:t>Other transport equipment</w:t>
                  </w:r>
                </w:p>
              </w:tc>
              <w:tc>
                <w:tcPr>
                  <w:tcW w:w="500" w:type="pct"/>
                  <w:vAlign w:val="center"/>
                </w:tcPr>
                <w:p w:rsidR="007544CA" w:rsidRPr="00416800" w:rsidRDefault="007544CA" w:rsidP="00133508">
                  <w:pPr>
                    <w:pStyle w:val="TableBodyText"/>
                  </w:pPr>
                  <w:r w:rsidRPr="00416800">
                    <w:t>0.9</w:t>
                  </w:r>
                </w:p>
              </w:tc>
              <w:tc>
                <w:tcPr>
                  <w:tcW w:w="500" w:type="pct"/>
                  <w:vAlign w:val="center"/>
                </w:tcPr>
                <w:p w:rsidR="007544CA" w:rsidRPr="00416800" w:rsidRDefault="007544CA" w:rsidP="00133508">
                  <w:pPr>
                    <w:pStyle w:val="TableBodyText"/>
                  </w:pPr>
                  <w:r w:rsidRPr="00416800">
                    <w:t>0.9</w:t>
                  </w:r>
                </w:p>
              </w:tc>
              <w:tc>
                <w:tcPr>
                  <w:tcW w:w="500" w:type="pct"/>
                  <w:vAlign w:val="center"/>
                </w:tcPr>
                <w:p w:rsidR="007544CA" w:rsidRPr="00416800" w:rsidRDefault="007544CA" w:rsidP="00133508">
                  <w:pPr>
                    <w:pStyle w:val="TableBodyText"/>
                  </w:pPr>
                  <w:r w:rsidRPr="00416800">
                    <w:t>0.9</w:t>
                  </w:r>
                </w:p>
              </w:tc>
              <w:tc>
                <w:tcPr>
                  <w:tcW w:w="500" w:type="pct"/>
                  <w:vAlign w:val="center"/>
                </w:tcPr>
                <w:p w:rsidR="007544CA" w:rsidRPr="00416800" w:rsidRDefault="007544CA" w:rsidP="00133508">
                  <w:pPr>
                    <w:pStyle w:val="TableBodyText"/>
                  </w:pPr>
                  <w:r w:rsidRPr="00416800">
                    <w:t>0.9</w:t>
                  </w:r>
                </w:p>
              </w:tc>
              <w:tc>
                <w:tcPr>
                  <w:tcW w:w="500" w:type="pct"/>
                  <w:shd w:val="clear" w:color="auto" w:fill="auto"/>
                  <w:vAlign w:val="center"/>
                </w:tcPr>
                <w:p w:rsidR="007544CA" w:rsidRPr="00416800" w:rsidRDefault="007544CA" w:rsidP="00133508">
                  <w:pPr>
                    <w:pStyle w:val="TableBodyText"/>
                  </w:pPr>
                  <w:r w:rsidRPr="00416800">
                    <w:t>0.9</w:t>
                  </w:r>
                </w:p>
              </w:tc>
              <w:tc>
                <w:tcPr>
                  <w:tcW w:w="499" w:type="pct"/>
                  <w:shd w:val="clear" w:color="auto" w:fill="auto"/>
                  <w:vAlign w:val="center"/>
                </w:tcPr>
                <w:p w:rsidR="007544CA" w:rsidRPr="00416800" w:rsidRDefault="007544CA" w:rsidP="00133508">
                  <w:pPr>
                    <w:pStyle w:val="TableBodyText"/>
                  </w:pPr>
                  <w:r w:rsidRPr="00416800">
                    <w:t>0.9</w:t>
                  </w:r>
                </w:p>
              </w:tc>
            </w:tr>
            <w:tr w:rsidR="007544CA" w:rsidTr="00133508">
              <w:tc>
                <w:tcPr>
                  <w:tcW w:w="2001" w:type="pct"/>
                  <w:shd w:val="clear" w:color="auto" w:fill="auto"/>
                  <w:vAlign w:val="bottom"/>
                </w:tcPr>
                <w:p w:rsidR="007544CA" w:rsidRPr="00937824" w:rsidRDefault="007544CA" w:rsidP="00133508">
                  <w:pPr>
                    <w:pStyle w:val="TableBodyText"/>
                    <w:jc w:val="left"/>
                  </w:pPr>
                  <w:r w:rsidRPr="00937824">
                    <w:t>Machinery and equipment manufacturing</w:t>
                  </w:r>
                </w:p>
              </w:tc>
              <w:tc>
                <w:tcPr>
                  <w:tcW w:w="500" w:type="pct"/>
                  <w:vAlign w:val="center"/>
                </w:tcPr>
                <w:p w:rsidR="007544CA" w:rsidRPr="00416800" w:rsidRDefault="007544CA" w:rsidP="00133508">
                  <w:pPr>
                    <w:pStyle w:val="TableBodyText"/>
                  </w:pPr>
                  <w:r w:rsidRPr="00416800">
                    <w:t>2.0</w:t>
                  </w:r>
                </w:p>
              </w:tc>
              <w:tc>
                <w:tcPr>
                  <w:tcW w:w="500" w:type="pct"/>
                  <w:vAlign w:val="center"/>
                </w:tcPr>
                <w:p w:rsidR="007544CA" w:rsidRPr="00416800" w:rsidRDefault="007544CA" w:rsidP="00133508">
                  <w:pPr>
                    <w:pStyle w:val="TableBodyText"/>
                  </w:pPr>
                  <w:r w:rsidRPr="00416800">
                    <w:t>1.9</w:t>
                  </w:r>
                </w:p>
              </w:tc>
              <w:tc>
                <w:tcPr>
                  <w:tcW w:w="500" w:type="pct"/>
                  <w:vAlign w:val="center"/>
                </w:tcPr>
                <w:p w:rsidR="007544CA" w:rsidRPr="00416800" w:rsidRDefault="007544CA" w:rsidP="00133508">
                  <w:pPr>
                    <w:pStyle w:val="TableBodyText"/>
                  </w:pPr>
                  <w:r w:rsidRPr="00416800">
                    <w:t>1.9</w:t>
                  </w:r>
                </w:p>
              </w:tc>
              <w:tc>
                <w:tcPr>
                  <w:tcW w:w="500" w:type="pct"/>
                  <w:vAlign w:val="center"/>
                </w:tcPr>
                <w:p w:rsidR="007544CA" w:rsidRPr="00416800" w:rsidRDefault="007544CA" w:rsidP="00133508">
                  <w:pPr>
                    <w:pStyle w:val="TableBodyText"/>
                  </w:pPr>
                  <w:r w:rsidRPr="00416800">
                    <w:t>1.9</w:t>
                  </w:r>
                </w:p>
              </w:tc>
              <w:tc>
                <w:tcPr>
                  <w:tcW w:w="500" w:type="pct"/>
                  <w:shd w:val="clear" w:color="auto" w:fill="auto"/>
                  <w:vAlign w:val="center"/>
                </w:tcPr>
                <w:p w:rsidR="007544CA" w:rsidRPr="00416800" w:rsidRDefault="007544CA" w:rsidP="00133508">
                  <w:pPr>
                    <w:pStyle w:val="TableBodyText"/>
                  </w:pPr>
                  <w:r w:rsidRPr="00416800">
                    <w:t>1.9</w:t>
                  </w:r>
                </w:p>
              </w:tc>
              <w:tc>
                <w:tcPr>
                  <w:tcW w:w="499" w:type="pct"/>
                  <w:shd w:val="clear" w:color="auto" w:fill="auto"/>
                  <w:vAlign w:val="center"/>
                </w:tcPr>
                <w:p w:rsidR="007544CA" w:rsidRPr="00416800" w:rsidRDefault="007544CA" w:rsidP="00133508">
                  <w:pPr>
                    <w:pStyle w:val="TableBodyText"/>
                  </w:pPr>
                  <w:r w:rsidRPr="00416800">
                    <w:t>1.9</w:t>
                  </w:r>
                </w:p>
              </w:tc>
            </w:tr>
            <w:tr w:rsidR="007544CA" w:rsidTr="00133508">
              <w:tc>
                <w:tcPr>
                  <w:tcW w:w="2001" w:type="pct"/>
                  <w:tcBorders>
                    <w:bottom w:val="single" w:sz="6" w:space="0" w:color="BFBFBF"/>
                  </w:tcBorders>
                  <w:shd w:val="clear" w:color="auto" w:fill="auto"/>
                  <w:vAlign w:val="bottom"/>
                </w:tcPr>
                <w:p w:rsidR="007544CA" w:rsidRPr="00937824" w:rsidRDefault="007544CA" w:rsidP="00133508">
                  <w:pPr>
                    <w:pStyle w:val="TableBodyText"/>
                    <w:jc w:val="left"/>
                  </w:pPr>
                  <w:r w:rsidRPr="00937824">
                    <w:t>Furniture and other manufacturing</w:t>
                  </w:r>
                </w:p>
              </w:tc>
              <w:tc>
                <w:tcPr>
                  <w:tcW w:w="500" w:type="pct"/>
                  <w:tcBorders>
                    <w:bottom w:val="single" w:sz="6" w:space="0" w:color="BFBFBF"/>
                  </w:tcBorders>
                  <w:vAlign w:val="center"/>
                </w:tcPr>
                <w:p w:rsidR="007544CA" w:rsidRPr="00416800" w:rsidRDefault="007544CA" w:rsidP="00133508">
                  <w:pPr>
                    <w:pStyle w:val="TableBodyText"/>
                  </w:pPr>
                  <w:r w:rsidRPr="00416800">
                    <w:t>3.2</w:t>
                  </w:r>
                </w:p>
              </w:tc>
              <w:tc>
                <w:tcPr>
                  <w:tcW w:w="500" w:type="pct"/>
                  <w:tcBorders>
                    <w:bottom w:val="single" w:sz="6" w:space="0" w:color="BFBFBF"/>
                  </w:tcBorders>
                  <w:vAlign w:val="center"/>
                </w:tcPr>
                <w:p w:rsidR="007544CA" w:rsidRPr="00416800" w:rsidRDefault="007544CA" w:rsidP="00133508">
                  <w:pPr>
                    <w:pStyle w:val="TableBodyText"/>
                  </w:pPr>
                  <w:r w:rsidRPr="00416800">
                    <w:t>3.2</w:t>
                  </w:r>
                </w:p>
              </w:tc>
              <w:tc>
                <w:tcPr>
                  <w:tcW w:w="500" w:type="pct"/>
                  <w:tcBorders>
                    <w:bottom w:val="single" w:sz="6" w:space="0" w:color="BFBFBF"/>
                  </w:tcBorders>
                  <w:vAlign w:val="center"/>
                </w:tcPr>
                <w:p w:rsidR="007544CA" w:rsidRPr="00416800" w:rsidRDefault="007544CA" w:rsidP="00133508">
                  <w:pPr>
                    <w:pStyle w:val="TableBodyText"/>
                  </w:pPr>
                  <w:r w:rsidRPr="00416800">
                    <w:t>3.2</w:t>
                  </w:r>
                </w:p>
              </w:tc>
              <w:tc>
                <w:tcPr>
                  <w:tcW w:w="500" w:type="pct"/>
                  <w:tcBorders>
                    <w:bottom w:val="single" w:sz="6" w:space="0" w:color="BFBFBF"/>
                  </w:tcBorders>
                  <w:vAlign w:val="center"/>
                </w:tcPr>
                <w:p w:rsidR="007544CA" w:rsidRPr="00416800" w:rsidRDefault="007544CA" w:rsidP="00133508">
                  <w:pPr>
                    <w:pStyle w:val="TableBodyText"/>
                  </w:pPr>
                  <w:r w:rsidRPr="00416800">
                    <w:t>3.2</w:t>
                  </w:r>
                </w:p>
              </w:tc>
              <w:tc>
                <w:tcPr>
                  <w:tcW w:w="500" w:type="pct"/>
                  <w:tcBorders>
                    <w:bottom w:val="single" w:sz="6" w:space="0" w:color="BFBFBF"/>
                  </w:tcBorders>
                  <w:shd w:val="clear" w:color="auto" w:fill="auto"/>
                  <w:vAlign w:val="center"/>
                </w:tcPr>
                <w:p w:rsidR="007544CA" w:rsidRPr="00416800" w:rsidRDefault="007544CA" w:rsidP="00133508">
                  <w:pPr>
                    <w:pStyle w:val="TableBodyText"/>
                  </w:pPr>
                  <w:r w:rsidRPr="00416800">
                    <w:t>3.2</w:t>
                  </w:r>
                </w:p>
              </w:tc>
              <w:tc>
                <w:tcPr>
                  <w:tcW w:w="499" w:type="pct"/>
                  <w:tcBorders>
                    <w:bottom w:val="single" w:sz="6" w:space="0" w:color="BFBFBF"/>
                  </w:tcBorders>
                  <w:shd w:val="clear" w:color="auto" w:fill="auto"/>
                  <w:vAlign w:val="center"/>
                </w:tcPr>
                <w:p w:rsidR="007544CA" w:rsidRPr="00416800" w:rsidRDefault="007544CA" w:rsidP="00133508">
                  <w:pPr>
                    <w:pStyle w:val="TableBodyText"/>
                  </w:pPr>
                  <w:r w:rsidRPr="00416800">
                    <w:t>3.2</w:t>
                  </w:r>
                </w:p>
              </w:tc>
            </w:tr>
          </w:tbl>
          <w:p w:rsidR="007544CA" w:rsidRDefault="007544CA" w:rsidP="00133508">
            <w:pPr>
              <w:pStyle w:val="Box"/>
            </w:pP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Note"/>
              <w:rPr>
                <w:i/>
              </w:rPr>
            </w:pPr>
            <w:r>
              <w:rPr>
                <w:rFonts w:cs="Arial"/>
                <w:szCs w:val="18"/>
              </w:rPr>
              <w:t xml:space="preserve">– Nil. </w:t>
            </w:r>
            <w:r w:rsidRPr="00C74A79">
              <w:rPr>
                <w:rFonts w:cs="Arial"/>
                <w:szCs w:val="18"/>
              </w:rPr>
              <w:t>Figures may not add to totals due to rounding.</w:t>
            </w:r>
            <w:r>
              <w:rPr>
                <w:rFonts w:cs="Arial"/>
                <w:szCs w:val="18"/>
              </w:rPr>
              <w:t xml:space="preserve"> </w:t>
            </w:r>
            <w:r w:rsidRPr="008E77FE">
              <w:rPr>
                <w:rStyle w:val="NoteLabel"/>
              </w:rPr>
              <w:t>a</w:t>
            </w:r>
            <w:r>
              <w:t xml:space="preserve"> Combined assistance comprises tariff, budgetary and agricultural pricing and regulatory assistance. </w:t>
            </w:r>
            <w:r>
              <w:rPr>
                <w:rStyle w:val="NoteLabel"/>
              </w:rPr>
              <w:t>b</w:t>
            </w:r>
            <w:r>
              <w:t> Sectoral estimates include assistance to the sector that has not been allocated to specific industry groupings.</w:t>
            </w: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Source"/>
            </w:pPr>
            <w:r>
              <w:rPr>
                <w:i/>
              </w:rPr>
              <w:t>Source</w:t>
            </w:r>
            <w:r w:rsidRPr="00167F06">
              <w:t xml:space="preserve">: </w:t>
            </w:r>
            <w:r>
              <w:t>Commission estimates.</w:t>
            </w:r>
          </w:p>
        </w:tc>
      </w:tr>
      <w:tr w:rsidR="007544CA" w:rsidTr="00133508">
        <w:trPr>
          <w:cantSplit/>
        </w:trPr>
        <w:tc>
          <w:tcPr>
            <w:tcW w:w="8771" w:type="dxa"/>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BodyText"/>
      </w:pPr>
      <w:r>
        <w:br w:type="page"/>
      </w:r>
    </w:p>
    <w:p w:rsidR="007544CA" w:rsidRDefault="007544CA" w:rsidP="0013350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3"/>
      </w:tblGrid>
      <w:tr w:rsidR="007544CA" w:rsidTr="00133508">
        <w:tc>
          <w:tcPr>
            <w:tcW w:w="8771" w:type="dxa"/>
            <w:tcBorders>
              <w:top w:val="single" w:sz="6" w:space="0" w:color="78A22F"/>
              <w:left w:val="nil"/>
              <w:bottom w:val="nil"/>
              <w:right w:val="nil"/>
            </w:tcBorders>
            <w:shd w:val="clear" w:color="auto" w:fill="auto"/>
          </w:tcPr>
          <w:p w:rsidR="007544CA" w:rsidRDefault="007544CA" w:rsidP="00133508">
            <w:pPr>
              <w:pStyle w:val="TableTitle"/>
            </w:pPr>
            <w:r>
              <w:rPr>
                <w:b w:val="0"/>
              </w:rPr>
              <w:t xml:space="preserve">Table </w:t>
            </w:r>
            <w:r>
              <w:rPr>
                <w:b w:val="0"/>
              </w:rPr>
              <w:fldChar w:fldCharType="begin" w:fldLock="1"/>
            </w:r>
            <w:r>
              <w:rPr>
                <w:b w:val="0"/>
              </w:rPr>
              <w:instrText xml:space="preserve"> COMMENTS  \* MERGEFORMAT </w:instrText>
            </w:r>
            <w:r>
              <w:rPr>
                <w:b w:val="0"/>
              </w:rPr>
              <w:fldChar w:fldCharType="separate"/>
            </w:r>
            <w:proofErr w:type="spellStart"/>
            <w:r>
              <w:rPr>
                <w:b w:val="0"/>
              </w:rPr>
              <w:t>A.</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9</w:t>
            </w:r>
            <w:proofErr w:type="spellEnd"/>
            <w:r>
              <w:rPr>
                <w:b w:val="0"/>
              </w:rPr>
              <w:fldChar w:fldCharType="end"/>
            </w:r>
            <w:r>
              <w:tab/>
            </w:r>
            <w:r w:rsidRPr="00BF5C30">
              <w:t xml:space="preserve">Nominal rate of combined assistance on materials </w:t>
            </w:r>
            <w:r>
              <w:br/>
            </w:r>
            <w:r w:rsidRPr="00BF5C30">
              <w:t>by industry grouping, 200</w:t>
            </w:r>
            <w:r>
              <w:t>9</w:t>
            </w:r>
            <w:r>
              <w:noBreakHyphen/>
              <w:t>10</w:t>
            </w:r>
            <w:r w:rsidRPr="00BF5C30">
              <w:t xml:space="preserve"> to 201</w:t>
            </w:r>
            <w:r>
              <w:t>4</w:t>
            </w:r>
            <w:r>
              <w:noBreakHyphen/>
            </w:r>
            <w:r w:rsidRPr="00BF5C30">
              <w:t>1</w:t>
            </w:r>
            <w:r>
              <w:t>5</w:t>
            </w:r>
            <w:r w:rsidRPr="00F74259">
              <w:rPr>
                <w:rStyle w:val="NoteLabel"/>
                <w:rFonts w:ascii="Arial Bold" w:hAnsi="Arial Bold"/>
                <w:b/>
                <w:position w:val="10"/>
              </w:rPr>
              <w:t>a</w:t>
            </w:r>
          </w:p>
          <w:p w:rsidR="007544CA" w:rsidRPr="00784A05" w:rsidRDefault="007544CA" w:rsidP="00133508">
            <w:pPr>
              <w:pStyle w:val="Subtitle"/>
            </w:pPr>
            <w:r w:rsidRPr="00BF5C30">
              <w:t>per cent</w:t>
            </w:r>
          </w:p>
        </w:tc>
      </w:tr>
      <w:tr w:rsidR="007544CA" w:rsidTr="00133508">
        <w:trPr>
          <w:cantSplit/>
        </w:trPr>
        <w:tc>
          <w:tcPr>
            <w:tcW w:w="8771" w:type="dxa"/>
            <w:tcBorders>
              <w:top w:val="nil"/>
              <w:left w:val="nil"/>
              <w:bottom w:val="nil"/>
              <w:right w:val="nil"/>
            </w:tcBorders>
            <w:shd w:val="clear" w:color="auto" w:fill="auto"/>
          </w:tcPr>
          <w:tbl>
            <w:tblPr>
              <w:tblW w:w="8499" w:type="dxa"/>
              <w:tblCellMar>
                <w:top w:w="28" w:type="dxa"/>
                <w:left w:w="0" w:type="dxa"/>
                <w:right w:w="0" w:type="dxa"/>
              </w:tblCellMar>
              <w:tblLook w:val="0000" w:firstRow="0" w:lastRow="0" w:firstColumn="0" w:lastColumn="0" w:noHBand="0" w:noVBand="0"/>
            </w:tblPr>
            <w:tblGrid>
              <w:gridCol w:w="3404"/>
              <w:gridCol w:w="852"/>
              <w:gridCol w:w="850"/>
              <w:gridCol w:w="850"/>
              <w:gridCol w:w="848"/>
              <w:gridCol w:w="848"/>
              <w:gridCol w:w="847"/>
            </w:tblGrid>
            <w:tr w:rsidR="007544CA" w:rsidTr="00133508">
              <w:tc>
                <w:tcPr>
                  <w:tcW w:w="2003" w:type="pct"/>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r>
                    <w:t>Industry grouping</w:t>
                  </w:r>
                </w:p>
              </w:tc>
              <w:tc>
                <w:tcPr>
                  <w:tcW w:w="501"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2009</w:t>
                  </w:r>
                  <w:r>
                    <w:rPr>
                      <w:szCs w:val="18"/>
                    </w:rPr>
                    <w:noBreakHyphen/>
                  </w:r>
                  <w:r w:rsidRPr="00AB1D7C">
                    <w:rPr>
                      <w:szCs w:val="18"/>
                    </w:rPr>
                    <w:t>10</w:t>
                  </w:r>
                </w:p>
              </w:tc>
              <w:tc>
                <w:tcPr>
                  <w:tcW w:w="500"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2010</w:t>
                  </w:r>
                  <w:r>
                    <w:rPr>
                      <w:szCs w:val="18"/>
                    </w:rPr>
                    <w:noBreakHyphen/>
                  </w:r>
                  <w:r w:rsidRPr="00AB1D7C">
                    <w:rPr>
                      <w:szCs w:val="18"/>
                    </w:rPr>
                    <w:t>11</w:t>
                  </w:r>
                </w:p>
              </w:tc>
              <w:tc>
                <w:tcPr>
                  <w:tcW w:w="500"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2011</w:t>
                  </w:r>
                  <w:r>
                    <w:rPr>
                      <w:szCs w:val="18"/>
                    </w:rPr>
                    <w:noBreakHyphen/>
                  </w:r>
                  <w:r w:rsidRPr="00AB1D7C">
                    <w:rPr>
                      <w:szCs w:val="18"/>
                    </w:rPr>
                    <w:t>12</w:t>
                  </w:r>
                </w:p>
              </w:tc>
              <w:tc>
                <w:tcPr>
                  <w:tcW w:w="499" w:type="pct"/>
                  <w:tcBorders>
                    <w:top w:val="single" w:sz="6" w:space="0" w:color="BFBFBF"/>
                    <w:bottom w:val="single" w:sz="6" w:space="0" w:color="BFBFBF"/>
                  </w:tcBorders>
                </w:tcPr>
                <w:p w:rsidR="007544CA" w:rsidRPr="00AB1D7C" w:rsidRDefault="007544CA" w:rsidP="00133508">
                  <w:pPr>
                    <w:pStyle w:val="TableColumnHeading"/>
                    <w:ind w:left="0" w:right="57"/>
                    <w:rPr>
                      <w:szCs w:val="18"/>
                    </w:rPr>
                  </w:pPr>
                  <w:r w:rsidRPr="00AB1D7C">
                    <w:rPr>
                      <w:szCs w:val="18"/>
                    </w:rPr>
                    <w:t>2012</w:t>
                  </w:r>
                  <w:r>
                    <w:rPr>
                      <w:szCs w:val="18"/>
                    </w:rPr>
                    <w:noBreakHyphen/>
                  </w:r>
                  <w:r w:rsidRPr="00AB1D7C">
                    <w:rPr>
                      <w:szCs w:val="18"/>
                    </w:rPr>
                    <w:t>13</w:t>
                  </w:r>
                </w:p>
              </w:tc>
              <w:tc>
                <w:tcPr>
                  <w:tcW w:w="499" w:type="pct"/>
                  <w:tcBorders>
                    <w:top w:val="single" w:sz="6" w:space="0" w:color="BFBFBF"/>
                    <w:bottom w:val="single" w:sz="6" w:space="0" w:color="BFBFBF"/>
                  </w:tcBorders>
                  <w:shd w:val="clear" w:color="auto" w:fill="auto"/>
                  <w:tcMar>
                    <w:top w:w="28" w:type="dxa"/>
                  </w:tcMar>
                </w:tcPr>
                <w:p w:rsidR="007544CA" w:rsidRPr="00AB1D7C" w:rsidRDefault="007544CA" w:rsidP="00133508">
                  <w:pPr>
                    <w:pStyle w:val="TableColumnHeading"/>
                    <w:ind w:left="0" w:right="57"/>
                    <w:rPr>
                      <w:szCs w:val="18"/>
                    </w:rPr>
                  </w:pPr>
                  <w:r w:rsidRPr="00AB1D7C">
                    <w:rPr>
                      <w:szCs w:val="18"/>
                    </w:rPr>
                    <w:t>2013</w:t>
                  </w:r>
                  <w:r>
                    <w:rPr>
                      <w:szCs w:val="18"/>
                    </w:rPr>
                    <w:noBreakHyphen/>
                  </w:r>
                  <w:r w:rsidRPr="00AB1D7C">
                    <w:rPr>
                      <w:szCs w:val="18"/>
                    </w:rPr>
                    <w:t>14</w:t>
                  </w:r>
                </w:p>
              </w:tc>
              <w:tc>
                <w:tcPr>
                  <w:tcW w:w="498" w:type="pct"/>
                  <w:tcBorders>
                    <w:top w:val="single" w:sz="6" w:space="0" w:color="BFBFBF"/>
                    <w:bottom w:val="single" w:sz="6" w:space="0" w:color="BFBFBF"/>
                  </w:tcBorders>
                  <w:shd w:val="clear" w:color="auto" w:fill="auto"/>
                  <w:tcMar>
                    <w:top w:w="28" w:type="dxa"/>
                  </w:tcMar>
                </w:tcPr>
                <w:p w:rsidR="007544CA" w:rsidRPr="00AB1D7C" w:rsidRDefault="007544CA" w:rsidP="00133508">
                  <w:pPr>
                    <w:pStyle w:val="TableColumnHeading"/>
                    <w:ind w:left="0" w:right="57"/>
                    <w:rPr>
                      <w:szCs w:val="18"/>
                    </w:rPr>
                  </w:pPr>
                  <w:r w:rsidRPr="00AB1D7C">
                    <w:rPr>
                      <w:szCs w:val="18"/>
                    </w:rPr>
                    <w:t>201</w:t>
                  </w:r>
                  <w:r>
                    <w:rPr>
                      <w:szCs w:val="18"/>
                    </w:rPr>
                    <w:t>4</w:t>
                  </w:r>
                  <w:r>
                    <w:rPr>
                      <w:szCs w:val="18"/>
                    </w:rPr>
                    <w:noBreakHyphen/>
                  </w:r>
                  <w:r w:rsidRPr="00AB1D7C">
                    <w:rPr>
                      <w:szCs w:val="18"/>
                    </w:rPr>
                    <w:t>1</w:t>
                  </w:r>
                  <w:r>
                    <w:rPr>
                      <w:szCs w:val="18"/>
                    </w:rPr>
                    <w:t>5</w:t>
                  </w:r>
                </w:p>
              </w:tc>
            </w:tr>
            <w:tr w:rsidR="007544CA" w:rsidTr="00133508">
              <w:tc>
                <w:tcPr>
                  <w:tcW w:w="2003" w:type="pct"/>
                  <w:tcBorders>
                    <w:top w:val="single" w:sz="6" w:space="0" w:color="BFBFBF"/>
                  </w:tcBorders>
                  <w:vAlign w:val="center"/>
                </w:tcPr>
                <w:p w:rsidR="007544CA" w:rsidRPr="00633D27" w:rsidRDefault="007544CA" w:rsidP="00133508">
                  <w:pPr>
                    <w:rPr>
                      <w:rFonts w:ascii="Arial" w:hAnsi="Arial" w:cs="Arial"/>
                      <w:b/>
                      <w:bCs/>
                      <w:sz w:val="18"/>
                      <w:szCs w:val="18"/>
                    </w:rPr>
                  </w:pPr>
                  <w:r w:rsidRPr="00633D27">
                    <w:rPr>
                      <w:rFonts w:ascii="Arial" w:hAnsi="Arial" w:cs="Arial"/>
                      <w:b/>
                      <w:bCs/>
                      <w:sz w:val="18"/>
                      <w:szCs w:val="18"/>
                    </w:rPr>
                    <w:t>Primary Production</w:t>
                  </w:r>
                  <w:r>
                    <w:rPr>
                      <w:rStyle w:val="NoteLabel"/>
                    </w:rPr>
                    <w:t>b</w:t>
                  </w:r>
                </w:p>
              </w:tc>
              <w:tc>
                <w:tcPr>
                  <w:tcW w:w="501" w:type="pct"/>
                  <w:tcBorders>
                    <w:top w:val="single" w:sz="6" w:space="0" w:color="BFBFBF"/>
                  </w:tcBorders>
                  <w:vAlign w:val="center"/>
                </w:tcPr>
                <w:p w:rsidR="007544CA" w:rsidRPr="00596CF3" w:rsidRDefault="007544CA" w:rsidP="00133508">
                  <w:pPr>
                    <w:pStyle w:val="TableBodyText"/>
                    <w:spacing w:after="0"/>
                    <w:ind w:left="0" w:right="57"/>
                    <w:rPr>
                      <w:b/>
                      <w:szCs w:val="18"/>
                    </w:rPr>
                  </w:pPr>
                  <w:r w:rsidRPr="00596CF3">
                    <w:rPr>
                      <w:b/>
                      <w:szCs w:val="18"/>
                    </w:rPr>
                    <w:t>0.3</w:t>
                  </w:r>
                </w:p>
              </w:tc>
              <w:tc>
                <w:tcPr>
                  <w:tcW w:w="500" w:type="pct"/>
                  <w:tcBorders>
                    <w:top w:val="single" w:sz="6" w:space="0" w:color="BFBFBF"/>
                  </w:tcBorders>
                  <w:vAlign w:val="center"/>
                </w:tcPr>
                <w:p w:rsidR="007544CA" w:rsidRPr="00596CF3" w:rsidRDefault="007544CA" w:rsidP="00133508">
                  <w:pPr>
                    <w:pStyle w:val="TableBodyText"/>
                    <w:spacing w:after="0"/>
                    <w:ind w:left="0" w:right="57"/>
                    <w:rPr>
                      <w:b/>
                      <w:szCs w:val="18"/>
                    </w:rPr>
                  </w:pPr>
                  <w:r w:rsidRPr="00596CF3">
                    <w:rPr>
                      <w:b/>
                      <w:szCs w:val="18"/>
                    </w:rPr>
                    <w:t>0.3</w:t>
                  </w:r>
                </w:p>
              </w:tc>
              <w:tc>
                <w:tcPr>
                  <w:tcW w:w="500" w:type="pct"/>
                  <w:tcBorders>
                    <w:top w:val="single" w:sz="6" w:space="0" w:color="BFBFBF"/>
                  </w:tcBorders>
                  <w:vAlign w:val="center"/>
                </w:tcPr>
                <w:p w:rsidR="007544CA" w:rsidRPr="00596CF3" w:rsidRDefault="007544CA" w:rsidP="00133508">
                  <w:pPr>
                    <w:pStyle w:val="TableBodyText"/>
                    <w:spacing w:after="0"/>
                    <w:ind w:left="0" w:right="57"/>
                    <w:rPr>
                      <w:b/>
                      <w:szCs w:val="18"/>
                    </w:rPr>
                  </w:pPr>
                  <w:r w:rsidRPr="00596CF3">
                    <w:rPr>
                      <w:b/>
                      <w:szCs w:val="18"/>
                    </w:rPr>
                    <w:t>0.3</w:t>
                  </w:r>
                </w:p>
              </w:tc>
              <w:tc>
                <w:tcPr>
                  <w:tcW w:w="499" w:type="pct"/>
                  <w:tcBorders>
                    <w:top w:val="single" w:sz="6" w:space="0" w:color="BFBFBF"/>
                  </w:tcBorders>
                  <w:vAlign w:val="center"/>
                </w:tcPr>
                <w:p w:rsidR="007544CA" w:rsidRPr="00596CF3" w:rsidRDefault="007544CA" w:rsidP="00133508">
                  <w:pPr>
                    <w:pStyle w:val="TableBodyText"/>
                    <w:spacing w:after="0"/>
                    <w:ind w:left="0" w:right="57"/>
                    <w:rPr>
                      <w:b/>
                      <w:szCs w:val="18"/>
                    </w:rPr>
                  </w:pPr>
                  <w:r w:rsidRPr="00596CF3">
                    <w:rPr>
                      <w:b/>
                      <w:szCs w:val="18"/>
                    </w:rPr>
                    <w:t>0.2</w:t>
                  </w:r>
                </w:p>
              </w:tc>
              <w:tc>
                <w:tcPr>
                  <w:tcW w:w="499" w:type="pct"/>
                  <w:tcBorders>
                    <w:top w:val="single" w:sz="6" w:space="0" w:color="BFBFBF"/>
                  </w:tcBorders>
                  <w:vAlign w:val="center"/>
                </w:tcPr>
                <w:p w:rsidR="007544CA" w:rsidRPr="00596CF3" w:rsidRDefault="007544CA" w:rsidP="00133508">
                  <w:pPr>
                    <w:pStyle w:val="TableBodyText"/>
                    <w:spacing w:after="0"/>
                    <w:ind w:left="0" w:right="57"/>
                    <w:rPr>
                      <w:b/>
                      <w:szCs w:val="18"/>
                    </w:rPr>
                  </w:pPr>
                  <w:r w:rsidRPr="00596CF3">
                    <w:rPr>
                      <w:b/>
                      <w:szCs w:val="18"/>
                    </w:rPr>
                    <w:t>0.2</w:t>
                  </w:r>
                </w:p>
              </w:tc>
              <w:tc>
                <w:tcPr>
                  <w:tcW w:w="498" w:type="pct"/>
                  <w:tcBorders>
                    <w:top w:val="single" w:sz="6" w:space="0" w:color="BFBFBF"/>
                  </w:tcBorders>
                  <w:vAlign w:val="center"/>
                </w:tcPr>
                <w:p w:rsidR="007544CA" w:rsidRPr="00596CF3" w:rsidRDefault="007544CA" w:rsidP="00133508">
                  <w:pPr>
                    <w:pStyle w:val="TableBodyText"/>
                    <w:spacing w:after="0"/>
                    <w:ind w:left="0" w:right="57"/>
                    <w:rPr>
                      <w:b/>
                      <w:szCs w:val="18"/>
                    </w:rPr>
                  </w:pPr>
                  <w:r w:rsidRPr="00596CF3">
                    <w:rPr>
                      <w:b/>
                      <w:szCs w:val="18"/>
                    </w:rPr>
                    <w:t>0.2</w:t>
                  </w:r>
                </w:p>
              </w:tc>
            </w:tr>
            <w:tr w:rsidR="007544CA" w:rsidTr="00133508">
              <w:tc>
                <w:tcPr>
                  <w:tcW w:w="2003" w:type="pct"/>
                  <w:vAlign w:val="bottom"/>
                </w:tcPr>
                <w:p w:rsidR="007544CA" w:rsidRPr="00633D27" w:rsidRDefault="007544CA" w:rsidP="00133508">
                  <w:pPr>
                    <w:pStyle w:val="TableBodyText"/>
                    <w:jc w:val="left"/>
                  </w:pPr>
                  <w:r w:rsidRPr="00633D27">
                    <w:t>Horticulture and fruit growing</w:t>
                  </w:r>
                </w:p>
              </w:tc>
              <w:tc>
                <w:tcPr>
                  <w:tcW w:w="501" w:type="pct"/>
                  <w:vAlign w:val="center"/>
                </w:tcPr>
                <w:p w:rsidR="007544CA" w:rsidRPr="00596CF3" w:rsidRDefault="007544CA" w:rsidP="00133508">
                  <w:pPr>
                    <w:pStyle w:val="TableBodyText"/>
                  </w:pPr>
                  <w:r w:rsidRPr="00596CF3">
                    <w:t>0.2</w:t>
                  </w:r>
                </w:p>
              </w:tc>
              <w:tc>
                <w:tcPr>
                  <w:tcW w:w="500" w:type="pct"/>
                  <w:vAlign w:val="center"/>
                </w:tcPr>
                <w:p w:rsidR="007544CA" w:rsidRPr="00596CF3" w:rsidRDefault="007544CA" w:rsidP="00133508">
                  <w:pPr>
                    <w:pStyle w:val="TableBodyText"/>
                  </w:pPr>
                  <w:r w:rsidRPr="00596CF3">
                    <w:t>0.2</w:t>
                  </w:r>
                </w:p>
              </w:tc>
              <w:tc>
                <w:tcPr>
                  <w:tcW w:w="500" w:type="pct"/>
                  <w:vAlign w:val="center"/>
                </w:tcPr>
                <w:p w:rsidR="007544CA" w:rsidRPr="00596CF3" w:rsidRDefault="007544CA" w:rsidP="00133508">
                  <w:pPr>
                    <w:pStyle w:val="TableBodyText"/>
                  </w:pPr>
                  <w:r w:rsidRPr="00596CF3">
                    <w:t>0.2</w:t>
                  </w:r>
                </w:p>
              </w:tc>
              <w:tc>
                <w:tcPr>
                  <w:tcW w:w="499" w:type="pct"/>
                  <w:vAlign w:val="center"/>
                </w:tcPr>
                <w:p w:rsidR="007544CA" w:rsidRPr="00596CF3" w:rsidRDefault="007544CA" w:rsidP="00133508">
                  <w:pPr>
                    <w:pStyle w:val="TableBodyText"/>
                  </w:pPr>
                  <w:r w:rsidRPr="00596CF3">
                    <w:t>0.2</w:t>
                  </w:r>
                </w:p>
              </w:tc>
              <w:tc>
                <w:tcPr>
                  <w:tcW w:w="499" w:type="pct"/>
                  <w:vAlign w:val="center"/>
                </w:tcPr>
                <w:p w:rsidR="007544CA" w:rsidRPr="00596CF3" w:rsidRDefault="007544CA" w:rsidP="00133508">
                  <w:pPr>
                    <w:pStyle w:val="TableBodyText"/>
                  </w:pPr>
                  <w:r w:rsidRPr="00596CF3">
                    <w:t>0.2</w:t>
                  </w:r>
                </w:p>
              </w:tc>
              <w:tc>
                <w:tcPr>
                  <w:tcW w:w="498" w:type="pct"/>
                  <w:vAlign w:val="center"/>
                </w:tcPr>
                <w:p w:rsidR="007544CA" w:rsidRPr="00596CF3" w:rsidRDefault="007544CA" w:rsidP="00133508">
                  <w:pPr>
                    <w:pStyle w:val="TableBodyText"/>
                  </w:pPr>
                  <w:r w:rsidRPr="00596CF3">
                    <w:t>0.2</w:t>
                  </w:r>
                </w:p>
              </w:tc>
            </w:tr>
            <w:tr w:rsidR="007544CA" w:rsidTr="00133508">
              <w:tc>
                <w:tcPr>
                  <w:tcW w:w="2003" w:type="pct"/>
                  <w:shd w:val="clear" w:color="auto" w:fill="auto"/>
                  <w:vAlign w:val="bottom"/>
                </w:tcPr>
                <w:p w:rsidR="007544CA" w:rsidRPr="00633D27" w:rsidRDefault="007544CA" w:rsidP="00133508">
                  <w:pPr>
                    <w:pStyle w:val="TableBodyText"/>
                    <w:jc w:val="left"/>
                  </w:pPr>
                  <w:r w:rsidRPr="00633D27">
                    <w:t>Sheep, beef cattle and grain farming</w:t>
                  </w:r>
                </w:p>
              </w:tc>
              <w:tc>
                <w:tcPr>
                  <w:tcW w:w="501" w:type="pct"/>
                  <w:vAlign w:val="center"/>
                </w:tcPr>
                <w:p w:rsidR="007544CA" w:rsidRPr="00596CF3" w:rsidRDefault="007544CA" w:rsidP="00133508">
                  <w:pPr>
                    <w:pStyle w:val="TableBodyText"/>
                  </w:pPr>
                  <w:r w:rsidRPr="00596CF3">
                    <w:t>0.1</w:t>
                  </w:r>
                </w:p>
              </w:tc>
              <w:tc>
                <w:tcPr>
                  <w:tcW w:w="500" w:type="pct"/>
                  <w:vAlign w:val="center"/>
                </w:tcPr>
                <w:p w:rsidR="007544CA" w:rsidRPr="00596CF3" w:rsidRDefault="007544CA" w:rsidP="00133508">
                  <w:pPr>
                    <w:pStyle w:val="TableBodyText"/>
                  </w:pPr>
                  <w:r w:rsidRPr="00596CF3">
                    <w:t>0.1</w:t>
                  </w:r>
                </w:p>
              </w:tc>
              <w:tc>
                <w:tcPr>
                  <w:tcW w:w="500" w:type="pct"/>
                  <w:vAlign w:val="center"/>
                </w:tcPr>
                <w:p w:rsidR="007544CA" w:rsidRPr="00596CF3" w:rsidRDefault="007544CA" w:rsidP="00133508">
                  <w:pPr>
                    <w:pStyle w:val="TableBodyText"/>
                  </w:pPr>
                  <w:r w:rsidRPr="00596CF3">
                    <w:t>0.1</w:t>
                  </w:r>
                </w:p>
              </w:tc>
              <w:tc>
                <w:tcPr>
                  <w:tcW w:w="499" w:type="pct"/>
                  <w:vAlign w:val="center"/>
                </w:tcPr>
                <w:p w:rsidR="007544CA" w:rsidRPr="00596CF3" w:rsidRDefault="007544CA" w:rsidP="00133508">
                  <w:pPr>
                    <w:pStyle w:val="TableBodyText"/>
                  </w:pPr>
                  <w:r w:rsidRPr="00596CF3">
                    <w:t>0.1</w:t>
                  </w:r>
                </w:p>
              </w:tc>
              <w:tc>
                <w:tcPr>
                  <w:tcW w:w="499" w:type="pct"/>
                  <w:shd w:val="clear" w:color="auto" w:fill="auto"/>
                  <w:vAlign w:val="center"/>
                </w:tcPr>
                <w:p w:rsidR="007544CA" w:rsidRPr="00596CF3" w:rsidRDefault="007544CA" w:rsidP="00133508">
                  <w:pPr>
                    <w:pStyle w:val="TableBodyText"/>
                  </w:pPr>
                  <w:r w:rsidRPr="00596CF3">
                    <w:t>0.1</w:t>
                  </w:r>
                </w:p>
              </w:tc>
              <w:tc>
                <w:tcPr>
                  <w:tcW w:w="498" w:type="pct"/>
                  <w:shd w:val="clear" w:color="auto" w:fill="auto"/>
                  <w:vAlign w:val="center"/>
                </w:tcPr>
                <w:p w:rsidR="007544CA" w:rsidRPr="00596CF3" w:rsidRDefault="007544CA" w:rsidP="00133508">
                  <w:pPr>
                    <w:pStyle w:val="TableBodyText"/>
                  </w:pPr>
                  <w:r w:rsidRPr="00596CF3">
                    <w:t>0.1</w:t>
                  </w:r>
                </w:p>
              </w:tc>
            </w:tr>
            <w:tr w:rsidR="007544CA" w:rsidTr="00133508">
              <w:tc>
                <w:tcPr>
                  <w:tcW w:w="2003" w:type="pct"/>
                  <w:shd w:val="clear" w:color="auto" w:fill="auto"/>
                  <w:vAlign w:val="bottom"/>
                </w:tcPr>
                <w:p w:rsidR="007544CA" w:rsidRPr="00633D27" w:rsidRDefault="007544CA" w:rsidP="00133508">
                  <w:pPr>
                    <w:pStyle w:val="TableBodyText"/>
                    <w:jc w:val="left"/>
                  </w:pPr>
                  <w:r w:rsidRPr="00633D27">
                    <w:t>Other crop growing</w:t>
                  </w:r>
                </w:p>
              </w:tc>
              <w:tc>
                <w:tcPr>
                  <w:tcW w:w="501" w:type="pct"/>
                  <w:vAlign w:val="center"/>
                </w:tcPr>
                <w:p w:rsidR="007544CA" w:rsidRPr="00596CF3" w:rsidRDefault="007544CA" w:rsidP="00133508">
                  <w:pPr>
                    <w:pStyle w:val="TableBodyText"/>
                  </w:pPr>
                  <w:r w:rsidRPr="00596CF3">
                    <w:t>0.2</w:t>
                  </w:r>
                </w:p>
              </w:tc>
              <w:tc>
                <w:tcPr>
                  <w:tcW w:w="500" w:type="pct"/>
                  <w:vAlign w:val="center"/>
                </w:tcPr>
                <w:p w:rsidR="007544CA" w:rsidRPr="00596CF3" w:rsidRDefault="007544CA" w:rsidP="00133508">
                  <w:pPr>
                    <w:pStyle w:val="TableBodyText"/>
                  </w:pPr>
                  <w:r w:rsidRPr="00596CF3">
                    <w:t>0.2</w:t>
                  </w:r>
                </w:p>
              </w:tc>
              <w:tc>
                <w:tcPr>
                  <w:tcW w:w="500" w:type="pct"/>
                  <w:vAlign w:val="center"/>
                </w:tcPr>
                <w:p w:rsidR="007544CA" w:rsidRPr="00596CF3" w:rsidRDefault="007544CA" w:rsidP="00133508">
                  <w:pPr>
                    <w:pStyle w:val="TableBodyText"/>
                  </w:pPr>
                  <w:r w:rsidRPr="00596CF3">
                    <w:t>0.2</w:t>
                  </w:r>
                </w:p>
              </w:tc>
              <w:tc>
                <w:tcPr>
                  <w:tcW w:w="499" w:type="pct"/>
                  <w:vAlign w:val="center"/>
                </w:tcPr>
                <w:p w:rsidR="007544CA" w:rsidRPr="00596CF3" w:rsidRDefault="007544CA" w:rsidP="00133508">
                  <w:pPr>
                    <w:pStyle w:val="TableBodyText"/>
                  </w:pPr>
                  <w:r w:rsidRPr="00596CF3">
                    <w:t>0.2</w:t>
                  </w:r>
                </w:p>
              </w:tc>
              <w:tc>
                <w:tcPr>
                  <w:tcW w:w="499" w:type="pct"/>
                  <w:shd w:val="clear" w:color="auto" w:fill="auto"/>
                  <w:vAlign w:val="center"/>
                </w:tcPr>
                <w:p w:rsidR="007544CA" w:rsidRPr="00596CF3" w:rsidRDefault="007544CA" w:rsidP="00133508">
                  <w:pPr>
                    <w:pStyle w:val="TableBodyText"/>
                  </w:pPr>
                  <w:r w:rsidRPr="00596CF3">
                    <w:t>0.2</w:t>
                  </w:r>
                </w:p>
              </w:tc>
              <w:tc>
                <w:tcPr>
                  <w:tcW w:w="498" w:type="pct"/>
                  <w:shd w:val="clear" w:color="auto" w:fill="auto"/>
                  <w:vAlign w:val="center"/>
                </w:tcPr>
                <w:p w:rsidR="007544CA" w:rsidRPr="00596CF3" w:rsidRDefault="007544CA" w:rsidP="00133508">
                  <w:pPr>
                    <w:pStyle w:val="TableBodyText"/>
                  </w:pPr>
                  <w:r w:rsidRPr="00596CF3">
                    <w:t>0.2</w:t>
                  </w:r>
                </w:p>
              </w:tc>
            </w:tr>
            <w:tr w:rsidR="007544CA" w:rsidTr="00133508">
              <w:tc>
                <w:tcPr>
                  <w:tcW w:w="2003" w:type="pct"/>
                  <w:shd w:val="clear" w:color="auto" w:fill="auto"/>
                  <w:vAlign w:val="bottom"/>
                </w:tcPr>
                <w:p w:rsidR="007544CA" w:rsidRPr="00633D27" w:rsidRDefault="007544CA" w:rsidP="00133508">
                  <w:pPr>
                    <w:pStyle w:val="TableBodyText"/>
                    <w:jc w:val="left"/>
                  </w:pPr>
                  <w:r w:rsidRPr="00633D27">
                    <w:t>Dairy cattle farming</w:t>
                  </w:r>
                </w:p>
              </w:tc>
              <w:tc>
                <w:tcPr>
                  <w:tcW w:w="501" w:type="pct"/>
                  <w:vAlign w:val="center"/>
                </w:tcPr>
                <w:p w:rsidR="007544CA" w:rsidRPr="00596CF3" w:rsidRDefault="007544CA" w:rsidP="00133508">
                  <w:pPr>
                    <w:pStyle w:val="TableBodyText"/>
                  </w:pPr>
                  <w:r w:rsidRPr="00596CF3">
                    <w:t>0.1</w:t>
                  </w:r>
                </w:p>
              </w:tc>
              <w:tc>
                <w:tcPr>
                  <w:tcW w:w="500" w:type="pct"/>
                  <w:vAlign w:val="center"/>
                </w:tcPr>
                <w:p w:rsidR="007544CA" w:rsidRPr="00596CF3" w:rsidRDefault="007544CA" w:rsidP="00133508">
                  <w:pPr>
                    <w:pStyle w:val="TableBodyText"/>
                  </w:pPr>
                  <w:r w:rsidRPr="00596CF3">
                    <w:t>0.1</w:t>
                  </w:r>
                </w:p>
              </w:tc>
              <w:tc>
                <w:tcPr>
                  <w:tcW w:w="500" w:type="pct"/>
                  <w:vAlign w:val="center"/>
                </w:tcPr>
                <w:p w:rsidR="007544CA" w:rsidRPr="00596CF3" w:rsidRDefault="007544CA" w:rsidP="00133508">
                  <w:pPr>
                    <w:pStyle w:val="TableBodyText"/>
                  </w:pPr>
                  <w:r w:rsidRPr="00596CF3">
                    <w:t>0.1</w:t>
                  </w:r>
                </w:p>
              </w:tc>
              <w:tc>
                <w:tcPr>
                  <w:tcW w:w="499" w:type="pct"/>
                  <w:vAlign w:val="center"/>
                </w:tcPr>
                <w:p w:rsidR="007544CA" w:rsidRPr="00596CF3" w:rsidRDefault="007544CA" w:rsidP="00133508">
                  <w:pPr>
                    <w:pStyle w:val="TableBodyText"/>
                  </w:pPr>
                  <w:r w:rsidRPr="00596CF3">
                    <w:t>0.1</w:t>
                  </w:r>
                </w:p>
              </w:tc>
              <w:tc>
                <w:tcPr>
                  <w:tcW w:w="499" w:type="pct"/>
                  <w:shd w:val="clear" w:color="auto" w:fill="auto"/>
                  <w:vAlign w:val="center"/>
                </w:tcPr>
                <w:p w:rsidR="007544CA" w:rsidRPr="00596CF3" w:rsidRDefault="007544CA" w:rsidP="00133508">
                  <w:pPr>
                    <w:pStyle w:val="TableBodyText"/>
                  </w:pPr>
                  <w:r w:rsidRPr="00596CF3">
                    <w:t>0.1</w:t>
                  </w:r>
                </w:p>
              </w:tc>
              <w:tc>
                <w:tcPr>
                  <w:tcW w:w="498" w:type="pct"/>
                  <w:shd w:val="clear" w:color="auto" w:fill="auto"/>
                  <w:vAlign w:val="center"/>
                </w:tcPr>
                <w:p w:rsidR="007544CA" w:rsidRPr="00596CF3" w:rsidRDefault="007544CA" w:rsidP="00133508">
                  <w:pPr>
                    <w:pStyle w:val="TableBodyText"/>
                  </w:pPr>
                  <w:r w:rsidRPr="00596CF3">
                    <w:t>0.1</w:t>
                  </w:r>
                </w:p>
              </w:tc>
            </w:tr>
            <w:tr w:rsidR="007544CA" w:rsidTr="00133508">
              <w:tc>
                <w:tcPr>
                  <w:tcW w:w="2003" w:type="pct"/>
                  <w:shd w:val="clear" w:color="auto" w:fill="auto"/>
                  <w:vAlign w:val="bottom"/>
                </w:tcPr>
                <w:p w:rsidR="007544CA" w:rsidRPr="00633D27" w:rsidRDefault="007544CA" w:rsidP="00133508">
                  <w:pPr>
                    <w:pStyle w:val="TableBodyText"/>
                    <w:jc w:val="left"/>
                  </w:pPr>
                  <w:r w:rsidRPr="00633D27">
                    <w:t>Other livestock farming</w:t>
                  </w:r>
                </w:p>
              </w:tc>
              <w:tc>
                <w:tcPr>
                  <w:tcW w:w="501" w:type="pct"/>
                  <w:vAlign w:val="center"/>
                </w:tcPr>
                <w:p w:rsidR="007544CA" w:rsidRPr="00596CF3" w:rsidRDefault="007544CA" w:rsidP="00133508">
                  <w:pPr>
                    <w:pStyle w:val="TableBodyText"/>
                  </w:pPr>
                  <w:r w:rsidRPr="00596CF3">
                    <w:t>0.2</w:t>
                  </w:r>
                </w:p>
              </w:tc>
              <w:tc>
                <w:tcPr>
                  <w:tcW w:w="500" w:type="pct"/>
                  <w:vAlign w:val="center"/>
                </w:tcPr>
                <w:p w:rsidR="007544CA" w:rsidRPr="00596CF3" w:rsidRDefault="007544CA" w:rsidP="00133508">
                  <w:pPr>
                    <w:pStyle w:val="TableBodyText"/>
                  </w:pPr>
                  <w:r w:rsidRPr="00596CF3">
                    <w:t>0.2</w:t>
                  </w:r>
                </w:p>
              </w:tc>
              <w:tc>
                <w:tcPr>
                  <w:tcW w:w="500" w:type="pct"/>
                  <w:vAlign w:val="center"/>
                </w:tcPr>
                <w:p w:rsidR="007544CA" w:rsidRPr="00596CF3" w:rsidRDefault="007544CA" w:rsidP="00133508">
                  <w:pPr>
                    <w:pStyle w:val="TableBodyText"/>
                  </w:pPr>
                  <w:r w:rsidRPr="00596CF3">
                    <w:t>0.2</w:t>
                  </w:r>
                </w:p>
              </w:tc>
              <w:tc>
                <w:tcPr>
                  <w:tcW w:w="499" w:type="pct"/>
                  <w:vAlign w:val="center"/>
                </w:tcPr>
                <w:p w:rsidR="007544CA" w:rsidRPr="00596CF3" w:rsidRDefault="007544CA" w:rsidP="00133508">
                  <w:pPr>
                    <w:pStyle w:val="TableBodyText"/>
                  </w:pPr>
                  <w:r w:rsidRPr="00596CF3">
                    <w:t>0.2</w:t>
                  </w:r>
                </w:p>
              </w:tc>
              <w:tc>
                <w:tcPr>
                  <w:tcW w:w="499" w:type="pct"/>
                  <w:shd w:val="clear" w:color="auto" w:fill="auto"/>
                  <w:vAlign w:val="center"/>
                </w:tcPr>
                <w:p w:rsidR="007544CA" w:rsidRPr="00596CF3" w:rsidRDefault="007544CA" w:rsidP="00133508">
                  <w:pPr>
                    <w:pStyle w:val="TableBodyText"/>
                  </w:pPr>
                  <w:r w:rsidRPr="00596CF3">
                    <w:t>0.2</w:t>
                  </w:r>
                </w:p>
              </w:tc>
              <w:tc>
                <w:tcPr>
                  <w:tcW w:w="498" w:type="pct"/>
                  <w:shd w:val="clear" w:color="auto" w:fill="auto"/>
                  <w:vAlign w:val="center"/>
                </w:tcPr>
                <w:p w:rsidR="007544CA" w:rsidRPr="00596CF3" w:rsidRDefault="007544CA" w:rsidP="00133508">
                  <w:pPr>
                    <w:pStyle w:val="TableBodyText"/>
                  </w:pPr>
                  <w:r w:rsidRPr="00596CF3">
                    <w:t>0.2</w:t>
                  </w:r>
                </w:p>
              </w:tc>
            </w:tr>
            <w:tr w:rsidR="007544CA" w:rsidTr="00133508">
              <w:tc>
                <w:tcPr>
                  <w:tcW w:w="2003" w:type="pct"/>
                  <w:shd w:val="clear" w:color="auto" w:fill="auto"/>
                  <w:vAlign w:val="bottom"/>
                </w:tcPr>
                <w:p w:rsidR="007544CA" w:rsidRPr="00633D27" w:rsidRDefault="007544CA" w:rsidP="00133508">
                  <w:pPr>
                    <w:pStyle w:val="TableBodyText"/>
                    <w:jc w:val="left"/>
                  </w:pPr>
                  <w:r w:rsidRPr="00633D27">
                    <w:t>Aquaculture and fishing</w:t>
                  </w:r>
                </w:p>
              </w:tc>
              <w:tc>
                <w:tcPr>
                  <w:tcW w:w="501" w:type="pct"/>
                  <w:vAlign w:val="center"/>
                </w:tcPr>
                <w:p w:rsidR="007544CA" w:rsidRPr="00596CF3" w:rsidRDefault="007544CA" w:rsidP="00133508">
                  <w:pPr>
                    <w:pStyle w:val="TableBodyText"/>
                  </w:pPr>
                  <w:r w:rsidRPr="00596CF3">
                    <w:t>1.3</w:t>
                  </w:r>
                </w:p>
              </w:tc>
              <w:tc>
                <w:tcPr>
                  <w:tcW w:w="500" w:type="pct"/>
                  <w:vAlign w:val="center"/>
                </w:tcPr>
                <w:p w:rsidR="007544CA" w:rsidRPr="00596CF3" w:rsidRDefault="007544CA" w:rsidP="00133508">
                  <w:pPr>
                    <w:pStyle w:val="TableBodyText"/>
                  </w:pPr>
                  <w:r w:rsidRPr="00596CF3">
                    <w:t>1.2</w:t>
                  </w:r>
                </w:p>
              </w:tc>
              <w:tc>
                <w:tcPr>
                  <w:tcW w:w="500" w:type="pct"/>
                  <w:vAlign w:val="center"/>
                </w:tcPr>
                <w:p w:rsidR="007544CA" w:rsidRPr="00596CF3" w:rsidRDefault="007544CA" w:rsidP="00133508">
                  <w:pPr>
                    <w:pStyle w:val="TableBodyText"/>
                  </w:pPr>
                  <w:r w:rsidRPr="00596CF3">
                    <w:t>1.2</w:t>
                  </w:r>
                </w:p>
              </w:tc>
              <w:tc>
                <w:tcPr>
                  <w:tcW w:w="499" w:type="pct"/>
                  <w:vAlign w:val="center"/>
                </w:tcPr>
                <w:p w:rsidR="007544CA" w:rsidRPr="00596CF3" w:rsidRDefault="007544CA" w:rsidP="00133508">
                  <w:pPr>
                    <w:pStyle w:val="TableBodyText"/>
                  </w:pPr>
                  <w:r w:rsidRPr="00596CF3">
                    <w:t>1.2</w:t>
                  </w:r>
                </w:p>
              </w:tc>
              <w:tc>
                <w:tcPr>
                  <w:tcW w:w="499" w:type="pct"/>
                  <w:shd w:val="clear" w:color="auto" w:fill="auto"/>
                  <w:vAlign w:val="center"/>
                </w:tcPr>
                <w:p w:rsidR="007544CA" w:rsidRPr="00596CF3" w:rsidRDefault="007544CA" w:rsidP="00133508">
                  <w:pPr>
                    <w:pStyle w:val="TableBodyText"/>
                  </w:pPr>
                  <w:r w:rsidRPr="00596CF3">
                    <w:t>1.2</w:t>
                  </w:r>
                </w:p>
              </w:tc>
              <w:tc>
                <w:tcPr>
                  <w:tcW w:w="498" w:type="pct"/>
                  <w:shd w:val="clear" w:color="auto" w:fill="auto"/>
                  <w:vAlign w:val="center"/>
                </w:tcPr>
                <w:p w:rsidR="007544CA" w:rsidRPr="00596CF3" w:rsidRDefault="007544CA" w:rsidP="00133508">
                  <w:pPr>
                    <w:pStyle w:val="TableBodyText"/>
                  </w:pPr>
                  <w:r w:rsidRPr="00596CF3">
                    <w:t>1.1</w:t>
                  </w:r>
                </w:p>
              </w:tc>
            </w:tr>
            <w:tr w:rsidR="007544CA" w:rsidTr="00133508">
              <w:tc>
                <w:tcPr>
                  <w:tcW w:w="2003" w:type="pct"/>
                  <w:shd w:val="clear" w:color="auto" w:fill="auto"/>
                  <w:vAlign w:val="bottom"/>
                </w:tcPr>
                <w:p w:rsidR="007544CA" w:rsidRPr="00633D27" w:rsidRDefault="007544CA" w:rsidP="00133508">
                  <w:pPr>
                    <w:pStyle w:val="TableBodyText"/>
                    <w:jc w:val="left"/>
                  </w:pPr>
                  <w:r w:rsidRPr="00633D27">
                    <w:t>Forestry and logging</w:t>
                  </w:r>
                </w:p>
              </w:tc>
              <w:tc>
                <w:tcPr>
                  <w:tcW w:w="501" w:type="pct"/>
                  <w:vAlign w:val="center"/>
                </w:tcPr>
                <w:p w:rsidR="007544CA" w:rsidRPr="00596CF3" w:rsidRDefault="007544CA" w:rsidP="00133508">
                  <w:pPr>
                    <w:pStyle w:val="TableBodyText"/>
                  </w:pPr>
                  <w:r w:rsidRPr="00596CF3">
                    <w:t>1.0</w:t>
                  </w:r>
                </w:p>
              </w:tc>
              <w:tc>
                <w:tcPr>
                  <w:tcW w:w="500" w:type="pct"/>
                  <w:vAlign w:val="center"/>
                </w:tcPr>
                <w:p w:rsidR="007544CA" w:rsidRPr="00596CF3" w:rsidRDefault="007544CA" w:rsidP="00133508">
                  <w:pPr>
                    <w:pStyle w:val="TableBodyText"/>
                  </w:pPr>
                  <w:r w:rsidRPr="00596CF3">
                    <w:t>1.0</w:t>
                  </w:r>
                </w:p>
              </w:tc>
              <w:tc>
                <w:tcPr>
                  <w:tcW w:w="500" w:type="pct"/>
                  <w:vAlign w:val="center"/>
                </w:tcPr>
                <w:p w:rsidR="007544CA" w:rsidRPr="00596CF3" w:rsidRDefault="007544CA" w:rsidP="00133508">
                  <w:pPr>
                    <w:pStyle w:val="TableBodyText"/>
                  </w:pPr>
                  <w:r w:rsidRPr="00596CF3">
                    <w:t>1.0</w:t>
                  </w:r>
                </w:p>
              </w:tc>
              <w:tc>
                <w:tcPr>
                  <w:tcW w:w="499" w:type="pct"/>
                  <w:vAlign w:val="center"/>
                </w:tcPr>
                <w:p w:rsidR="007544CA" w:rsidRPr="00596CF3" w:rsidRDefault="007544CA" w:rsidP="00133508">
                  <w:pPr>
                    <w:pStyle w:val="TableBodyText"/>
                  </w:pPr>
                  <w:r w:rsidRPr="00596CF3">
                    <w:t>1.0</w:t>
                  </w:r>
                </w:p>
              </w:tc>
              <w:tc>
                <w:tcPr>
                  <w:tcW w:w="499" w:type="pct"/>
                  <w:shd w:val="clear" w:color="auto" w:fill="auto"/>
                  <w:vAlign w:val="center"/>
                </w:tcPr>
                <w:p w:rsidR="007544CA" w:rsidRPr="00596CF3" w:rsidRDefault="007544CA" w:rsidP="00133508">
                  <w:pPr>
                    <w:pStyle w:val="TableBodyText"/>
                  </w:pPr>
                  <w:r w:rsidRPr="00596CF3">
                    <w:t>1.0</w:t>
                  </w:r>
                </w:p>
              </w:tc>
              <w:tc>
                <w:tcPr>
                  <w:tcW w:w="498" w:type="pct"/>
                  <w:shd w:val="clear" w:color="auto" w:fill="auto"/>
                  <w:vAlign w:val="center"/>
                </w:tcPr>
                <w:p w:rsidR="007544CA" w:rsidRPr="00596CF3" w:rsidRDefault="007544CA" w:rsidP="00133508">
                  <w:pPr>
                    <w:pStyle w:val="TableBodyText"/>
                  </w:pPr>
                  <w:r w:rsidRPr="00596CF3">
                    <w:t>1.0</w:t>
                  </w:r>
                </w:p>
              </w:tc>
            </w:tr>
            <w:tr w:rsidR="007544CA" w:rsidTr="00133508">
              <w:tc>
                <w:tcPr>
                  <w:tcW w:w="2003" w:type="pct"/>
                  <w:shd w:val="clear" w:color="auto" w:fill="auto"/>
                  <w:vAlign w:val="bottom"/>
                </w:tcPr>
                <w:p w:rsidR="007544CA" w:rsidRPr="00633D27" w:rsidRDefault="007544CA" w:rsidP="00133508">
                  <w:pPr>
                    <w:pStyle w:val="TableBodyText"/>
                    <w:jc w:val="left"/>
                  </w:pPr>
                  <w:r w:rsidRPr="00633D27">
                    <w:t>Primary production support services</w:t>
                  </w:r>
                </w:p>
              </w:tc>
              <w:tc>
                <w:tcPr>
                  <w:tcW w:w="501" w:type="pct"/>
                  <w:vAlign w:val="center"/>
                </w:tcPr>
                <w:p w:rsidR="007544CA" w:rsidRPr="00596CF3" w:rsidRDefault="007544CA" w:rsidP="00133508">
                  <w:pPr>
                    <w:pStyle w:val="TableBodyText"/>
                  </w:pPr>
                  <w:r w:rsidRPr="00596CF3">
                    <w:t>0.5</w:t>
                  </w:r>
                </w:p>
              </w:tc>
              <w:tc>
                <w:tcPr>
                  <w:tcW w:w="500" w:type="pct"/>
                  <w:vAlign w:val="center"/>
                </w:tcPr>
                <w:p w:rsidR="007544CA" w:rsidRPr="00596CF3" w:rsidRDefault="007544CA" w:rsidP="00133508">
                  <w:pPr>
                    <w:pStyle w:val="TableBodyText"/>
                  </w:pPr>
                  <w:r w:rsidRPr="00596CF3">
                    <w:t>0.5</w:t>
                  </w:r>
                </w:p>
              </w:tc>
              <w:tc>
                <w:tcPr>
                  <w:tcW w:w="500" w:type="pct"/>
                  <w:vAlign w:val="center"/>
                </w:tcPr>
                <w:p w:rsidR="007544CA" w:rsidRPr="00596CF3" w:rsidRDefault="007544CA" w:rsidP="00133508">
                  <w:pPr>
                    <w:pStyle w:val="TableBodyText"/>
                  </w:pPr>
                  <w:r w:rsidRPr="00596CF3">
                    <w:t>0.5</w:t>
                  </w:r>
                </w:p>
              </w:tc>
              <w:tc>
                <w:tcPr>
                  <w:tcW w:w="499" w:type="pct"/>
                  <w:vAlign w:val="center"/>
                </w:tcPr>
                <w:p w:rsidR="007544CA" w:rsidRPr="00596CF3" w:rsidRDefault="007544CA" w:rsidP="00133508">
                  <w:pPr>
                    <w:pStyle w:val="TableBodyText"/>
                  </w:pPr>
                  <w:r w:rsidRPr="00596CF3">
                    <w:t>0.5</w:t>
                  </w:r>
                </w:p>
              </w:tc>
              <w:tc>
                <w:tcPr>
                  <w:tcW w:w="499" w:type="pct"/>
                  <w:shd w:val="clear" w:color="auto" w:fill="auto"/>
                  <w:vAlign w:val="center"/>
                </w:tcPr>
                <w:p w:rsidR="007544CA" w:rsidRPr="00596CF3" w:rsidRDefault="007544CA" w:rsidP="00133508">
                  <w:pPr>
                    <w:pStyle w:val="TableBodyText"/>
                  </w:pPr>
                  <w:r w:rsidRPr="00596CF3">
                    <w:t>0.5</w:t>
                  </w:r>
                </w:p>
              </w:tc>
              <w:tc>
                <w:tcPr>
                  <w:tcW w:w="498" w:type="pct"/>
                  <w:shd w:val="clear" w:color="auto" w:fill="auto"/>
                  <w:vAlign w:val="center"/>
                </w:tcPr>
                <w:p w:rsidR="007544CA" w:rsidRPr="00596CF3" w:rsidRDefault="007544CA" w:rsidP="00133508">
                  <w:pPr>
                    <w:pStyle w:val="TableBodyText"/>
                  </w:pPr>
                  <w:r w:rsidRPr="00596CF3">
                    <w:t>0.5</w:t>
                  </w:r>
                </w:p>
              </w:tc>
            </w:tr>
            <w:tr w:rsidR="007544CA" w:rsidTr="00133508">
              <w:tc>
                <w:tcPr>
                  <w:tcW w:w="2003" w:type="pct"/>
                  <w:shd w:val="clear" w:color="auto" w:fill="auto"/>
                  <w:vAlign w:val="bottom"/>
                </w:tcPr>
                <w:p w:rsidR="007544CA" w:rsidRPr="00633D27" w:rsidRDefault="007544CA" w:rsidP="00133508">
                  <w:pPr>
                    <w:rPr>
                      <w:rFonts w:ascii="Arial" w:hAnsi="Arial" w:cs="Arial"/>
                      <w:b/>
                      <w:bCs/>
                      <w:sz w:val="18"/>
                      <w:szCs w:val="18"/>
                    </w:rPr>
                  </w:pPr>
                  <w:r w:rsidRPr="00633D27">
                    <w:rPr>
                      <w:rFonts w:ascii="Arial" w:hAnsi="Arial" w:cs="Arial"/>
                      <w:b/>
                      <w:bCs/>
                      <w:sz w:val="18"/>
                      <w:szCs w:val="18"/>
                    </w:rPr>
                    <w:t>Mining</w:t>
                  </w:r>
                </w:p>
              </w:tc>
              <w:tc>
                <w:tcPr>
                  <w:tcW w:w="501" w:type="pct"/>
                  <w:vAlign w:val="center"/>
                </w:tcPr>
                <w:p w:rsidR="007544CA" w:rsidRPr="00596CF3" w:rsidRDefault="007544CA" w:rsidP="00133508">
                  <w:pPr>
                    <w:pStyle w:val="TableBodyText"/>
                    <w:spacing w:after="0"/>
                    <w:ind w:left="0" w:right="57"/>
                    <w:rPr>
                      <w:b/>
                      <w:szCs w:val="18"/>
                    </w:rPr>
                  </w:pPr>
                  <w:r w:rsidRPr="00596CF3">
                    <w:rPr>
                      <w:b/>
                      <w:szCs w:val="18"/>
                    </w:rPr>
                    <w:t>0.5</w:t>
                  </w:r>
                </w:p>
              </w:tc>
              <w:tc>
                <w:tcPr>
                  <w:tcW w:w="500" w:type="pct"/>
                  <w:vAlign w:val="center"/>
                </w:tcPr>
                <w:p w:rsidR="007544CA" w:rsidRPr="00596CF3" w:rsidRDefault="007544CA" w:rsidP="00133508">
                  <w:pPr>
                    <w:pStyle w:val="TableBodyText"/>
                    <w:spacing w:after="0"/>
                    <w:ind w:left="0" w:right="57"/>
                    <w:rPr>
                      <w:b/>
                      <w:szCs w:val="18"/>
                    </w:rPr>
                  </w:pPr>
                  <w:r w:rsidRPr="00596CF3">
                    <w:rPr>
                      <w:b/>
                      <w:szCs w:val="18"/>
                    </w:rPr>
                    <w:t>0.5</w:t>
                  </w:r>
                </w:p>
              </w:tc>
              <w:tc>
                <w:tcPr>
                  <w:tcW w:w="500" w:type="pct"/>
                  <w:vAlign w:val="center"/>
                </w:tcPr>
                <w:p w:rsidR="007544CA" w:rsidRPr="00596CF3" w:rsidRDefault="007544CA" w:rsidP="00133508">
                  <w:pPr>
                    <w:pStyle w:val="TableBodyText"/>
                    <w:spacing w:after="0"/>
                    <w:ind w:left="0" w:right="57"/>
                    <w:rPr>
                      <w:b/>
                      <w:szCs w:val="18"/>
                    </w:rPr>
                  </w:pPr>
                  <w:r w:rsidRPr="00596CF3">
                    <w:rPr>
                      <w:b/>
                      <w:szCs w:val="18"/>
                    </w:rPr>
                    <w:t>0.5</w:t>
                  </w:r>
                </w:p>
              </w:tc>
              <w:tc>
                <w:tcPr>
                  <w:tcW w:w="499" w:type="pct"/>
                  <w:vAlign w:val="center"/>
                </w:tcPr>
                <w:p w:rsidR="007544CA" w:rsidRPr="00596CF3" w:rsidRDefault="007544CA" w:rsidP="00133508">
                  <w:pPr>
                    <w:pStyle w:val="TableBodyText"/>
                    <w:spacing w:after="0"/>
                    <w:ind w:left="0" w:right="57"/>
                    <w:rPr>
                      <w:b/>
                      <w:szCs w:val="18"/>
                    </w:rPr>
                  </w:pPr>
                  <w:r w:rsidRPr="00596CF3">
                    <w:rPr>
                      <w:b/>
                      <w:szCs w:val="18"/>
                    </w:rPr>
                    <w:t>0.5</w:t>
                  </w:r>
                </w:p>
              </w:tc>
              <w:tc>
                <w:tcPr>
                  <w:tcW w:w="499" w:type="pct"/>
                  <w:shd w:val="clear" w:color="auto" w:fill="auto"/>
                  <w:vAlign w:val="center"/>
                </w:tcPr>
                <w:p w:rsidR="007544CA" w:rsidRPr="00596CF3" w:rsidRDefault="007544CA" w:rsidP="00133508">
                  <w:pPr>
                    <w:pStyle w:val="TableBodyText"/>
                    <w:spacing w:after="0"/>
                    <w:ind w:left="0" w:right="57"/>
                    <w:rPr>
                      <w:b/>
                      <w:szCs w:val="18"/>
                    </w:rPr>
                  </w:pPr>
                  <w:r w:rsidRPr="00596CF3">
                    <w:rPr>
                      <w:b/>
                      <w:szCs w:val="18"/>
                    </w:rPr>
                    <w:t>0.5</w:t>
                  </w:r>
                </w:p>
              </w:tc>
              <w:tc>
                <w:tcPr>
                  <w:tcW w:w="498" w:type="pct"/>
                  <w:shd w:val="clear" w:color="auto" w:fill="auto"/>
                  <w:vAlign w:val="center"/>
                </w:tcPr>
                <w:p w:rsidR="007544CA" w:rsidRPr="00596CF3" w:rsidRDefault="007544CA" w:rsidP="00133508">
                  <w:pPr>
                    <w:pStyle w:val="TableBodyText"/>
                    <w:spacing w:after="0"/>
                    <w:ind w:left="0" w:right="57"/>
                    <w:rPr>
                      <w:b/>
                      <w:szCs w:val="18"/>
                    </w:rPr>
                  </w:pPr>
                  <w:r w:rsidRPr="00596CF3">
                    <w:rPr>
                      <w:b/>
                      <w:szCs w:val="18"/>
                    </w:rPr>
                    <w:t>0.5</w:t>
                  </w:r>
                </w:p>
              </w:tc>
            </w:tr>
            <w:tr w:rsidR="007544CA" w:rsidTr="00133508">
              <w:tc>
                <w:tcPr>
                  <w:tcW w:w="2003" w:type="pct"/>
                  <w:shd w:val="clear" w:color="auto" w:fill="auto"/>
                  <w:vAlign w:val="bottom"/>
                </w:tcPr>
                <w:p w:rsidR="007544CA" w:rsidRPr="00633D27" w:rsidRDefault="007544CA" w:rsidP="00133508">
                  <w:pPr>
                    <w:rPr>
                      <w:rFonts w:ascii="Arial" w:hAnsi="Arial" w:cs="Arial"/>
                      <w:b/>
                      <w:bCs/>
                      <w:sz w:val="18"/>
                      <w:szCs w:val="18"/>
                    </w:rPr>
                  </w:pPr>
                  <w:r w:rsidRPr="00633D27">
                    <w:rPr>
                      <w:rFonts w:ascii="Arial" w:hAnsi="Arial" w:cs="Arial"/>
                      <w:b/>
                      <w:bCs/>
                      <w:sz w:val="18"/>
                      <w:szCs w:val="18"/>
                    </w:rPr>
                    <w:t>Manufacturing</w:t>
                  </w:r>
                  <w:r>
                    <w:rPr>
                      <w:rStyle w:val="NoteLabel"/>
                    </w:rPr>
                    <w:t>b</w:t>
                  </w:r>
                </w:p>
              </w:tc>
              <w:tc>
                <w:tcPr>
                  <w:tcW w:w="501" w:type="pct"/>
                  <w:vAlign w:val="center"/>
                </w:tcPr>
                <w:p w:rsidR="007544CA" w:rsidRPr="00596CF3" w:rsidRDefault="007544CA" w:rsidP="00133508">
                  <w:pPr>
                    <w:pStyle w:val="TableBodyText"/>
                    <w:spacing w:after="0"/>
                    <w:ind w:left="0" w:right="57"/>
                    <w:rPr>
                      <w:b/>
                      <w:szCs w:val="18"/>
                    </w:rPr>
                  </w:pPr>
                  <w:r w:rsidRPr="00596CF3">
                    <w:rPr>
                      <w:b/>
                      <w:szCs w:val="18"/>
                    </w:rPr>
                    <w:t>1.1</w:t>
                  </w:r>
                </w:p>
              </w:tc>
              <w:tc>
                <w:tcPr>
                  <w:tcW w:w="500" w:type="pct"/>
                  <w:vAlign w:val="center"/>
                </w:tcPr>
                <w:p w:rsidR="007544CA" w:rsidRPr="00596CF3" w:rsidRDefault="007544CA" w:rsidP="00133508">
                  <w:pPr>
                    <w:pStyle w:val="TableBodyText"/>
                    <w:spacing w:after="0"/>
                    <w:ind w:left="0" w:right="57"/>
                    <w:rPr>
                      <w:b/>
                      <w:szCs w:val="18"/>
                    </w:rPr>
                  </w:pPr>
                  <w:r w:rsidRPr="00596CF3">
                    <w:rPr>
                      <w:b/>
                      <w:szCs w:val="18"/>
                    </w:rPr>
                    <w:t>1.0</w:t>
                  </w:r>
                </w:p>
              </w:tc>
              <w:tc>
                <w:tcPr>
                  <w:tcW w:w="500" w:type="pct"/>
                  <w:vAlign w:val="center"/>
                </w:tcPr>
                <w:p w:rsidR="007544CA" w:rsidRPr="00596CF3" w:rsidRDefault="007544CA" w:rsidP="00133508">
                  <w:pPr>
                    <w:pStyle w:val="TableBodyText"/>
                    <w:spacing w:after="0"/>
                    <w:ind w:left="0" w:right="57"/>
                    <w:rPr>
                      <w:b/>
                      <w:szCs w:val="18"/>
                    </w:rPr>
                  </w:pPr>
                  <w:r w:rsidRPr="00596CF3">
                    <w:rPr>
                      <w:b/>
                      <w:szCs w:val="18"/>
                    </w:rPr>
                    <w:t>1.0</w:t>
                  </w:r>
                </w:p>
              </w:tc>
              <w:tc>
                <w:tcPr>
                  <w:tcW w:w="499" w:type="pct"/>
                  <w:vAlign w:val="center"/>
                </w:tcPr>
                <w:p w:rsidR="007544CA" w:rsidRPr="00596CF3" w:rsidRDefault="007544CA" w:rsidP="00133508">
                  <w:pPr>
                    <w:pStyle w:val="TableBodyText"/>
                    <w:spacing w:after="0"/>
                    <w:ind w:left="0" w:right="57"/>
                    <w:rPr>
                      <w:b/>
                      <w:szCs w:val="18"/>
                    </w:rPr>
                  </w:pPr>
                  <w:r w:rsidRPr="00596CF3">
                    <w:rPr>
                      <w:b/>
                      <w:szCs w:val="18"/>
                    </w:rPr>
                    <w:t>1.0</w:t>
                  </w:r>
                </w:p>
              </w:tc>
              <w:tc>
                <w:tcPr>
                  <w:tcW w:w="499" w:type="pct"/>
                  <w:shd w:val="clear" w:color="auto" w:fill="auto"/>
                  <w:vAlign w:val="center"/>
                </w:tcPr>
                <w:p w:rsidR="007544CA" w:rsidRPr="00596CF3" w:rsidRDefault="007544CA" w:rsidP="00133508">
                  <w:pPr>
                    <w:pStyle w:val="TableBodyText"/>
                    <w:spacing w:after="0"/>
                    <w:ind w:left="0" w:right="57"/>
                    <w:rPr>
                      <w:b/>
                      <w:szCs w:val="18"/>
                    </w:rPr>
                  </w:pPr>
                  <w:r w:rsidRPr="00596CF3">
                    <w:rPr>
                      <w:b/>
                      <w:szCs w:val="18"/>
                    </w:rPr>
                    <w:t>1.0</w:t>
                  </w:r>
                </w:p>
              </w:tc>
              <w:tc>
                <w:tcPr>
                  <w:tcW w:w="498" w:type="pct"/>
                  <w:shd w:val="clear" w:color="auto" w:fill="auto"/>
                  <w:vAlign w:val="center"/>
                </w:tcPr>
                <w:p w:rsidR="007544CA" w:rsidRPr="00596CF3" w:rsidRDefault="007544CA" w:rsidP="00133508">
                  <w:pPr>
                    <w:pStyle w:val="TableBodyText"/>
                    <w:spacing w:after="0"/>
                    <w:ind w:left="0" w:right="57"/>
                    <w:rPr>
                      <w:b/>
                      <w:szCs w:val="18"/>
                    </w:rPr>
                  </w:pPr>
                  <w:r w:rsidRPr="00596CF3">
                    <w:rPr>
                      <w:b/>
                      <w:szCs w:val="18"/>
                    </w:rPr>
                    <w:t>1.0</w:t>
                  </w:r>
                </w:p>
              </w:tc>
            </w:tr>
            <w:tr w:rsidR="007544CA" w:rsidTr="00133508">
              <w:tc>
                <w:tcPr>
                  <w:tcW w:w="2003" w:type="pct"/>
                  <w:shd w:val="clear" w:color="auto" w:fill="auto"/>
                  <w:vAlign w:val="bottom"/>
                </w:tcPr>
                <w:p w:rsidR="007544CA" w:rsidRPr="00633D27" w:rsidRDefault="007544CA" w:rsidP="00133508">
                  <w:pPr>
                    <w:pStyle w:val="TableBodyText"/>
                    <w:jc w:val="left"/>
                  </w:pPr>
                  <w:r w:rsidRPr="00633D27">
                    <w:t>Food, beverages and tobacco</w:t>
                  </w:r>
                </w:p>
              </w:tc>
              <w:tc>
                <w:tcPr>
                  <w:tcW w:w="501" w:type="pct"/>
                  <w:vAlign w:val="center"/>
                </w:tcPr>
                <w:p w:rsidR="007544CA" w:rsidRPr="00596CF3" w:rsidRDefault="007544CA" w:rsidP="00133508">
                  <w:pPr>
                    <w:pStyle w:val="TableBodyText"/>
                  </w:pPr>
                  <w:r w:rsidRPr="00596CF3">
                    <w:t>1.1</w:t>
                  </w:r>
                </w:p>
              </w:tc>
              <w:tc>
                <w:tcPr>
                  <w:tcW w:w="500" w:type="pct"/>
                  <w:vAlign w:val="center"/>
                </w:tcPr>
                <w:p w:rsidR="007544CA" w:rsidRPr="00596CF3" w:rsidRDefault="007544CA" w:rsidP="00133508">
                  <w:pPr>
                    <w:pStyle w:val="TableBodyText"/>
                  </w:pPr>
                  <w:r w:rsidRPr="00596CF3">
                    <w:t>1.1</w:t>
                  </w:r>
                </w:p>
              </w:tc>
              <w:tc>
                <w:tcPr>
                  <w:tcW w:w="500" w:type="pct"/>
                  <w:vAlign w:val="center"/>
                </w:tcPr>
                <w:p w:rsidR="007544CA" w:rsidRPr="00596CF3" w:rsidRDefault="007544CA" w:rsidP="00133508">
                  <w:pPr>
                    <w:pStyle w:val="TableBodyText"/>
                  </w:pPr>
                  <w:r w:rsidRPr="00596CF3">
                    <w:t>1.1</w:t>
                  </w:r>
                </w:p>
              </w:tc>
              <w:tc>
                <w:tcPr>
                  <w:tcW w:w="499" w:type="pct"/>
                  <w:vAlign w:val="center"/>
                </w:tcPr>
                <w:p w:rsidR="007544CA" w:rsidRPr="00596CF3" w:rsidRDefault="007544CA" w:rsidP="00133508">
                  <w:pPr>
                    <w:pStyle w:val="TableBodyText"/>
                  </w:pPr>
                  <w:r w:rsidRPr="00596CF3">
                    <w:t>1.1</w:t>
                  </w:r>
                </w:p>
              </w:tc>
              <w:tc>
                <w:tcPr>
                  <w:tcW w:w="499" w:type="pct"/>
                  <w:shd w:val="clear" w:color="auto" w:fill="auto"/>
                  <w:vAlign w:val="center"/>
                </w:tcPr>
                <w:p w:rsidR="007544CA" w:rsidRPr="00596CF3" w:rsidRDefault="007544CA" w:rsidP="00133508">
                  <w:pPr>
                    <w:pStyle w:val="TableBodyText"/>
                  </w:pPr>
                  <w:r w:rsidRPr="00596CF3">
                    <w:t>1.1</w:t>
                  </w:r>
                </w:p>
              </w:tc>
              <w:tc>
                <w:tcPr>
                  <w:tcW w:w="498" w:type="pct"/>
                  <w:shd w:val="clear" w:color="auto" w:fill="auto"/>
                  <w:vAlign w:val="center"/>
                </w:tcPr>
                <w:p w:rsidR="007544CA" w:rsidRPr="00596CF3" w:rsidRDefault="007544CA" w:rsidP="00133508">
                  <w:pPr>
                    <w:pStyle w:val="TableBodyText"/>
                  </w:pPr>
                  <w:r w:rsidRPr="00596CF3">
                    <w:t>1.1</w:t>
                  </w:r>
                </w:p>
              </w:tc>
            </w:tr>
            <w:tr w:rsidR="007544CA" w:rsidTr="00133508">
              <w:tc>
                <w:tcPr>
                  <w:tcW w:w="2003" w:type="pct"/>
                  <w:shd w:val="clear" w:color="auto" w:fill="auto"/>
                  <w:vAlign w:val="bottom"/>
                </w:tcPr>
                <w:p w:rsidR="007544CA" w:rsidRPr="00633D27" w:rsidRDefault="007544CA" w:rsidP="00133508">
                  <w:pPr>
                    <w:pStyle w:val="TableBodyText"/>
                    <w:jc w:val="left"/>
                  </w:pPr>
                  <w:r w:rsidRPr="00633D27">
                    <w:t>Textile, leather, clothing and footwear</w:t>
                  </w:r>
                </w:p>
              </w:tc>
              <w:tc>
                <w:tcPr>
                  <w:tcW w:w="501" w:type="pct"/>
                  <w:vAlign w:val="center"/>
                </w:tcPr>
                <w:p w:rsidR="007544CA" w:rsidRPr="00596CF3" w:rsidRDefault="007544CA" w:rsidP="00133508">
                  <w:pPr>
                    <w:pStyle w:val="TableBodyText"/>
                  </w:pPr>
                  <w:r w:rsidRPr="00596CF3">
                    <w:t>2.9</w:t>
                  </w:r>
                </w:p>
              </w:tc>
              <w:tc>
                <w:tcPr>
                  <w:tcW w:w="500" w:type="pct"/>
                  <w:vAlign w:val="center"/>
                </w:tcPr>
                <w:p w:rsidR="007544CA" w:rsidRPr="00596CF3" w:rsidRDefault="007544CA" w:rsidP="00133508">
                  <w:pPr>
                    <w:pStyle w:val="TableBodyText"/>
                  </w:pPr>
                  <w:r w:rsidRPr="00596CF3">
                    <w:t>2.3</w:t>
                  </w:r>
                </w:p>
              </w:tc>
              <w:tc>
                <w:tcPr>
                  <w:tcW w:w="500" w:type="pct"/>
                  <w:vAlign w:val="center"/>
                </w:tcPr>
                <w:p w:rsidR="007544CA" w:rsidRPr="00596CF3" w:rsidRDefault="007544CA" w:rsidP="00133508">
                  <w:pPr>
                    <w:pStyle w:val="TableBodyText"/>
                  </w:pPr>
                  <w:r w:rsidRPr="00596CF3">
                    <w:t>2.3</w:t>
                  </w:r>
                </w:p>
              </w:tc>
              <w:tc>
                <w:tcPr>
                  <w:tcW w:w="499" w:type="pct"/>
                  <w:vAlign w:val="center"/>
                </w:tcPr>
                <w:p w:rsidR="007544CA" w:rsidRPr="00596CF3" w:rsidRDefault="007544CA" w:rsidP="00133508">
                  <w:pPr>
                    <w:pStyle w:val="TableBodyText"/>
                  </w:pPr>
                  <w:r w:rsidRPr="00596CF3">
                    <w:t>2.3</w:t>
                  </w:r>
                </w:p>
              </w:tc>
              <w:tc>
                <w:tcPr>
                  <w:tcW w:w="499" w:type="pct"/>
                  <w:shd w:val="clear" w:color="auto" w:fill="auto"/>
                  <w:vAlign w:val="center"/>
                </w:tcPr>
                <w:p w:rsidR="007544CA" w:rsidRPr="00596CF3" w:rsidRDefault="007544CA" w:rsidP="00133508">
                  <w:pPr>
                    <w:pStyle w:val="TableBodyText"/>
                  </w:pPr>
                  <w:r w:rsidRPr="00596CF3">
                    <w:t>2.3</w:t>
                  </w:r>
                </w:p>
              </w:tc>
              <w:tc>
                <w:tcPr>
                  <w:tcW w:w="498" w:type="pct"/>
                  <w:shd w:val="clear" w:color="auto" w:fill="auto"/>
                  <w:vAlign w:val="center"/>
                </w:tcPr>
                <w:p w:rsidR="007544CA" w:rsidRPr="00596CF3" w:rsidRDefault="007544CA" w:rsidP="00133508">
                  <w:pPr>
                    <w:pStyle w:val="TableBodyText"/>
                  </w:pPr>
                  <w:r w:rsidRPr="00596CF3">
                    <w:t>1.9</w:t>
                  </w:r>
                </w:p>
              </w:tc>
            </w:tr>
            <w:tr w:rsidR="007544CA" w:rsidTr="00133508">
              <w:tc>
                <w:tcPr>
                  <w:tcW w:w="2003" w:type="pct"/>
                  <w:shd w:val="clear" w:color="auto" w:fill="auto"/>
                  <w:vAlign w:val="bottom"/>
                </w:tcPr>
                <w:p w:rsidR="007544CA" w:rsidRPr="00633D27" w:rsidRDefault="007544CA" w:rsidP="00133508">
                  <w:pPr>
                    <w:pStyle w:val="TableBodyText"/>
                    <w:jc w:val="left"/>
                  </w:pPr>
                  <w:r w:rsidRPr="00633D27">
                    <w:t>Wood and paper products</w:t>
                  </w:r>
                </w:p>
              </w:tc>
              <w:tc>
                <w:tcPr>
                  <w:tcW w:w="501" w:type="pct"/>
                  <w:vAlign w:val="center"/>
                </w:tcPr>
                <w:p w:rsidR="007544CA" w:rsidRPr="00596CF3" w:rsidRDefault="007544CA" w:rsidP="00133508">
                  <w:pPr>
                    <w:pStyle w:val="TableBodyText"/>
                  </w:pPr>
                  <w:r w:rsidRPr="00596CF3">
                    <w:t>2.1</w:t>
                  </w:r>
                </w:p>
              </w:tc>
              <w:tc>
                <w:tcPr>
                  <w:tcW w:w="500" w:type="pct"/>
                  <w:vAlign w:val="center"/>
                </w:tcPr>
                <w:p w:rsidR="007544CA" w:rsidRPr="00596CF3" w:rsidRDefault="007544CA" w:rsidP="00133508">
                  <w:pPr>
                    <w:pStyle w:val="TableBodyText"/>
                  </w:pPr>
                  <w:r w:rsidRPr="00596CF3">
                    <w:t>2.1</w:t>
                  </w:r>
                </w:p>
              </w:tc>
              <w:tc>
                <w:tcPr>
                  <w:tcW w:w="500" w:type="pct"/>
                  <w:vAlign w:val="center"/>
                </w:tcPr>
                <w:p w:rsidR="007544CA" w:rsidRPr="00596CF3" w:rsidRDefault="007544CA" w:rsidP="00133508">
                  <w:pPr>
                    <w:pStyle w:val="TableBodyText"/>
                  </w:pPr>
                  <w:r w:rsidRPr="00596CF3">
                    <w:t>2.1</w:t>
                  </w:r>
                </w:p>
              </w:tc>
              <w:tc>
                <w:tcPr>
                  <w:tcW w:w="499" w:type="pct"/>
                  <w:vAlign w:val="center"/>
                </w:tcPr>
                <w:p w:rsidR="007544CA" w:rsidRPr="00596CF3" w:rsidRDefault="007544CA" w:rsidP="00133508">
                  <w:pPr>
                    <w:pStyle w:val="TableBodyText"/>
                  </w:pPr>
                  <w:r w:rsidRPr="00596CF3">
                    <w:t>2.1</w:t>
                  </w:r>
                </w:p>
              </w:tc>
              <w:tc>
                <w:tcPr>
                  <w:tcW w:w="499" w:type="pct"/>
                  <w:shd w:val="clear" w:color="auto" w:fill="auto"/>
                  <w:vAlign w:val="center"/>
                </w:tcPr>
                <w:p w:rsidR="007544CA" w:rsidRPr="00596CF3" w:rsidRDefault="007544CA" w:rsidP="00133508">
                  <w:pPr>
                    <w:pStyle w:val="TableBodyText"/>
                  </w:pPr>
                  <w:r w:rsidRPr="00596CF3">
                    <w:t>2.1</w:t>
                  </w:r>
                </w:p>
              </w:tc>
              <w:tc>
                <w:tcPr>
                  <w:tcW w:w="498" w:type="pct"/>
                  <w:shd w:val="clear" w:color="auto" w:fill="auto"/>
                  <w:vAlign w:val="center"/>
                </w:tcPr>
                <w:p w:rsidR="007544CA" w:rsidRPr="00596CF3" w:rsidRDefault="007544CA" w:rsidP="00133508">
                  <w:pPr>
                    <w:pStyle w:val="TableBodyText"/>
                  </w:pPr>
                  <w:r w:rsidRPr="00596CF3">
                    <w:t>2.1</w:t>
                  </w:r>
                </w:p>
              </w:tc>
            </w:tr>
            <w:tr w:rsidR="007544CA" w:rsidTr="00133508">
              <w:tc>
                <w:tcPr>
                  <w:tcW w:w="2003" w:type="pct"/>
                  <w:shd w:val="clear" w:color="auto" w:fill="auto"/>
                  <w:vAlign w:val="bottom"/>
                </w:tcPr>
                <w:p w:rsidR="007544CA" w:rsidRPr="00633D27" w:rsidRDefault="007544CA" w:rsidP="00133508">
                  <w:pPr>
                    <w:pStyle w:val="TableBodyText"/>
                    <w:jc w:val="left"/>
                  </w:pPr>
                  <w:r w:rsidRPr="00633D27">
                    <w:t>Printing and recorded media</w:t>
                  </w:r>
                </w:p>
              </w:tc>
              <w:tc>
                <w:tcPr>
                  <w:tcW w:w="501" w:type="pct"/>
                  <w:vAlign w:val="center"/>
                </w:tcPr>
                <w:p w:rsidR="007544CA" w:rsidRPr="00596CF3" w:rsidRDefault="007544CA" w:rsidP="00133508">
                  <w:pPr>
                    <w:pStyle w:val="TableBodyText"/>
                  </w:pPr>
                  <w:r w:rsidRPr="00596CF3">
                    <w:t>1.8</w:t>
                  </w:r>
                </w:p>
              </w:tc>
              <w:tc>
                <w:tcPr>
                  <w:tcW w:w="500" w:type="pct"/>
                  <w:vAlign w:val="center"/>
                </w:tcPr>
                <w:p w:rsidR="007544CA" w:rsidRPr="00596CF3" w:rsidRDefault="007544CA" w:rsidP="00133508">
                  <w:pPr>
                    <w:pStyle w:val="TableBodyText"/>
                  </w:pPr>
                  <w:r w:rsidRPr="00596CF3">
                    <w:t>1.8</w:t>
                  </w:r>
                </w:p>
              </w:tc>
              <w:tc>
                <w:tcPr>
                  <w:tcW w:w="500" w:type="pct"/>
                  <w:vAlign w:val="center"/>
                </w:tcPr>
                <w:p w:rsidR="007544CA" w:rsidRPr="00596CF3" w:rsidRDefault="007544CA" w:rsidP="00133508">
                  <w:pPr>
                    <w:pStyle w:val="TableBodyText"/>
                  </w:pPr>
                  <w:r w:rsidRPr="00596CF3">
                    <w:t>1.8</w:t>
                  </w:r>
                </w:p>
              </w:tc>
              <w:tc>
                <w:tcPr>
                  <w:tcW w:w="499" w:type="pct"/>
                  <w:vAlign w:val="center"/>
                </w:tcPr>
                <w:p w:rsidR="007544CA" w:rsidRPr="00596CF3" w:rsidRDefault="007544CA" w:rsidP="00133508">
                  <w:pPr>
                    <w:pStyle w:val="TableBodyText"/>
                  </w:pPr>
                  <w:r w:rsidRPr="00596CF3">
                    <w:t>1.8</w:t>
                  </w:r>
                </w:p>
              </w:tc>
              <w:tc>
                <w:tcPr>
                  <w:tcW w:w="499" w:type="pct"/>
                  <w:shd w:val="clear" w:color="auto" w:fill="auto"/>
                  <w:vAlign w:val="center"/>
                </w:tcPr>
                <w:p w:rsidR="007544CA" w:rsidRPr="00596CF3" w:rsidRDefault="007544CA" w:rsidP="00133508">
                  <w:pPr>
                    <w:pStyle w:val="TableBodyText"/>
                  </w:pPr>
                  <w:r w:rsidRPr="00596CF3">
                    <w:t>1.8</w:t>
                  </w:r>
                </w:p>
              </w:tc>
              <w:tc>
                <w:tcPr>
                  <w:tcW w:w="498" w:type="pct"/>
                  <w:shd w:val="clear" w:color="auto" w:fill="auto"/>
                  <w:vAlign w:val="center"/>
                </w:tcPr>
                <w:p w:rsidR="007544CA" w:rsidRPr="00596CF3" w:rsidRDefault="007544CA" w:rsidP="00133508">
                  <w:pPr>
                    <w:pStyle w:val="TableBodyText"/>
                  </w:pPr>
                  <w:r w:rsidRPr="00596CF3">
                    <w:t>1.7</w:t>
                  </w:r>
                </w:p>
              </w:tc>
            </w:tr>
            <w:tr w:rsidR="007544CA" w:rsidTr="00133508">
              <w:tc>
                <w:tcPr>
                  <w:tcW w:w="2003" w:type="pct"/>
                  <w:shd w:val="clear" w:color="auto" w:fill="auto"/>
                  <w:vAlign w:val="bottom"/>
                </w:tcPr>
                <w:p w:rsidR="007544CA" w:rsidRPr="00633D27" w:rsidRDefault="007544CA" w:rsidP="00133508">
                  <w:pPr>
                    <w:pStyle w:val="TableBodyText"/>
                    <w:jc w:val="left"/>
                  </w:pPr>
                  <w:r w:rsidRPr="00633D27">
                    <w:t>Petroleum, coal, chemical and rubber</w:t>
                  </w:r>
                </w:p>
              </w:tc>
              <w:tc>
                <w:tcPr>
                  <w:tcW w:w="501" w:type="pct"/>
                  <w:vAlign w:val="center"/>
                </w:tcPr>
                <w:p w:rsidR="007544CA" w:rsidRPr="00596CF3" w:rsidRDefault="007544CA" w:rsidP="00133508">
                  <w:pPr>
                    <w:pStyle w:val="TableBodyText"/>
                  </w:pPr>
                  <w:r w:rsidRPr="00596CF3">
                    <w:t>0.8</w:t>
                  </w:r>
                </w:p>
              </w:tc>
              <w:tc>
                <w:tcPr>
                  <w:tcW w:w="500" w:type="pct"/>
                  <w:vAlign w:val="center"/>
                </w:tcPr>
                <w:p w:rsidR="007544CA" w:rsidRPr="00596CF3" w:rsidRDefault="007544CA" w:rsidP="00133508">
                  <w:pPr>
                    <w:pStyle w:val="TableBodyText"/>
                  </w:pPr>
                  <w:r w:rsidRPr="00596CF3">
                    <w:t>0.7</w:t>
                  </w:r>
                </w:p>
              </w:tc>
              <w:tc>
                <w:tcPr>
                  <w:tcW w:w="500" w:type="pct"/>
                  <w:vAlign w:val="center"/>
                </w:tcPr>
                <w:p w:rsidR="007544CA" w:rsidRPr="00596CF3" w:rsidRDefault="007544CA" w:rsidP="00133508">
                  <w:pPr>
                    <w:pStyle w:val="TableBodyText"/>
                  </w:pPr>
                  <w:r w:rsidRPr="00596CF3">
                    <w:t>0.7</w:t>
                  </w:r>
                </w:p>
              </w:tc>
              <w:tc>
                <w:tcPr>
                  <w:tcW w:w="499" w:type="pct"/>
                  <w:vAlign w:val="center"/>
                </w:tcPr>
                <w:p w:rsidR="007544CA" w:rsidRPr="00596CF3" w:rsidRDefault="007544CA" w:rsidP="00133508">
                  <w:pPr>
                    <w:pStyle w:val="TableBodyText"/>
                  </w:pPr>
                  <w:r w:rsidRPr="00596CF3">
                    <w:t>0.7</w:t>
                  </w:r>
                </w:p>
              </w:tc>
              <w:tc>
                <w:tcPr>
                  <w:tcW w:w="499" w:type="pct"/>
                  <w:shd w:val="clear" w:color="auto" w:fill="auto"/>
                  <w:vAlign w:val="center"/>
                </w:tcPr>
                <w:p w:rsidR="007544CA" w:rsidRPr="00596CF3" w:rsidRDefault="007544CA" w:rsidP="00133508">
                  <w:pPr>
                    <w:pStyle w:val="TableBodyText"/>
                  </w:pPr>
                  <w:r w:rsidRPr="00596CF3">
                    <w:t>0.7</w:t>
                  </w:r>
                </w:p>
              </w:tc>
              <w:tc>
                <w:tcPr>
                  <w:tcW w:w="498" w:type="pct"/>
                  <w:shd w:val="clear" w:color="auto" w:fill="auto"/>
                  <w:vAlign w:val="center"/>
                </w:tcPr>
                <w:p w:rsidR="007544CA" w:rsidRPr="00596CF3" w:rsidRDefault="007544CA" w:rsidP="00133508">
                  <w:pPr>
                    <w:pStyle w:val="TableBodyText"/>
                  </w:pPr>
                  <w:r w:rsidRPr="00596CF3">
                    <w:t>0.7</w:t>
                  </w:r>
                </w:p>
              </w:tc>
            </w:tr>
            <w:tr w:rsidR="007544CA" w:rsidTr="00133508">
              <w:tc>
                <w:tcPr>
                  <w:tcW w:w="2003" w:type="pct"/>
                  <w:shd w:val="clear" w:color="auto" w:fill="auto"/>
                  <w:vAlign w:val="bottom"/>
                </w:tcPr>
                <w:p w:rsidR="007544CA" w:rsidRPr="00633D27" w:rsidRDefault="007544CA" w:rsidP="00133508">
                  <w:pPr>
                    <w:pStyle w:val="TableBodyText"/>
                    <w:jc w:val="left"/>
                  </w:pPr>
                  <w:r w:rsidRPr="00633D27">
                    <w:t>Non</w:t>
                  </w:r>
                  <w:r>
                    <w:noBreakHyphen/>
                  </w:r>
                  <w:r w:rsidRPr="00633D27">
                    <w:t>Metallic mineral products</w:t>
                  </w:r>
                </w:p>
              </w:tc>
              <w:tc>
                <w:tcPr>
                  <w:tcW w:w="501" w:type="pct"/>
                  <w:vAlign w:val="center"/>
                </w:tcPr>
                <w:p w:rsidR="007544CA" w:rsidRPr="00596CF3" w:rsidRDefault="007544CA" w:rsidP="00133508">
                  <w:pPr>
                    <w:pStyle w:val="TableBodyText"/>
                  </w:pPr>
                  <w:r w:rsidRPr="00596CF3">
                    <w:t>0.9</w:t>
                  </w:r>
                </w:p>
              </w:tc>
              <w:tc>
                <w:tcPr>
                  <w:tcW w:w="500" w:type="pct"/>
                  <w:vAlign w:val="center"/>
                </w:tcPr>
                <w:p w:rsidR="007544CA" w:rsidRPr="00596CF3" w:rsidRDefault="007544CA" w:rsidP="00133508">
                  <w:pPr>
                    <w:pStyle w:val="TableBodyText"/>
                  </w:pPr>
                  <w:r w:rsidRPr="00596CF3">
                    <w:t>0.9</w:t>
                  </w:r>
                </w:p>
              </w:tc>
              <w:tc>
                <w:tcPr>
                  <w:tcW w:w="500" w:type="pct"/>
                  <w:vAlign w:val="center"/>
                </w:tcPr>
                <w:p w:rsidR="007544CA" w:rsidRPr="00596CF3" w:rsidRDefault="007544CA" w:rsidP="00133508">
                  <w:pPr>
                    <w:pStyle w:val="TableBodyText"/>
                  </w:pPr>
                  <w:r w:rsidRPr="00596CF3">
                    <w:t>0.9</w:t>
                  </w:r>
                </w:p>
              </w:tc>
              <w:tc>
                <w:tcPr>
                  <w:tcW w:w="499" w:type="pct"/>
                  <w:vAlign w:val="center"/>
                </w:tcPr>
                <w:p w:rsidR="007544CA" w:rsidRPr="00596CF3" w:rsidRDefault="007544CA" w:rsidP="00133508">
                  <w:pPr>
                    <w:pStyle w:val="TableBodyText"/>
                  </w:pPr>
                  <w:r w:rsidRPr="00596CF3">
                    <w:t>0.9</w:t>
                  </w:r>
                </w:p>
              </w:tc>
              <w:tc>
                <w:tcPr>
                  <w:tcW w:w="499" w:type="pct"/>
                  <w:shd w:val="clear" w:color="auto" w:fill="auto"/>
                  <w:vAlign w:val="center"/>
                </w:tcPr>
                <w:p w:rsidR="007544CA" w:rsidRPr="00596CF3" w:rsidRDefault="007544CA" w:rsidP="00133508">
                  <w:pPr>
                    <w:pStyle w:val="TableBodyText"/>
                  </w:pPr>
                  <w:r w:rsidRPr="00596CF3">
                    <w:t>0.9</w:t>
                  </w:r>
                </w:p>
              </w:tc>
              <w:tc>
                <w:tcPr>
                  <w:tcW w:w="498" w:type="pct"/>
                  <w:shd w:val="clear" w:color="auto" w:fill="auto"/>
                  <w:vAlign w:val="center"/>
                </w:tcPr>
                <w:p w:rsidR="007544CA" w:rsidRPr="00596CF3" w:rsidRDefault="007544CA" w:rsidP="00133508">
                  <w:pPr>
                    <w:pStyle w:val="TableBodyText"/>
                  </w:pPr>
                  <w:r w:rsidRPr="00596CF3">
                    <w:t>0.9</w:t>
                  </w:r>
                </w:p>
              </w:tc>
            </w:tr>
            <w:tr w:rsidR="007544CA" w:rsidTr="00133508">
              <w:tc>
                <w:tcPr>
                  <w:tcW w:w="2003" w:type="pct"/>
                  <w:shd w:val="clear" w:color="auto" w:fill="auto"/>
                  <w:vAlign w:val="bottom"/>
                </w:tcPr>
                <w:p w:rsidR="007544CA" w:rsidRPr="00633D27" w:rsidRDefault="007544CA" w:rsidP="00133508">
                  <w:pPr>
                    <w:pStyle w:val="TableBodyText"/>
                    <w:jc w:val="left"/>
                  </w:pPr>
                  <w:r w:rsidRPr="00633D27">
                    <w:t>Metal and fabricated metal products</w:t>
                  </w:r>
                </w:p>
              </w:tc>
              <w:tc>
                <w:tcPr>
                  <w:tcW w:w="501" w:type="pct"/>
                  <w:vAlign w:val="center"/>
                </w:tcPr>
                <w:p w:rsidR="007544CA" w:rsidRPr="00596CF3" w:rsidRDefault="007544CA" w:rsidP="00133508">
                  <w:pPr>
                    <w:pStyle w:val="TableBodyText"/>
                  </w:pPr>
                  <w:r w:rsidRPr="00596CF3">
                    <w:t>0.7</w:t>
                  </w:r>
                </w:p>
              </w:tc>
              <w:tc>
                <w:tcPr>
                  <w:tcW w:w="500" w:type="pct"/>
                  <w:vAlign w:val="center"/>
                </w:tcPr>
                <w:p w:rsidR="007544CA" w:rsidRPr="00596CF3" w:rsidRDefault="007544CA" w:rsidP="00133508">
                  <w:pPr>
                    <w:pStyle w:val="TableBodyText"/>
                  </w:pPr>
                  <w:r w:rsidRPr="00596CF3">
                    <w:t>0.7</w:t>
                  </w:r>
                </w:p>
              </w:tc>
              <w:tc>
                <w:tcPr>
                  <w:tcW w:w="500" w:type="pct"/>
                  <w:vAlign w:val="center"/>
                </w:tcPr>
                <w:p w:rsidR="007544CA" w:rsidRPr="00596CF3" w:rsidRDefault="007544CA" w:rsidP="00133508">
                  <w:pPr>
                    <w:pStyle w:val="TableBodyText"/>
                  </w:pPr>
                  <w:r w:rsidRPr="00596CF3">
                    <w:t>0.7</w:t>
                  </w:r>
                </w:p>
              </w:tc>
              <w:tc>
                <w:tcPr>
                  <w:tcW w:w="499" w:type="pct"/>
                  <w:vAlign w:val="center"/>
                </w:tcPr>
                <w:p w:rsidR="007544CA" w:rsidRPr="00596CF3" w:rsidRDefault="007544CA" w:rsidP="00133508">
                  <w:pPr>
                    <w:pStyle w:val="TableBodyText"/>
                  </w:pPr>
                  <w:r w:rsidRPr="00596CF3">
                    <w:t>0.7</w:t>
                  </w:r>
                </w:p>
              </w:tc>
              <w:tc>
                <w:tcPr>
                  <w:tcW w:w="499" w:type="pct"/>
                  <w:shd w:val="clear" w:color="auto" w:fill="auto"/>
                  <w:vAlign w:val="center"/>
                </w:tcPr>
                <w:p w:rsidR="007544CA" w:rsidRPr="00596CF3" w:rsidRDefault="007544CA" w:rsidP="00133508">
                  <w:pPr>
                    <w:pStyle w:val="TableBodyText"/>
                  </w:pPr>
                  <w:r w:rsidRPr="00596CF3">
                    <w:t>0.7</w:t>
                  </w:r>
                </w:p>
              </w:tc>
              <w:tc>
                <w:tcPr>
                  <w:tcW w:w="498" w:type="pct"/>
                  <w:shd w:val="clear" w:color="auto" w:fill="auto"/>
                  <w:vAlign w:val="center"/>
                </w:tcPr>
                <w:p w:rsidR="007544CA" w:rsidRPr="00596CF3" w:rsidRDefault="007544CA" w:rsidP="00133508">
                  <w:pPr>
                    <w:pStyle w:val="TableBodyText"/>
                  </w:pPr>
                  <w:r w:rsidRPr="00596CF3">
                    <w:t>0.7</w:t>
                  </w:r>
                </w:p>
              </w:tc>
            </w:tr>
            <w:tr w:rsidR="007544CA" w:rsidTr="00133508">
              <w:tc>
                <w:tcPr>
                  <w:tcW w:w="2003" w:type="pct"/>
                  <w:shd w:val="clear" w:color="auto" w:fill="auto"/>
                  <w:vAlign w:val="bottom"/>
                </w:tcPr>
                <w:p w:rsidR="007544CA" w:rsidRPr="00633D27" w:rsidRDefault="007544CA" w:rsidP="00133508">
                  <w:pPr>
                    <w:pStyle w:val="TableBodyText"/>
                    <w:jc w:val="left"/>
                  </w:pPr>
                  <w:r w:rsidRPr="00633D27">
                    <w:t>Motor vehicle and parts</w:t>
                  </w:r>
                </w:p>
              </w:tc>
              <w:tc>
                <w:tcPr>
                  <w:tcW w:w="501" w:type="pct"/>
                  <w:vAlign w:val="center"/>
                </w:tcPr>
                <w:p w:rsidR="007544CA" w:rsidRPr="00596CF3" w:rsidRDefault="007544CA" w:rsidP="00133508">
                  <w:pPr>
                    <w:pStyle w:val="TableBodyText"/>
                  </w:pPr>
                  <w:r w:rsidRPr="00596CF3">
                    <w:t>2.9</w:t>
                  </w:r>
                </w:p>
              </w:tc>
              <w:tc>
                <w:tcPr>
                  <w:tcW w:w="500" w:type="pct"/>
                  <w:vAlign w:val="center"/>
                </w:tcPr>
                <w:p w:rsidR="007544CA" w:rsidRPr="00596CF3" w:rsidRDefault="007544CA" w:rsidP="00133508">
                  <w:pPr>
                    <w:pStyle w:val="TableBodyText"/>
                  </w:pPr>
                  <w:r w:rsidRPr="00596CF3">
                    <w:t>2.6</w:t>
                  </w:r>
                </w:p>
              </w:tc>
              <w:tc>
                <w:tcPr>
                  <w:tcW w:w="500" w:type="pct"/>
                  <w:vAlign w:val="center"/>
                </w:tcPr>
                <w:p w:rsidR="007544CA" w:rsidRPr="00596CF3" w:rsidRDefault="007544CA" w:rsidP="00133508">
                  <w:pPr>
                    <w:pStyle w:val="TableBodyText"/>
                  </w:pPr>
                  <w:r w:rsidRPr="00596CF3">
                    <w:t>2.6</w:t>
                  </w:r>
                </w:p>
              </w:tc>
              <w:tc>
                <w:tcPr>
                  <w:tcW w:w="499" w:type="pct"/>
                  <w:vAlign w:val="center"/>
                </w:tcPr>
                <w:p w:rsidR="007544CA" w:rsidRPr="00596CF3" w:rsidRDefault="007544CA" w:rsidP="00133508">
                  <w:pPr>
                    <w:pStyle w:val="TableBodyText"/>
                  </w:pPr>
                  <w:r w:rsidRPr="00596CF3">
                    <w:t>2.5</w:t>
                  </w:r>
                </w:p>
              </w:tc>
              <w:tc>
                <w:tcPr>
                  <w:tcW w:w="499" w:type="pct"/>
                  <w:shd w:val="clear" w:color="auto" w:fill="auto"/>
                  <w:vAlign w:val="center"/>
                </w:tcPr>
                <w:p w:rsidR="007544CA" w:rsidRPr="00596CF3" w:rsidRDefault="007544CA" w:rsidP="00133508">
                  <w:pPr>
                    <w:pStyle w:val="TableBodyText"/>
                  </w:pPr>
                  <w:r w:rsidRPr="00596CF3">
                    <w:t>2.5</w:t>
                  </w:r>
                </w:p>
              </w:tc>
              <w:tc>
                <w:tcPr>
                  <w:tcW w:w="498" w:type="pct"/>
                  <w:shd w:val="clear" w:color="auto" w:fill="auto"/>
                  <w:vAlign w:val="center"/>
                </w:tcPr>
                <w:p w:rsidR="007544CA" w:rsidRPr="00596CF3" w:rsidRDefault="007544CA" w:rsidP="00133508">
                  <w:pPr>
                    <w:pStyle w:val="TableBodyText"/>
                  </w:pPr>
                  <w:r w:rsidRPr="00596CF3">
                    <w:t>2.5</w:t>
                  </w:r>
                </w:p>
              </w:tc>
            </w:tr>
            <w:tr w:rsidR="007544CA" w:rsidTr="00133508">
              <w:tc>
                <w:tcPr>
                  <w:tcW w:w="2003" w:type="pct"/>
                  <w:shd w:val="clear" w:color="auto" w:fill="auto"/>
                  <w:vAlign w:val="bottom"/>
                </w:tcPr>
                <w:p w:rsidR="007544CA" w:rsidRPr="00633D27" w:rsidRDefault="007544CA" w:rsidP="00133508">
                  <w:pPr>
                    <w:pStyle w:val="TableBodyText"/>
                    <w:jc w:val="left"/>
                  </w:pPr>
                  <w:r w:rsidRPr="00633D27">
                    <w:t>Other transport equipment</w:t>
                  </w:r>
                </w:p>
              </w:tc>
              <w:tc>
                <w:tcPr>
                  <w:tcW w:w="501" w:type="pct"/>
                  <w:vAlign w:val="center"/>
                </w:tcPr>
                <w:p w:rsidR="007544CA" w:rsidRPr="00596CF3" w:rsidRDefault="007544CA" w:rsidP="00133508">
                  <w:pPr>
                    <w:pStyle w:val="TableBodyText"/>
                  </w:pPr>
                  <w:r w:rsidRPr="00596CF3">
                    <w:t>1.9</w:t>
                  </w:r>
                </w:p>
              </w:tc>
              <w:tc>
                <w:tcPr>
                  <w:tcW w:w="500" w:type="pct"/>
                  <w:vAlign w:val="center"/>
                </w:tcPr>
                <w:p w:rsidR="007544CA" w:rsidRPr="00596CF3" w:rsidRDefault="007544CA" w:rsidP="00133508">
                  <w:pPr>
                    <w:pStyle w:val="TableBodyText"/>
                  </w:pPr>
                  <w:r w:rsidRPr="00596CF3">
                    <w:t>1.8</w:t>
                  </w:r>
                </w:p>
              </w:tc>
              <w:tc>
                <w:tcPr>
                  <w:tcW w:w="500" w:type="pct"/>
                  <w:vAlign w:val="center"/>
                </w:tcPr>
                <w:p w:rsidR="007544CA" w:rsidRPr="00596CF3" w:rsidRDefault="007544CA" w:rsidP="00133508">
                  <w:pPr>
                    <w:pStyle w:val="TableBodyText"/>
                  </w:pPr>
                  <w:r w:rsidRPr="00596CF3">
                    <w:t>1.8</w:t>
                  </w:r>
                </w:p>
              </w:tc>
              <w:tc>
                <w:tcPr>
                  <w:tcW w:w="499" w:type="pct"/>
                  <w:vAlign w:val="center"/>
                </w:tcPr>
                <w:p w:rsidR="007544CA" w:rsidRPr="00596CF3" w:rsidRDefault="007544CA" w:rsidP="00133508">
                  <w:pPr>
                    <w:pStyle w:val="TableBodyText"/>
                  </w:pPr>
                  <w:r w:rsidRPr="00596CF3">
                    <w:t>1.8</w:t>
                  </w:r>
                </w:p>
              </w:tc>
              <w:tc>
                <w:tcPr>
                  <w:tcW w:w="499" w:type="pct"/>
                  <w:shd w:val="clear" w:color="auto" w:fill="auto"/>
                  <w:vAlign w:val="center"/>
                </w:tcPr>
                <w:p w:rsidR="007544CA" w:rsidRPr="00596CF3" w:rsidRDefault="007544CA" w:rsidP="00133508">
                  <w:pPr>
                    <w:pStyle w:val="TableBodyText"/>
                  </w:pPr>
                  <w:r w:rsidRPr="00596CF3">
                    <w:t>1.8</w:t>
                  </w:r>
                </w:p>
              </w:tc>
              <w:tc>
                <w:tcPr>
                  <w:tcW w:w="498" w:type="pct"/>
                  <w:shd w:val="clear" w:color="auto" w:fill="auto"/>
                  <w:vAlign w:val="center"/>
                </w:tcPr>
                <w:p w:rsidR="007544CA" w:rsidRPr="00596CF3" w:rsidRDefault="007544CA" w:rsidP="00133508">
                  <w:pPr>
                    <w:pStyle w:val="TableBodyText"/>
                  </w:pPr>
                  <w:r w:rsidRPr="00596CF3">
                    <w:t>1.8</w:t>
                  </w:r>
                </w:p>
              </w:tc>
            </w:tr>
            <w:tr w:rsidR="007544CA" w:rsidTr="00133508">
              <w:tc>
                <w:tcPr>
                  <w:tcW w:w="2003" w:type="pct"/>
                  <w:shd w:val="clear" w:color="auto" w:fill="auto"/>
                  <w:vAlign w:val="bottom"/>
                </w:tcPr>
                <w:p w:rsidR="007544CA" w:rsidRPr="00633D27" w:rsidRDefault="007544CA" w:rsidP="00133508">
                  <w:pPr>
                    <w:pStyle w:val="TableBodyText"/>
                    <w:jc w:val="left"/>
                  </w:pPr>
                  <w:r w:rsidRPr="00633D27">
                    <w:t>Machinery and equipment manufacturing</w:t>
                  </w:r>
                </w:p>
              </w:tc>
              <w:tc>
                <w:tcPr>
                  <w:tcW w:w="501" w:type="pct"/>
                  <w:vAlign w:val="center"/>
                </w:tcPr>
                <w:p w:rsidR="007544CA" w:rsidRPr="00596CF3" w:rsidRDefault="007544CA" w:rsidP="00133508">
                  <w:pPr>
                    <w:pStyle w:val="TableBodyText"/>
                  </w:pPr>
                  <w:r w:rsidRPr="00596CF3">
                    <w:t>1.4</w:t>
                  </w:r>
                </w:p>
              </w:tc>
              <w:tc>
                <w:tcPr>
                  <w:tcW w:w="500" w:type="pct"/>
                  <w:vAlign w:val="center"/>
                </w:tcPr>
                <w:p w:rsidR="007544CA" w:rsidRPr="00596CF3" w:rsidRDefault="007544CA" w:rsidP="00133508">
                  <w:pPr>
                    <w:pStyle w:val="TableBodyText"/>
                  </w:pPr>
                  <w:r w:rsidRPr="00596CF3">
                    <w:t>1.3</w:t>
                  </w:r>
                </w:p>
              </w:tc>
              <w:tc>
                <w:tcPr>
                  <w:tcW w:w="500" w:type="pct"/>
                  <w:vAlign w:val="center"/>
                </w:tcPr>
                <w:p w:rsidR="007544CA" w:rsidRPr="00596CF3" w:rsidRDefault="007544CA" w:rsidP="00133508">
                  <w:pPr>
                    <w:pStyle w:val="TableBodyText"/>
                  </w:pPr>
                  <w:r w:rsidRPr="00596CF3">
                    <w:t>1.3</w:t>
                  </w:r>
                </w:p>
              </w:tc>
              <w:tc>
                <w:tcPr>
                  <w:tcW w:w="499" w:type="pct"/>
                  <w:vAlign w:val="center"/>
                </w:tcPr>
                <w:p w:rsidR="007544CA" w:rsidRPr="00596CF3" w:rsidRDefault="007544CA" w:rsidP="00133508">
                  <w:pPr>
                    <w:pStyle w:val="TableBodyText"/>
                  </w:pPr>
                  <w:r w:rsidRPr="00596CF3">
                    <w:t>1.3</w:t>
                  </w:r>
                </w:p>
              </w:tc>
              <w:tc>
                <w:tcPr>
                  <w:tcW w:w="499" w:type="pct"/>
                  <w:shd w:val="clear" w:color="auto" w:fill="auto"/>
                  <w:vAlign w:val="center"/>
                </w:tcPr>
                <w:p w:rsidR="007544CA" w:rsidRPr="00596CF3" w:rsidRDefault="007544CA" w:rsidP="00133508">
                  <w:pPr>
                    <w:pStyle w:val="TableBodyText"/>
                  </w:pPr>
                  <w:r w:rsidRPr="00596CF3">
                    <w:t>1.3</w:t>
                  </w:r>
                </w:p>
              </w:tc>
              <w:tc>
                <w:tcPr>
                  <w:tcW w:w="498" w:type="pct"/>
                  <w:shd w:val="clear" w:color="auto" w:fill="auto"/>
                  <w:vAlign w:val="center"/>
                </w:tcPr>
                <w:p w:rsidR="007544CA" w:rsidRPr="00596CF3" w:rsidRDefault="007544CA" w:rsidP="00133508">
                  <w:pPr>
                    <w:pStyle w:val="TableBodyText"/>
                  </w:pPr>
                  <w:r w:rsidRPr="00596CF3">
                    <w:t>1.3</w:t>
                  </w:r>
                </w:p>
              </w:tc>
            </w:tr>
            <w:tr w:rsidR="007544CA" w:rsidTr="00133508">
              <w:tc>
                <w:tcPr>
                  <w:tcW w:w="2003" w:type="pct"/>
                  <w:tcBorders>
                    <w:bottom w:val="single" w:sz="6" w:space="0" w:color="BFBFBF"/>
                  </w:tcBorders>
                  <w:shd w:val="clear" w:color="auto" w:fill="auto"/>
                  <w:vAlign w:val="bottom"/>
                </w:tcPr>
                <w:p w:rsidR="007544CA" w:rsidRPr="00633D27" w:rsidRDefault="007544CA" w:rsidP="00133508">
                  <w:pPr>
                    <w:pStyle w:val="TableBodyText"/>
                    <w:jc w:val="left"/>
                  </w:pPr>
                  <w:r w:rsidRPr="00633D27">
                    <w:t>Furniture and other manufacturing</w:t>
                  </w:r>
                </w:p>
              </w:tc>
              <w:tc>
                <w:tcPr>
                  <w:tcW w:w="501" w:type="pct"/>
                  <w:tcBorders>
                    <w:bottom w:val="single" w:sz="6" w:space="0" w:color="BFBFBF"/>
                  </w:tcBorders>
                  <w:vAlign w:val="center"/>
                </w:tcPr>
                <w:p w:rsidR="007544CA" w:rsidRPr="00596CF3" w:rsidRDefault="007544CA" w:rsidP="00133508">
                  <w:pPr>
                    <w:pStyle w:val="TableBodyText"/>
                  </w:pPr>
                  <w:r w:rsidRPr="00596CF3">
                    <w:t>1.8</w:t>
                  </w:r>
                </w:p>
              </w:tc>
              <w:tc>
                <w:tcPr>
                  <w:tcW w:w="500" w:type="pct"/>
                  <w:tcBorders>
                    <w:bottom w:val="single" w:sz="6" w:space="0" w:color="BFBFBF"/>
                  </w:tcBorders>
                  <w:vAlign w:val="center"/>
                </w:tcPr>
                <w:p w:rsidR="007544CA" w:rsidRPr="00596CF3" w:rsidRDefault="007544CA" w:rsidP="00133508">
                  <w:pPr>
                    <w:pStyle w:val="TableBodyText"/>
                  </w:pPr>
                  <w:r w:rsidRPr="00596CF3">
                    <w:t>1.7</w:t>
                  </w:r>
                </w:p>
              </w:tc>
              <w:tc>
                <w:tcPr>
                  <w:tcW w:w="500" w:type="pct"/>
                  <w:tcBorders>
                    <w:bottom w:val="single" w:sz="6" w:space="0" w:color="BFBFBF"/>
                  </w:tcBorders>
                  <w:vAlign w:val="center"/>
                </w:tcPr>
                <w:p w:rsidR="007544CA" w:rsidRPr="00596CF3" w:rsidRDefault="007544CA" w:rsidP="00133508">
                  <w:pPr>
                    <w:pStyle w:val="TableBodyText"/>
                  </w:pPr>
                  <w:r w:rsidRPr="00596CF3">
                    <w:t>1.7</w:t>
                  </w:r>
                </w:p>
              </w:tc>
              <w:tc>
                <w:tcPr>
                  <w:tcW w:w="499" w:type="pct"/>
                  <w:tcBorders>
                    <w:bottom w:val="single" w:sz="6" w:space="0" w:color="BFBFBF"/>
                  </w:tcBorders>
                  <w:vAlign w:val="center"/>
                </w:tcPr>
                <w:p w:rsidR="007544CA" w:rsidRPr="00596CF3" w:rsidRDefault="007544CA" w:rsidP="00133508">
                  <w:pPr>
                    <w:pStyle w:val="TableBodyText"/>
                  </w:pPr>
                  <w:r w:rsidRPr="00596CF3">
                    <w:t>1.7</w:t>
                  </w:r>
                </w:p>
              </w:tc>
              <w:tc>
                <w:tcPr>
                  <w:tcW w:w="499" w:type="pct"/>
                  <w:tcBorders>
                    <w:bottom w:val="single" w:sz="6" w:space="0" w:color="BFBFBF"/>
                  </w:tcBorders>
                  <w:shd w:val="clear" w:color="auto" w:fill="auto"/>
                  <w:vAlign w:val="center"/>
                </w:tcPr>
                <w:p w:rsidR="007544CA" w:rsidRPr="00596CF3" w:rsidRDefault="007544CA" w:rsidP="00133508">
                  <w:pPr>
                    <w:pStyle w:val="TableBodyText"/>
                  </w:pPr>
                  <w:r w:rsidRPr="00596CF3">
                    <w:t>1.7</w:t>
                  </w:r>
                </w:p>
              </w:tc>
              <w:tc>
                <w:tcPr>
                  <w:tcW w:w="498" w:type="pct"/>
                  <w:tcBorders>
                    <w:bottom w:val="single" w:sz="6" w:space="0" w:color="BFBFBF"/>
                  </w:tcBorders>
                  <w:shd w:val="clear" w:color="auto" w:fill="auto"/>
                  <w:vAlign w:val="center"/>
                </w:tcPr>
                <w:p w:rsidR="007544CA" w:rsidRPr="00596CF3" w:rsidRDefault="007544CA" w:rsidP="00133508">
                  <w:pPr>
                    <w:pStyle w:val="TableBodyText"/>
                  </w:pPr>
                  <w:r w:rsidRPr="00596CF3">
                    <w:t>1.7</w:t>
                  </w:r>
                </w:p>
              </w:tc>
            </w:tr>
          </w:tbl>
          <w:p w:rsidR="007544CA" w:rsidRDefault="007544CA" w:rsidP="00133508">
            <w:pPr>
              <w:pStyle w:val="Box"/>
            </w:pP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Note"/>
              <w:rPr>
                <w:i/>
              </w:rPr>
            </w:pPr>
            <w:r>
              <w:rPr>
                <w:rFonts w:cs="Arial"/>
                <w:szCs w:val="18"/>
              </w:rPr>
              <w:t xml:space="preserve">– Nil. </w:t>
            </w:r>
            <w:r w:rsidRPr="00C74A79">
              <w:rPr>
                <w:rFonts w:cs="Arial"/>
                <w:szCs w:val="18"/>
              </w:rPr>
              <w:t>Figures may not add to totals due to rounding.</w:t>
            </w:r>
            <w:r>
              <w:rPr>
                <w:rFonts w:cs="Arial"/>
                <w:szCs w:val="18"/>
              </w:rPr>
              <w:t xml:space="preserve"> </w:t>
            </w:r>
            <w:r w:rsidRPr="008E77FE">
              <w:rPr>
                <w:rStyle w:val="NoteLabel"/>
              </w:rPr>
              <w:t>a</w:t>
            </w:r>
            <w:r>
              <w:t xml:space="preserve"> Combined assistance comprises tariff, budgetary and agricultural pricing and regulatory assistance. </w:t>
            </w:r>
            <w:r>
              <w:rPr>
                <w:rStyle w:val="NoteLabel"/>
              </w:rPr>
              <w:t>b</w:t>
            </w:r>
            <w:r>
              <w:t> Sectoral estimates include assistance to the sector that has not been allocated to specific industry groupings.</w:t>
            </w:r>
          </w:p>
        </w:tc>
      </w:tr>
      <w:tr w:rsidR="007544CA" w:rsidTr="00133508">
        <w:trPr>
          <w:cantSplit/>
        </w:trPr>
        <w:tc>
          <w:tcPr>
            <w:tcW w:w="8771" w:type="dxa"/>
            <w:tcBorders>
              <w:top w:val="nil"/>
              <w:left w:val="nil"/>
              <w:bottom w:val="nil"/>
              <w:right w:val="nil"/>
            </w:tcBorders>
            <w:shd w:val="clear" w:color="auto" w:fill="auto"/>
          </w:tcPr>
          <w:p w:rsidR="007544CA" w:rsidRDefault="007544CA" w:rsidP="00133508">
            <w:pPr>
              <w:pStyle w:val="Source"/>
            </w:pPr>
            <w:r>
              <w:rPr>
                <w:i/>
              </w:rPr>
              <w:t>Source</w:t>
            </w:r>
            <w:r w:rsidRPr="00167F06">
              <w:t xml:space="preserve">: </w:t>
            </w:r>
            <w:r>
              <w:t>Commission estimates.</w:t>
            </w:r>
          </w:p>
        </w:tc>
      </w:tr>
      <w:tr w:rsidR="007544CA" w:rsidTr="00133508">
        <w:trPr>
          <w:cantSplit/>
        </w:trPr>
        <w:tc>
          <w:tcPr>
            <w:tcW w:w="8771" w:type="dxa"/>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p w:rsidR="007544CA" w:rsidRDefault="007544CA" w:rsidP="007544CA">
      <w:pPr>
        <w:sectPr w:rsidR="007544CA" w:rsidSect="007544CA">
          <w:headerReference w:type="even" r:id="rId41"/>
          <w:headerReference w:type="default" r:id="rId42"/>
          <w:footerReference w:type="even" r:id="rId43"/>
          <w:footerReference w:type="default" r:id="rId44"/>
          <w:type w:val="oddPage"/>
          <w:pgSz w:w="11907" w:h="16840" w:code="9"/>
          <w:pgMar w:top="1985" w:right="1304" w:bottom="1247" w:left="1814" w:header="1701" w:footer="397" w:gutter="0"/>
          <w:pgNumType w:chapSep="period"/>
          <w:cols w:space="720"/>
          <w:docGrid w:linePitch="326"/>
        </w:sectPr>
      </w:pPr>
    </w:p>
    <w:p w:rsidR="007544CA" w:rsidRDefault="007544CA" w:rsidP="009540BA">
      <w:pPr>
        <w:pStyle w:val="Heading1"/>
      </w:pPr>
      <w:r>
        <w:lastRenderedPageBreak/>
        <w:t>B</w:t>
      </w:r>
      <w:r>
        <w:tab/>
        <w:t>Recent developments in industry assistance</w:t>
      </w:r>
    </w:p>
    <w:p w:rsidR="007544CA" w:rsidRDefault="007544CA" w:rsidP="00133508">
      <w:pPr>
        <w:pStyle w:val="BodyText"/>
      </w:pPr>
      <w:r>
        <w:t>Chapter 3 examined five recent developments that have significant implications for industry assistance. This appendix summarises other developments since around May 2015, some of which may feed into the estimates for 2015</w:t>
      </w:r>
      <w:r>
        <w:noBreakHyphen/>
        <w:t xml:space="preserve">16. </w:t>
      </w:r>
    </w:p>
    <w:p w:rsidR="007544CA" w:rsidRDefault="007544CA" w:rsidP="00133508">
      <w:pPr>
        <w:pStyle w:val="BodyText"/>
      </w:pPr>
      <w:r>
        <w:t xml:space="preserve">The developments are drawn largely from Ministerial announcements and supporting information on departmental websites. New announcements are not necessarily finalised designs or costings. </w:t>
      </w:r>
    </w:p>
    <w:p w:rsidR="007544CA" w:rsidRDefault="007544CA" w:rsidP="00133508">
      <w:pPr>
        <w:pStyle w:val="BodyText"/>
      </w:pPr>
      <w:r>
        <w:t>As noted in earlier chapters assessing what constitutes industry assistance, and estimating the amount of assistance, is not always straightforward. To guide the reader as to how the developments fit into an industry assistance framework the following tables include a brief classification based on the characteristics of the measures .</w:t>
      </w:r>
    </w:p>
    <w:p w:rsidR="007544CA" w:rsidRDefault="007544CA" w:rsidP="00133508">
      <w:pPr>
        <w:pStyle w:val="BodyText"/>
      </w:pPr>
      <w:r>
        <w:t>The Commission classifies budgetary assistance into two broad categories — budgetary outlays and tax concessions (figure </w:t>
      </w:r>
      <w:proofErr w:type="spellStart"/>
      <w:r>
        <w:t>B.1</w:t>
      </w:r>
      <w:proofErr w:type="spellEnd"/>
      <w:r>
        <w:t xml:space="preserve">). Budgetary outlays are further classified into direct financial (as are tax concessions) and indirect support, which is where funding goes to firms that are providing services to the firms receiving assistance. These services range from activities such as delivering financial advice to R&amp;D to infrastructure, if solely for the use of an industry. </w:t>
      </w:r>
    </w:p>
    <w:p w:rsidR="007544CA" w:rsidRDefault="007544CA" w:rsidP="00133508">
      <w:pPr>
        <w:pStyle w:val="BodyText"/>
      </w:pPr>
      <w:r>
        <w:t>There is a third category of support that falls outside of the budgetary categorisation. This is preferential access arrangements that confer advantage to the firms that receive them. This includes advantage given by access to a resource base or quota allocation where the price is not set by a competitive process, and by government purchasing preferences. These sources of assistance have not tended to be included in the measured assistance as the extent of assistance can be difficult to estimate. This category is included in the recent developments even though the programs are unlikely to be included in the measured estimates as they are implemented.</w:t>
      </w:r>
    </w:p>
    <w:p w:rsidR="007544CA" w:rsidRDefault="007544CA" w:rsidP="00133508">
      <w:pPr>
        <w:pStyle w:val="BodyText"/>
      </w:pPr>
      <w:r>
        <w:t>The Commission also classifies budgetary assistance into eight categories based on a mix of who is supported and the type of support the assistance provides. These categories are:</w:t>
      </w:r>
    </w:p>
    <w:p w:rsidR="007544CA" w:rsidRDefault="007544CA" w:rsidP="00133508">
      <w:pPr>
        <w:pStyle w:val="ListBullet"/>
      </w:pPr>
      <w:r>
        <w:t>R&amp;D, which takes in R&amp;D subsidies and grants and tax concessions</w:t>
      </w:r>
    </w:p>
    <w:p w:rsidR="007544CA" w:rsidRDefault="007544CA" w:rsidP="007544CA">
      <w:pPr>
        <w:pStyle w:val="ListBullet"/>
      </w:pPr>
      <w:r>
        <w:t>Export, which covers grants and services assistance provided to exporting firms, for example to support market access and trade financing</w:t>
      </w:r>
    </w:p>
    <w:p w:rsidR="007544CA" w:rsidRDefault="007544CA" w:rsidP="00133508">
      <w:pPr>
        <w:pStyle w:val="ListBullet"/>
      </w:pPr>
      <w:r>
        <w:lastRenderedPageBreak/>
        <w:t>Industry-specific assistance, which is available to a ‘single’ industry, such as automotive manufacturing</w:t>
      </w:r>
    </w:p>
    <w:p w:rsidR="007544CA" w:rsidRDefault="007544CA" w:rsidP="00133508">
      <w:pPr>
        <w:pStyle w:val="ListBullet"/>
      </w:pPr>
      <w:r>
        <w:t>Sectoral assistance, which is available to businesses in a ‘sector’, such as agriculture.</w:t>
      </w:r>
    </w:p>
    <w:p w:rsidR="007544CA" w:rsidRDefault="007544CA" w:rsidP="00133508">
      <w:pPr>
        <w:pStyle w:val="ListBullet"/>
      </w:pPr>
      <w:r>
        <w:t>Regional/structural assistance, which are grant programs to support activities in areas that have been affected by major firm closures, or are economically depressed</w:t>
      </w:r>
    </w:p>
    <w:p w:rsidR="007544CA" w:rsidRDefault="007544CA" w:rsidP="00133508">
      <w:pPr>
        <w:pStyle w:val="ListBullet"/>
      </w:pPr>
      <w:r>
        <w:t>Small business, which are budgetary and tax concessions that are limited to small businesses</w:t>
      </w:r>
    </w:p>
    <w:p w:rsidR="007544CA" w:rsidRDefault="007544CA" w:rsidP="00133508">
      <w:pPr>
        <w:pStyle w:val="ListBullet"/>
      </w:pPr>
      <w:r>
        <w:t>Investment measures, including development allowances and investment attraction packages</w:t>
      </w:r>
    </w:p>
    <w:p w:rsidR="007544CA" w:rsidRDefault="007544CA" w:rsidP="00133508">
      <w:pPr>
        <w:pStyle w:val="ListBullet"/>
      </w:pPr>
      <w:r>
        <w:t>Other measures, which picks up those areas not covered by the other categories and includes, for example the Tasmanian Freight Equalisation Scheme, and some programs supporting commercialisation of new technologies.</w:t>
      </w:r>
    </w:p>
    <w:p w:rsidR="007544CA" w:rsidRDefault="007544CA" w:rsidP="00133508">
      <w:pPr>
        <w:pStyle w:val="BodyText"/>
      </w:pPr>
      <w:r>
        <w:t xml:space="preserve">These categories can overlap, for example rural R&amp;D could also be treated as industry or sector specific. In these cases the assistance is assigned in the order given above to avoid double counting. </w:t>
      </w:r>
    </w:p>
    <w:p w:rsidR="007544CA" w:rsidRDefault="007544CA" w:rsidP="00133508">
      <w:pPr>
        <w:pStyle w:val="BodyText"/>
      </w:pPr>
      <w:r>
        <w:t xml:space="preserve">Other than for R&amp;D, the following tables provides information on eligibility (coverage) = — whether the assistance is available to all firms, all firms for export activities, small firms, sectors only (such as agriculture or manufacturing), or specific industries (such as horticulture or automotive manufacturing). This information is useful as the more general the eligibility for a tax concession or budgetary outlay the less distortionary the assistance is likely to be. </w:t>
      </w:r>
    </w:p>
    <w:p w:rsidR="007544CA" w:rsidRDefault="007544CA" w:rsidP="00133508">
      <w:pPr>
        <w:pStyle w:val="BodyText"/>
      </w:pPr>
      <w:r>
        <w:t xml:space="preserve">There is an additional characteristic of assistance that provides a guide to the likely distortionary impact, which is how the assistance recipient is selected. Assistance that is demand driven, such as the R&amp;D tax concession, that is available to all firms that meet the eligibility criteria is likely to be less distortionary. Assistance that is competitively allocated should, in principle, achieve the objective of the assistance at a lower cost (and ideally is generating socially beneficial distortions in economic activity). However, assistance that is selective, where the recipient firm is chosen without any competition, is least likely to deliver value for the budgetary support provided. That such support is still provided means that firms have incentives to lobby governments, which diverts their resources away from activities that might reduce their need for assistance to survive. This third characteristic of assistance is added to the table along with information on whether the support is a direct or indirect budgetary outlay, a tax concession, or preferential access and the likely category of measured assistance. </w:t>
      </w:r>
    </w:p>
    <w:p w:rsidR="007544CA" w:rsidRDefault="007544CA" w:rsidP="0013350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44CA" w:rsidTr="00133508">
        <w:tc>
          <w:tcPr>
            <w:tcW w:w="8771" w:type="dxa"/>
            <w:tcBorders>
              <w:top w:val="single" w:sz="6" w:space="0" w:color="78A22F"/>
              <w:left w:val="nil"/>
              <w:bottom w:val="nil"/>
              <w:right w:val="nil"/>
            </w:tcBorders>
            <w:shd w:val="clear" w:color="auto" w:fill="auto"/>
          </w:tcPr>
          <w:p w:rsidR="007544CA" w:rsidRPr="00176D3F" w:rsidRDefault="007544CA" w:rsidP="00133508">
            <w:pPr>
              <w:pStyle w:val="FigureTitle"/>
            </w:pPr>
            <w:r w:rsidRPr="00784A05">
              <w:rPr>
                <w:b w:val="0"/>
              </w:rPr>
              <w:t xml:space="preserve">Figure </w:t>
            </w:r>
            <w:r w:rsidRPr="00784A05">
              <w:rPr>
                <w:b w:val="0"/>
              </w:rPr>
              <w:fldChar w:fldCharType="begin" w:fldLock="1"/>
            </w:r>
            <w:r w:rsidRPr="00784A05">
              <w:rPr>
                <w:b w:val="0"/>
              </w:rPr>
              <w:instrText xml:space="preserve"> COMMENTS  \* MERGEFORMAT </w:instrText>
            </w:r>
            <w:r w:rsidRPr="00784A05">
              <w:rPr>
                <w:b w:val="0"/>
              </w:rPr>
              <w:fldChar w:fldCharType="separate"/>
            </w:r>
            <w:proofErr w:type="spellStart"/>
            <w:r>
              <w:rPr>
                <w:b w:val="0"/>
              </w:rPr>
              <w:t>B.</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1</w:t>
            </w:r>
            <w:proofErr w:type="spellEnd"/>
            <w:r w:rsidRPr="00784A05">
              <w:rPr>
                <w:b w:val="0"/>
              </w:rPr>
              <w:fldChar w:fldCharType="end"/>
            </w:r>
            <w:r>
              <w:tab/>
              <w:t>Characteristics of budgetary assistance</w:t>
            </w:r>
          </w:p>
        </w:tc>
      </w:tr>
      <w:tr w:rsidR="007544CA" w:rsidTr="0013350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544CA" w:rsidTr="00133508">
              <w:trPr>
                <w:jc w:val="center"/>
              </w:trPr>
              <w:tc>
                <w:tcPr>
                  <w:tcW w:w="5000" w:type="pct"/>
                  <w:tcBorders>
                    <w:top w:val="nil"/>
                    <w:bottom w:val="nil"/>
                  </w:tcBorders>
                </w:tcPr>
                <w:p w:rsidR="007544CA" w:rsidRDefault="007544CA" w:rsidP="00133508">
                  <w:pPr>
                    <w:pStyle w:val="Figure"/>
                    <w:spacing w:before="60" w:after="60"/>
                  </w:pPr>
                  <w:r>
                    <w:rPr>
                      <w:noProof/>
                    </w:rPr>
                    <w:drawing>
                      <wp:inline distT="0" distB="0" distL="0" distR="0" wp14:anchorId="2BEA1350" wp14:editId="4DF3BC1A">
                        <wp:extent cx="5400675" cy="6086475"/>
                        <wp:effectExtent l="0" t="0" r="9525" b="9525"/>
                        <wp:docPr id="17" name="Picture 17" descr="This figure explains the characteristics of budgetary assistance in terms of the nature of the assistance provided, which can be direct financial (grants, concessional loans, tax concessions), paid to R&amp;D providers or for R&amp;D undertaken by the firm (grants, tax concessions), funded service provisions (services, infrastructure), or provide preferential access where government forgoes revenue or faces a higher cost than the alternative access arrangements (quota allocation, resource use, government procurement). The second set of characteristics is who is eligible for the assistance (exporters, SMEs, sector, industry, regional firms). The third characteristics is how the assistance is allocated (demand driven, competitive, selec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400675" cy="6086475"/>
                                </a:xfrm>
                                <a:prstGeom prst="rect">
                                  <a:avLst/>
                                </a:prstGeom>
                                <a:noFill/>
                                <a:ln>
                                  <a:noFill/>
                                </a:ln>
                              </pic:spPr>
                            </pic:pic>
                          </a:graphicData>
                        </a:graphic>
                      </wp:inline>
                    </w:drawing>
                  </w:r>
                </w:p>
              </w:tc>
            </w:tr>
          </w:tbl>
          <w:p w:rsidR="007544CA" w:rsidRDefault="007544CA" w:rsidP="00133508">
            <w:pPr>
              <w:pStyle w:val="Figure"/>
            </w:pPr>
          </w:p>
        </w:tc>
      </w:tr>
      <w:tr w:rsidR="007544CA" w:rsidTr="00133508">
        <w:tc>
          <w:tcPr>
            <w:tcW w:w="8771" w:type="dxa"/>
            <w:tcBorders>
              <w:top w:val="nil"/>
              <w:left w:val="nil"/>
              <w:bottom w:val="single" w:sz="6" w:space="0" w:color="78A22F"/>
              <w:right w:val="nil"/>
            </w:tcBorders>
            <w:shd w:val="clear" w:color="auto" w:fill="auto"/>
          </w:tcPr>
          <w:p w:rsidR="007544CA" w:rsidRDefault="007544CA" w:rsidP="00133508">
            <w:pPr>
              <w:pStyle w:val="Figurespace"/>
            </w:pPr>
          </w:p>
        </w:tc>
      </w:tr>
      <w:tr w:rsidR="007544CA" w:rsidRPr="000863A5" w:rsidTr="00133508">
        <w:tc>
          <w:tcPr>
            <w:tcW w:w="8771" w:type="dxa"/>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rPr>
          <w:szCs w:val="20"/>
        </w:rPr>
      </w:pPr>
    </w:p>
    <w:p w:rsidR="007544CA" w:rsidRDefault="007544CA" w:rsidP="00133508">
      <w:pPr>
        <w:rPr>
          <w:szCs w:val="20"/>
        </w:rPr>
      </w:pPr>
    </w:p>
    <w:p w:rsidR="007544CA" w:rsidRDefault="007544CA" w:rsidP="00133508">
      <w:pPr>
        <w:rPr>
          <w:szCs w:val="20"/>
        </w:rPr>
      </w:pPr>
    </w:p>
    <w:p w:rsidR="007544CA" w:rsidRDefault="007544CA">
      <w:pPr>
        <w:pStyle w:val="BodyText"/>
      </w:pPr>
      <w:r>
        <w:br w:type="page"/>
      </w:r>
    </w:p>
    <w:p w:rsidR="007544CA" w:rsidRDefault="007544CA">
      <w:pPr>
        <w:pStyle w:val="BodyText"/>
        <w:sectPr w:rsidR="007544CA" w:rsidSect="007544CA">
          <w:headerReference w:type="even" r:id="rId46"/>
          <w:headerReference w:type="default" r:id="rId47"/>
          <w:footerReference w:type="even" r:id="rId48"/>
          <w:footerReference w:type="default" r:id="rId49"/>
          <w:type w:val="oddPage"/>
          <w:pgSz w:w="11907" w:h="16840" w:code="9"/>
          <w:pgMar w:top="1985" w:right="1304" w:bottom="1247" w:left="1814" w:header="1701" w:footer="397" w:gutter="0"/>
          <w:pgNumType w:chapSep="period"/>
          <w:cols w:space="720"/>
          <w:docGrid w:linePitch="326"/>
        </w:sectPr>
      </w:pPr>
    </w:p>
    <w:p w:rsidR="007544CA" w:rsidRDefault="007544CA" w:rsidP="00133508">
      <w:pPr>
        <w:pStyle w:val="BoxSpaceAbove"/>
        <w:spacing w:before="120"/>
      </w:pPr>
    </w:p>
    <w:tbl>
      <w:tblPr>
        <w:tblW w:w="5000" w:type="pct"/>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13892"/>
      </w:tblGrid>
      <w:tr w:rsidR="007544CA" w:rsidTr="00133508">
        <w:tc>
          <w:tcPr>
            <w:tcW w:w="5000" w:type="pct"/>
            <w:tcBorders>
              <w:top w:val="single" w:sz="6" w:space="0" w:color="78A22F"/>
              <w:left w:val="nil"/>
              <w:bottom w:val="nil"/>
              <w:right w:val="nil"/>
            </w:tcBorders>
            <w:shd w:val="clear" w:color="auto" w:fill="auto"/>
          </w:tcPr>
          <w:p w:rsidR="007544CA" w:rsidRDefault="007544CA" w:rsidP="00133508">
            <w:pPr>
              <w:pStyle w:val="TableTitle"/>
            </w:pPr>
            <w:r>
              <w:rPr>
                <w:b w:val="0"/>
              </w:rPr>
              <w:t xml:space="preserve">Table </w:t>
            </w:r>
            <w:r>
              <w:rPr>
                <w:b w:val="0"/>
              </w:rPr>
              <w:fldChar w:fldCharType="begin" w:fldLock="1"/>
            </w:r>
            <w:r>
              <w:rPr>
                <w:b w:val="0"/>
              </w:rPr>
              <w:instrText xml:space="preserve"> COMMENTS  \* MERGEFORMAT </w:instrText>
            </w:r>
            <w:r>
              <w:rPr>
                <w:b w:val="0"/>
              </w:rPr>
              <w:fldChar w:fldCharType="separate"/>
            </w:r>
            <w:proofErr w:type="spellStart"/>
            <w:r>
              <w:rPr>
                <w:b w:val="0"/>
              </w:rPr>
              <w:t>B.</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1</w:t>
            </w:r>
            <w:proofErr w:type="spellEnd"/>
            <w:r>
              <w:rPr>
                <w:b w:val="0"/>
              </w:rPr>
              <w:fldChar w:fldCharType="end"/>
            </w:r>
            <w:r>
              <w:tab/>
              <w:t>Agriculture and Water portfolio</w:t>
            </w:r>
          </w:p>
          <w:p w:rsidR="007544CA" w:rsidRPr="00347A81" w:rsidRDefault="007544CA" w:rsidP="00133508">
            <w:pPr>
              <w:pStyle w:val="Subtitle"/>
            </w:pPr>
            <w:r>
              <w:t>Selected r</w:t>
            </w:r>
            <w:r w:rsidRPr="00FE1299">
              <w:t>ecent developments</w:t>
            </w:r>
          </w:p>
        </w:tc>
      </w:tr>
      <w:tr w:rsidR="007544CA" w:rsidTr="00133508">
        <w:trPr>
          <w:cantSplit/>
        </w:trPr>
        <w:tc>
          <w:tcPr>
            <w:tcW w:w="5000" w:type="pct"/>
            <w:tcBorders>
              <w:top w:val="nil"/>
              <w:left w:val="nil"/>
              <w:bottom w:val="nil"/>
              <w:right w:val="nil"/>
            </w:tcBorders>
            <w:shd w:val="clear" w:color="auto" w:fill="auto"/>
          </w:tcPr>
          <w:tbl>
            <w:tblPr>
              <w:tblW w:w="0" w:type="auto"/>
              <w:tblLayout w:type="fixed"/>
              <w:tblCellMar>
                <w:top w:w="28" w:type="dxa"/>
                <w:left w:w="0" w:type="dxa"/>
                <w:right w:w="0" w:type="dxa"/>
              </w:tblCellMar>
              <w:tblLook w:val="0000" w:firstRow="0" w:lastRow="0" w:firstColumn="0" w:lastColumn="0" w:noHBand="0" w:noVBand="0"/>
            </w:tblPr>
            <w:tblGrid>
              <w:gridCol w:w="3118"/>
              <w:gridCol w:w="1701"/>
              <w:gridCol w:w="4961"/>
              <w:gridCol w:w="3827"/>
            </w:tblGrid>
            <w:tr w:rsidR="007544CA" w:rsidTr="00133508">
              <w:tc>
                <w:tcPr>
                  <w:tcW w:w="3118"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r>
                    <w:t>Measure</w:t>
                  </w:r>
                </w:p>
              </w:tc>
              <w:tc>
                <w:tcPr>
                  <w:tcW w:w="1701" w:type="dxa"/>
                  <w:tcBorders>
                    <w:top w:val="single" w:sz="6" w:space="0" w:color="BFBFBF"/>
                    <w:bottom w:val="single" w:sz="6" w:space="0" w:color="BFBFBF"/>
                  </w:tcBorders>
                </w:tcPr>
                <w:p w:rsidR="007544CA" w:rsidRDefault="007544CA" w:rsidP="00133508">
                  <w:pPr>
                    <w:pStyle w:val="TableColumnHeading"/>
                    <w:ind w:right="28"/>
                    <w:jc w:val="left"/>
                  </w:pPr>
                  <w:r>
                    <w:t>Government indicative costing</w:t>
                  </w:r>
                </w:p>
              </w:tc>
              <w:tc>
                <w:tcPr>
                  <w:tcW w:w="4961"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jc w:val="left"/>
                  </w:pPr>
                  <w:r>
                    <w:t>Nature and recipient</w:t>
                  </w:r>
                </w:p>
              </w:tc>
              <w:tc>
                <w:tcPr>
                  <w:tcW w:w="3827"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jc w:val="left"/>
                  </w:pPr>
                  <w:r>
                    <w:t>Assistance considerations</w:t>
                  </w:r>
                </w:p>
              </w:tc>
            </w:tr>
            <w:tr w:rsidR="007544CA" w:rsidTr="00133508">
              <w:tc>
                <w:tcPr>
                  <w:tcW w:w="9780" w:type="dxa"/>
                  <w:gridSpan w:val="3"/>
                  <w:tcBorders>
                    <w:top w:val="single" w:sz="6" w:space="0" w:color="BFBFBF"/>
                  </w:tcBorders>
                </w:tcPr>
                <w:p w:rsidR="007544CA" w:rsidRDefault="007544CA" w:rsidP="00133508">
                  <w:pPr>
                    <w:pStyle w:val="TableBodyText"/>
                    <w:ind w:right="28"/>
                    <w:jc w:val="left"/>
                  </w:pPr>
                  <w:r>
                    <w:rPr>
                      <w:b/>
                    </w:rPr>
                    <w:t>Likely to be included in assistance estimates</w:t>
                  </w:r>
                </w:p>
              </w:tc>
              <w:tc>
                <w:tcPr>
                  <w:tcW w:w="3827" w:type="dxa"/>
                  <w:tcBorders>
                    <w:top w:val="single" w:sz="6" w:space="0" w:color="BFBFBF"/>
                  </w:tcBorders>
                </w:tcPr>
                <w:p w:rsidR="007544CA" w:rsidRDefault="007544CA" w:rsidP="00133508">
                  <w:pPr>
                    <w:pStyle w:val="TableBodyText"/>
                    <w:ind w:right="28"/>
                    <w:jc w:val="left"/>
                  </w:pPr>
                </w:p>
              </w:tc>
            </w:tr>
            <w:tr w:rsidR="007544CA" w:rsidTr="00133508">
              <w:tc>
                <w:tcPr>
                  <w:tcW w:w="3118" w:type="dxa"/>
                </w:tcPr>
                <w:p w:rsidR="007544CA" w:rsidRDefault="007544CA" w:rsidP="00133508">
                  <w:pPr>
                    <w:pStyle w:val="TableBodyText"/>
                    <w:jc w:val="left"/>
                  </w:pPr>
                  <w:r>
                    <w:t>Elements of the Agricultural Competitiveness White Paper</w:t>
                  </w:r>
                </w:p>
              </w:tc>
              <w:tc>
                <w:tcPr>
                  <w:tcW w:w="1701" w:type="dxa"/>
                </w:tcPr>
                <w:p w:rsidR="007544CA" w:rsidRDefault="007544CA" w:rsidP="00133508">
                  <w:pPr>
                    <w:pStyle w:val="TableBodyText"/>
                    <w:ind w:right="28"/>
                    <w:jc w:val="left"/>
                  </w:pPr>
                </w:p>
              </w:tc>
              <w:tc>
                <w:tcPr>
                  <w:tcW w:w="4961" w:type="dxa"/>
                </w:tcPr>
                <w:p w:rsidR="007544CA" w:rsidRDefault="007544CA" w:rsidP="00133508">
                  <w:pPr>
                    <w:pStyle w:val="TableBodyText"/>
                    <w:ind w:right="28"/>
                    <w:jc w:val="left"/>
                  </w:pPr>
                  <w:r>
                    <w:t>Detailed breakdown provided in table 3.1</w:t>
                  </w:r>
                </w:p>
              </w:tc>
              <w:tc>
                <w:tcPr>
                  <w:tcW w:w="3827" w:type="dxa"/>
                </w:tcPr>
                <w:p w:rsidR="007544CA" w:rsidRDefault="007544CA" w:rsidP="00133508">
                  <w:pPr>
                    <w:pStyle w:val="TableBodyText"/>
                    <w:ind w:right="28"/>
                    <w:jc w:val="left"/>
                  </w:pPr>
                </w:p>
              </w:tc>
            </w:tr>
            <w:tr w:rsidR="007544CA" w:rsidTr="00133508">
              <w:tc>
                <w:tcPr>
                  <w:tcW w:w="3118" w:type="dxa"/>
                </w:tcPr>
                <w:p w:rsidR="007544CA" w:rsidRDefault="007544CA" w:rsidP="00133508">
                  <w:pPr>
                    <w:pStyle w:val="TableBodyText"/>
                    <w:jc w:val="left"/>
                  </w:pPr>
                  <w:r>
                    <w:t>Further assistance for banana growers — Panama Disease</w:t>
                  </w:r>
                </w:p>
              </w:tc>
              <w:tc>
                <w:tcPr>
                  <w:tcW w:w="1701" w:type="dxa"/>
                </w:tcPr>
                <w:p w:rsidR="007544CA" w:rsidRDefault="007544CA" w:rsidP="00133508">
                  <w:pPr>
                    <w:pStyle w:val="TableBodyText"/>
                    <w:ind w:right="28"/>
                    <w:jc w:val="left"/>
                  </w:pPr>
                  <w:r>
                    <w:t>Not given</w:t>
                  </w:r>
                </w:p>
              </w:tc>
              <w:tc>
                <w:tcPr>
                  <w:tcW w:w="4961" w:type="dxa"/>
                </w:tcPr>
                <w:p w:rsidR="007544CA" w:rsidRDefault="007544CA" w:rsidP="00133508">
                  <w:pPr>
                    <w:pStyle w:val="TableBodyText"/>
                    <w:ind w:right="28"/>
                    <w:jc w:val="left"/>
                  </w:pPr>
                  <w:r>
                    <w:t xml:space="preserve">Compensation for costs incurred while not being able to harvest and make fruit available as a result of the initial emergency biosecurity measures. </w:t>
                  </w:r>
                </w:p>
              </w:tc>
              <w:tc>
                <w:tcPr>
                  <w:tcW w:w="3827" w:type="dxa"/>
                </w:tcPr>
                <w:p w:rsidR="007544CA" w:rsidRDefault="007544CA" w:rsidP="00133508">
                  <w:pPr>
                    <w:pStyle w:val="TableBodyText"/>
                    <w:ind w:right="28"/>
                    <w:jc w:val="left"/>
                  </w:pPr>
                  <w:r>
                    <w:t>Direct financial - grant</w:t>
                  </w:r>
                  <w:r>
                    <w:br/>
                    <w:t>Industry specific - bananas</w:t>
                  </w:r>
                  <w:r>
                    <w:br/>
                    <w:t xml:space="preserve">Demand driven  </w:t>
                  </w:r>
                </w:p>
              </w:tc>
            </w:tr>
            <w:tr w:rsidR="007544CA" w:rsidTr="00133508">
              <w:tc>
                <w:tcPr>
                  <w:tcW w:w="3118" w:type="dxa"/>
                  <w:shd w:val="clear" w:color="auto" w:fill="auto"/>
                </w:tcPr>
                <w:p w:rsidR="007544CA" w:rsidRDefault="007544CA" w:rsidP="00133508">
                  <w:pPr>
                    <w:pStyle w:val="TableBodyText"/>
                    <w:jc w:val="left"/>
                  </w:pPr>
                  <w:r>
                    <w:t>Reduction in interest rate for the three farm business concessional loans schemes</w:t>
                  </w:r>
                </w:p>
              </w:tc>
              <w:tc>
                <w:tcPr>
                  <w:tcW w:w="1701" w:type="dxa"/>
                </w:tcPr>
                <w:p w:rsidR="007544CA" w:rsidRDefault="007544CA" w:rsidP="00133508">
                  <w:pPr>
                    <w:pStyle w:val="TableBodyText"/>
                    <w:ind w:right="28"/>
                    <w:jc w:val="left"/>
                  </w:pPr>
                  <w:r>
                    <w:t>Not given</w:t>
                  </w:r>
                </w:p>
              </w:tc>
              <w:tc>
                <w:tcPr>
                  <w:tcW w:w="4961" w:type="dxa"/>
                  <w:shd w:val="clear" w:color="auto" w:fill="auto"/>
                </w:tcPr>
                <w:p w:rsidR="007544CA" w:rsidRDefault="007544CA" w:rsidP="00133508">
                  <w:pPr>
                    <w:pStyle w:val="TableBodyText"/>
                    <w:ind w:right="28"/>
                    <w:jc w:val="left"/>
                  </w:pPr>
                  <w:r>
                    <w:t>The industry assistance is ‘equal’ to the difference between the concessional interest rate and the rate that would otherwise be charged by a private financier.</w:t>
                  </w:r>
                  <w:r>
                    <w:br/>
                    <w:t>The cost to government is the difference between the government borrowing rate and the lower rate charged to farmers.</w:t>
                  </w:r>
                  <w:r>
                    <w:br/>
                    <w:t>The size of loans is not a measure of the industry assistance nor the cost to the budget</w:t>
                  </w:r>
                </w:p>
              </w:tc>
              <w:tc>
                <w:tcPr>
                  <w:tcW w:w="3827" w:type="dxa"/>
                  <w:shd w:val="clear" w:color="auto" w:fill="auto"/>
                </w:tcPr>
                <w:p w:rsidR="007544CA" w:rsidRDefault="007544CA" w:rsidP="00133508">
                  <w:pPr>
                    <w:pStyle w:val="TableBodyText"/>
                    <w:ind w:right="28"/>
                    <w:jc w:val="left"/>
                  </w:pPr>
                  <w:r>
                    <w:t>Direct financial – concessional loan</w:t>
                  </w:r>
                  <w:r>
                    <w:br/>
                    <w:t>Sectoral specific - agriculture</w:t>
                  </w:r>
                  <w:r>
                    <w:br/>
                    <w:t>Demand driven</w:t>
                  </w:r>
                </w:p>
              </w:tc>
            </w:tr>
            <w:tr w:rsidR="007544CA" w:rsidTr="00133508">
              <w:tc>
                <w:tcPr>
                  <w:tcW w:w="3118" w:type="dxa"/>
                  <w:shd w:val="clear" w:color="auto" w:fill="auto"/>
                </w:tcPr>
                <w:p w:rsidR="007544CA" w:rsidRPr="000358D5" w:rsidRDefault="007544CA" w:rsidP="00133508">
                  <w:pPr>
                    <w:pStyle w:val="TableBodyText"/>
                    <w:jc w:val="left"/>
                  </w:pPr>
                  <w:r>
                    <w:t>Sustainable Agriculture Small Grants Round 2015</w:t>
                  </w:r>
                  <w:r>
                    <w:noBreakHyphen/>
                    <w:t>16</w:t>
                  </w:r>
                </w:p>
              </w:tc>
              <w:tc>
                <w:tcPr>
                  <w:tcW w:w="1701" w:type="dxa"/>
                </w:tcPr>
                <w:p w:rsidR="007544CA" w:rsidRPr="0097574C" w:rsidRDefault="007544CA" w:rsidP="00133508">
                  <w:pPr>
                    <w:pStyle w:val="TableBodyText"/>
                    <w:tabs>
                      <w:tab w:val="left" w:pos="1440"/>
                      <w:tab w:val="left" w:pos="5347"/>
                    </w:tabs>
                    <w:jc w:val="left"/>
                  </w:pPr>
                  <w:r>
                    <w:t>$</w:t>
                  </w:r>
                  <w:proofErr w:type="spellStart"/>
                  <w:r>
                    <w:t>2.2m</w:t>
                  </w:r>
                  <w:proofErr w:type="spellEnd"/>
                  <w:r>
                    <w:t xml:space="preserve"> </w:t>
                  </w:r>
                </w:p>
              </w:tc>
              <w:tc>
                <w:tcPr>
                  <w:tcW w:w="4961" w:type="dxa"/>
                  <w:shd w:val="clear" w:color="auto" w:fill="auto"/>
                </w:tcPr>
                <w:p w:rsidR="007544CA" w:rsidRPr="0097574C" w:rsidRDefault="007544CA" w:rsidP="00133508">
                  <w:pPr>
                    <w:pStyle w:val="TableBodyText"/>
                    <w:tabs>
                      <w:tab w:val="left" w:pos="1440"/>
                      <w:tab w:val="left" w:pos="5347"/>
                    </w:tabs>
                    <w:jc w:val="both"/>
                  </w:pPr>
                  <w:r>
                    <w:t xml:space="preserve">Part of the National Landcare </w:t>
                  </w:r>
                  <w:proofErr w:type="spellStart"/>
                  <w:r>
                    <w:t>Programmme</w:t>
                  </w:r>
                  <w:proofErr w:type="spellEnd"/>
                  <w:r>
                    <w:t xml:space="preserve">. Awaiting outcome of applications. Variable government share of project cost. </w:t>
                  </w:r>
                </w:p>
              </w:tc>
              <w:tc>
                <w:tcPr>
                  <w:tcW w:w="3827" w:type="dxa"/>
                  <w:shd w:val="clear" w:color="auto" w:fill="auto"/>
                </w:tcPr>
                <w:p w:rsidR="007544CA" w:rsidRPr="0097574C" w:rsidRDefault="007544CA" w:rsidP="00133508">
                  <w:pPr>
                    <w:pStyle w:val="TableBodyText"/>
                    <w:tabs>
                      <w:tab w:val="left" w:pos="1440"/>
                      <w:tab w:val="left" w:pos="5347"/>
                    </w:tabs>
                    <w:jc w:val="left"/>
                  </w:pPr>
                  <w:r>
                    <w:t>Direct financial</w:t>
                  </w:r>
                  <w:r>
                    <w:br/>
                    <w:t>Sectoral specific - agriculture</w:t>
                  </w:r>
                  <w:r>
                    <w:br/>
                    <w:t>Competitive selection</w:t>
                  </w:r>
                </w:p>
              </w:tc>
            </w:tr>
            <w:tr w:rsidR="007544CA" w:rsidTr="00133508">
              <w:tc>
                <w:tcPr>
                  <w:tcW w:w="3118" w:type="dxa"/>
                  <w:shd w:val="clear" w:color="auto" w:fill="auto"/>
                </w:tcPr>
                <w:p w:rsidR="007544CA" w:rsidRDefault="007544CA" w:rsidP="00133508">
                  <w:pPr>
                    <w:pStyle w:val="TableBodyText"/>
                    <w:jc w:val="left"/>
                  </w:pPr>
                  <w:r>
                    <w:t xml:space="preserve">Grants to small  exporters for market access initiatives </w:t>
                  </w:r>
                </w:p>
              </w:tc>
              <w:tc>
                <w:tcPr>
                  <w:tcW w:w="1701" w:type="dxa"/>
                </w:tcPr>
                <w:p w:rsidR="007544CA" w:rsidRDefault="007544CA" w:rsidP="00133508">
                  <w:pPr>
                    <w:pStyle w:val="TableBodyText"/>
                    <w:ind w:right="28"/>
                    <w:jc w:val="left"/>
                  </w:pPr>
                  <w:r>
                    <w:t>Not given</w:t>
                  </w:r>
                </w:p>
              </w:tc>
              <w:tc>
                <w:tcPr>
                  <w:tcW w:w="4961" w:type="dxa"/>
                  <w:shd w:val="clear" w:color="auto" w:fill="auto"/>
                </w:tcPr>
                <w:p w:rsidR="007544CA" w:rsidRDefault="007544CA" w:rsidP="00133508">
                  <w:pPr>
                    <w:pStyle w:val="TableBodyText"/>
                    <w:ind w:right="28"/>
                    <w:jc w:val="left"/>
                  </w:pPr>
                  <w:r>
                    <w:t>31 recipients covering horticulture, dairy, fish, egg, grains, meat.</w:t>
                  </w:r>
                  <w:r>
                    <w:br/>
                    <w:t>Part of Package Assisting Small Exporters (</w:t>
                  </w:r>
                  <w:proofErr w:type="spellStart"/>
                  <w:r>
                    <w:t>PASE</w:t>
                  </w:r>
                  <w:proofErr w:type="spellEnd"/>
                  <w:r>
                    <w:t>) program ($</w:t>
                  </w:r>
                  <w:proofErr w:type="spellStart"/>
                  <w:r>
                    <w:t>15m</w:t>
                  </w:r>
                  <w:proofErr w:type="spellEnd"/>
                  <w:r>
                    <w:t xml:space="preserve"> over four years)</w:t>
                  </w:r>
                </w:p>
              </w:tc>
              <w:tc>
                <w:tcPr>
                  <w:tcW w:w="3827" w:type="dxa"/>
                  <w:shd w:val="clear" w:color="auto" w:fill="auto"/>
                </w:tcPr>
                <w:p w:rsidR="007544CA" w:rsidRDefault="007544CA" w:rsidP="00133508">
                  <w:pPr>
                    <w:pStyle w:val="TableBodyText"/>
                    <w:ind w:right="28"/>
                    <w:jc w:val="left"/>
                  </w:pPr>
                  <w:r>
                    <w:t>Direct financial</w:t>
                  </w:r>
                  <w:r>
                    <w:br/>
                    <w:t>Export  - agriculture</w:t>
                  </w:r>
                  <w:r>
                    <w:br/>
                    <w:t>Competitive selection</w:t>
                  </w:r>
                </w:p>
              </w:tc>
            </w:tr>
            <w:tr w:rsidR="007544CA" w:rsidTr="00F74259">
              <w:tc>
                <w:tcPr>
                  <w:tcW w:w="3118" w:type="dxa"/>
                  <w:shd w:val="clear" w:color="auto" w:fill="auto"/>
                </w:tcPr>
                <w:p w:rsidR="007544CA" w:rsidRDefault="007544CA" w:rsidP="00133508">
                  <w:pPr>
                    <w:pStyle w:val="TableBodyText"/>
                    <w:jc w:val="left"/>
                  </w:pPr>
                  <w:r>
                    <w:t>Additional assistance for Rural Financial Counselling Service (RFCS) in drought affected areas</w:t>
                  </w:r>
                </w:p>
              </w:tc>
              <w:tc>
                <w:tcPr>
                  <w:tcW w:w="1701" w:type="dxa"/>
                </w:tcPr>
                <w:p w:rsidR="007544CA" w:rsidRDefault="007544CA" w:rsidP="00133508">
                  <w:pPr>
                    <w:pStyle w:val="TableBodyText"/>
                    <w:ind w:right="28"/>
                    <w:jc w:val="left"/>
                  </w:pPr>
                  <w:r>
                    <w:t>$880 000</w:t>
                  </w:r>
                </w:p>
              </w:tc>
              <w:tc>
                <w:tcPr>
                  <w:tcW w:w="4961" w:type="dxa"/>
                  <w:shd w:val="clear" w:color="auto" w:fill="auto"/>
                </w:tcPr>
                <w:p w:rsidR="007544CA" w:rsidRDefault="007544CA" w:rsidP="00133508">
                  <w:pPr>
                    <w:pStyle w:val="TableBodyText"/>
                    <w:ind w:right="28"/>
                    <w:jc w:val="left"/>
                  </w:pPr>
                  <w:r>
                    <w:t>Payment to service provider  for a free financial counselling</w:t>
                  </w:r>
                </w:p>
              </w:tc>
              <w:tc>
                <w:tcPr>
                  <w:tcW w:w="3827" w:type="dxa"/>
                  <w:shd w:val="clear" w:color="auto" w:fill="auto"/>
                </w:tcPr>
                <w:p w:rsidR="007544CA" w:rsidRDefault="007544CA" w:rsidP="00133508">
                  <w:pPr>
                    <w:pStyle w:val="TableBodyText"/>
                    <w:ind w:right="28"/>
                    <w:jc w:val="left"/>
                  </w:pPr>
                  <w:r>
                    <w:t>Indirect - service</w:t>
                  </w:r>
                  <w:r>
                    <w:br/>
                    <w:t>Sector specific - agriculture</w:t>
                  </w:r>
                  <w:r>
                    <w:br/>
                    <w:t>Demand driven</w:t>
                  </w:r>
                </w:p>
              </w:tc>
            </w:tr>
            <w:tr w:rsidR="007544CA" w:rsidTr="00F74259">
              <w:tc>
                <w:tcPr>
                  <w:tcW w:w="3118" w:type="dxa"/>
                  <w:tcBorders>
                    <w:bottom w:val="single" w:sz="6" w:space="0" w:color="BFBFBF"/>
                  </w:tcBorders>
                  <w:shd w:val="clear" w:color="auto" w:fill="auto"/>
                </w:tcPr>
                <w:p w:rsidR="007544CA" w:rsidRDefault="007544CA" w:rsidP="00133508">
                  <w:pPr>
                    <w:pStyle w:val="TableBodyText"/>
                    <w:jc w:val="left"/>
                  </w:pPr>
                  <w:r>
                    <w:t xml:space="preserve">First round of the Rural R&amp;D for Profit </w:t>
                  </w:r>
                  <w:proofErr w:type="spellStart"/>
                  <w:r>
                    <w:t>programme</w:t>
                  </w:r>
                  <w:proofErr w:type="spellEnd"/>
                </w:p>
              </w:tc>
              <w:tc>
                <w:tcPr>
                  <w:tcW w:w="1701" w:type="dxa"/>
                  <w:tcBorders>
                    <w:bottom w:val="single" w:sz="6" w:space="0" w:color="BFBFBF"/>
                  </w:tcBorders>
                </w:tcPr>
                <w:p w:rsidR="007544CA" w:rsidRDefault="007544CA" w:rsidP="00133508">
                  <w:pPr>
                    <w:pStyle w:val="TableBodyText"/>
                    <w:ind w:right="28"/>
                    <w:jc w:val="left"/>
                  </w:pPr>
                  <w:r>
                    <w:t>$</w:t>
                  </w:r>
                  <w:proofErr w:type="spellStart"/>
                  <w:r>
                    <w:t>26.7m</w:t>
                  </w:r>
                  <w:proofErr w:type="spellEnd"/>
                </w:p>
              </w:tc>
              <w:tc>
                <w:tcPr>
                  <w:tcW w:w="4961" w:type="dxa"/>
                  <w:tcBorders>
                    <w:bottom w:val="single" w:sz="6" w:space="0" w:color="BFBFBF"/>
                  </w:tcBorders>
                  <w:shd w:val="clear" w:color="auto" w:fill="auto"/>
                </w:tcPr>
                <w:p w:rsidR="007544CA" w:rsidRDefault="007544CA" w:rsidP="00133508">
                  <w:pPr>
                    <w:pStyle w:val="TableBodyText"/>
                    <w:ind w:right="28"/>
                    <w:jc w:val="left"/>
                  </w:pPr>
                  <w:r>
                    <w:t>Grants to existing Rural R&amp;D Corporations for specific projects</w:t>
                  </w:r>
                  <w:r>
                    <w:br/>
                    <w:t>To be matched by around $</w:t>
                  </w:r>
                  <w:proofErr w:type="spellStart"/>
                  <w:r>
                    <w:t>32m</w:t>
                  </w:r>
                  <w:proofErr w:type="spellEnd"/>
                  <w:r>
                    <w:t xml:space="preserve"> in cash and in-kind by successful applicants.</w:t>
                  </w:r>
                </w:p>
              </w:tc>
              <w:tc>
                <w:tcPr>
                  <w:tcW w:w="3827" w:type="dxa"/>
                  <w:tcBorders>
                    <w:bottom w:val="single" w:sz="6" w:space="0" w:color="BFBFBF"/>
                  </w:tcBorders>
                  <w:shd w:val="clear" w:color="auto" w:fill="auto"/>
                </w:tcPr>
                <w:p w:rsidR="007544CA" w:rsidRDefault="007544CA" w:rsidP="00133508">
                  <w:pPr>
                    <w:pStyle w:val="TableBodyText"/>
                    <w:ind w:right="28"/>
                    <w:jc w:val="left"/>
                  </w:pPr>
                  <w:r>
                    <w:t xml:space="preserve">Indirect – R&amp;D </w:t>
                  </w:r>
                  <w:r>
                    <w:br/>
                  </w:r>
                  <w:proofErr w:type="spellStart"/>
                  <w:r>
                    <w:t>R&amp;D</w:t>
                  </w:r>
                  <w:proofErr w:type="spellEnd"/>
                  <w:r>
                    <w:t>, sector-specific  - agriculture</w:t>
                  </w:r>
                  <w:r>
                    <w:br/>
                    <w:t>Competitive selection</w:t>
                  </w:r>
                </w:p>
              </w:tc>
            </w:tr>
          </w:tbl>
          <w:p w:rsidR="007544CA" w:rsidRDefault="007544CA" w:rsidP="00133508">
            <w:pPr>
              <w:pStyle w:val="Box"/>
            </w:pPr>
          </w:p>
        </w:tc>
      </w:tr>
      <w:tr w:rsidR="007544CA" w:rsidTr="00133508">
        <w:trPr>
          <w:cantSplit/>
        </w:trPr>
        <w:tc>
          <w:tcPr>
            <w:tcW w:w="5000" w:type="pct"/>
            <w:tcBorders>
              <w:top w:val="nil"/>
              <w:left w:val="nil"/>
              <w:bottom w:val="nil"/>
              <w:right w:val="nil"/>
            </w:tcBorders>
            <w:shd w:val="clear" w:color="auto" w:fill="auto"/>
          </w:tcPr>
          <w:p w:rsidR="007544CA" w:rsidRDefault="007544CA" w:rsidP="00133508">
            <w:pPr>
              <w:pStyle w:val="Continued"/>
            </w:pPr>
            <w:r>
              <w:t>(continued next page)</w:t>
            </w:r>
          </w:p>
        </w:tc>
      </w:tr>
      <w:tr w:rsidR="007544CA" w:rsidTr="00133508">
        <w:trPr>
          <w:cantSplit/>
        </w:trPr>
        <w:tc>
          <w:tcPr>
            <w:tcW w:w="5000" w:type="pct"/>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5000" w:type="pct"/>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BoxSpaceAbove"/>
      </w:pPr>
    </w:p>
    <w:tbl>
      <w:tblPr>
        <w:tblW w:w="5000" w:type="pct"/>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13892"/>
      </w:tblGrid>
      <w:tr w:rsidR="007544CA" w:rsidTr="00133508">
        <w:tc>
          <w:tcPr>
            <w:tcW w:w="5000" w:type="pct"/>
            <w:tcBorders>
              <w:top w:val="single" w:sz="6" w:space="0" w:color="78A22F"/>
              <w:left w:val="nil"/>
              <w:bottom w:val="nil"/>
              <w:right w:val="nil"/>
            </w:tcBorders>
            <w:shd w:val="clear" w:color="auto" w:fill="auto"/>
          </w:tcPr>
          <w:p w:rsidR="007544CA" w:rsidRPr="00784A05" w:rsidRDefault="007544CA" w:rsidP="00133508">
            <w:pPr>
              <w:pStyle w:val="TableTitle"/>
            </w:pPr>
            <w:r>
              <w:rPr>
                <w:b w:val="0"/>
              </w:rPr>
              <w:t xml:space="preserve">Table </w:t>
            </w:r>
            <w:proofErr w:type="spellStart"/>
            <w:r w:rsidRPr="00347A81">
              <w:rPr>
                <w:b w:val="0"/>
              </w:rPr>
              <w:t>B.</w:t>
            </w:r>
            <w:r w:rsidRPr="00347A81">
              <w:rPr>
                <w:b w:val="0"/>
                <w:noProof/>
              </w:rPr>
              <w:t>1</w:t>
            </w:r>
            <w:proofErr w:type="spellEnd"/>
            <w:r>
              <w:tab/>
            </w:r>
            <w:r w:rsidRPr="00F74259">
              <w:rPr>
                <w:b w:val="0"/>
                <w:sz w:val="20"/>
                <w:szCs w:val="20"/>
              </w:rPr>
              <w:t>(continued)</w:t>
            </w:r>
          </w:p>
        </w:tc>
      </w:tr>
      <w:tr w:rsidR="007544CA" w:rsidTr="00133508">
        <w:trPr>
          <w:cantSplit/>
        </w:trPr>
        <w:tc>
          <w:tcPr>
            <w:tcW w:w="5000" w:type="pct"/>
            <w:tcBorders>
              <w:top w:val="nil"/>
              <w:left w:val="nil"/>
              <w:bottom w:val="nil"/>
              <w:right w:val="nil"/>
            </w:tcBorders>
            <w:shd w:val="clear" w:color="auto" w:fill="auto"/>
          </w:tcPr>
          <w:tbl>
            <w:tblPr>
              <w:tblW w:w="0" w:type="auto"/>
              <w:tblLayout w:type="fixed"/>
              <w:tblCellMar>
                <w:top w:w="28" w:type="dxa"/>
                <w:left w:w="0" w:type="dxa"/>
                <w:right w:w="0" w:type="dxa"/>
              </w:tblCellMar>
              <w:tblLook w:val="0000" w:firstRow="0" w:lastRow="0" w:firstColumn="0" w:lastColumn="0" w:noHBand="0" w:noVBand="0"/>
            </w:tblPr>
            <w:tblGrid>
              <w:gridCol w:w="3118"/>
              <w:gridCol w:w="1701"/>
              <w:gridCol w:w="4961"/>
              <w:gridCol w:w="3827"/>
            </w:tblGrid>
            <w:tr w:rsidR="007544CA" w:rsidTr="00133508">
              <w:tc>
                <w:tcPr>
                  <w:tcW w:w="3118"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r>
                    <w:t>Measure</w:t>
                  </w:r>
                </w:p>
              </w:tc>
              <w:tc>
                <w:tcPr>
                  <w:tcW w:w="1701" w:type="dxa"/>
                  <w:tcBorders>
                    <w:top w:val="single" w:sz="6" w:space="0" w:color="BFBFBF"/>
                    <w:bottom w:val="single" w:sz="6" w:space="0" w:color="BFBFBF"/>
                  </w:tcBorders>
                </w:tcPr>
                <w:p w:rsidR="007544CA" w:rsidRDefault="007544CA" w:rsidP="00133508">
                  <w:pPr>
                    <w:pStyle w:val="TableColumnHeading"/>
                    <w:ind w:right="28"/>
                    <w:jc w:val="left"/>
                  </w:pPr>
                  <w:r>
                    <w:t>Government indicative costing</w:t>
                  </w:r>
                </w:p>
              </w:tc>
              <w:tc>
                <w:tcPr>
                  <w:tcW w:w="4961"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jc w:val="left"/>
                  </w:pPr>
                  <w:r>
                    <w:t>Nature and recipient</w:t>
                  </w:r>
                </w:p>
              </w:tc>
              <w:tc>
                <w:tcPr>
                  <w:tcW w:w="3827"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jc w:val="left"/>
                  </w:pPr>
                  <w:r>
                    <w:t>Assistance considerations</w:t>
                  </w:r>
                </w:p>
              </w:tc>
            </w:tr>
            <w:tr w:rsidR="007544CA" w:rsidTr="00133508">
              <w:tc>
                <w:tcPr>
                  <w:tcW w:w="3118" w:type="dxa"/>
                  <w:shd w:val="clear" w:color="auto" w:fill="auto"/>
                </w:tcPr>
                <w:p w:rsidR="007544CA" w:rsidRDefault="007544CA" w:rsidP="00F74259">
                  <w:pPr>
                    <w:pStyle w:val="TableBodyText"/>
                    <w:spacing w:before="80"/>
                    <w:jc w:val="left"/>
                  </w:pPr>
                  <w:r>
                    <w:t>Northern Australia White Paper</w:t>
                  </w:r>
                </w:p>
              </w:tc>
              <w:tc>
                <w:tcPr>
                  <w:tcW w:w="1701" w:type="dxa"/>
                </w:tcPr>
                <w:p w:rsidR="007544CA" w:rsidRDefault="007544CA" w:rsidP="00F74259">
                  <w:pPr>
                    <w:pStyle w:val="TableBodyText"/>
                    <w:spacing w:before="80"/>
                    <w:ind w:right="28"/>
                    <w:jc w:val="left"/>
                  </w:pPr>
                  <w:r>
                    <w:t>$</w:t>
                  </w:r>
                  <w:proofErr w:type="spellStart"/>
                  <w:r>
                    <w:t>75m</w:t>
                  </w:r>
                  <w:proofErr w:type="spellEnd"/>
                </w:p>
              </w:tc>
              <w:tc>
                <w:tcPr>
                  <w:tcW w:w="4961" w:type="dxa"/>
                  <w:shd w:val="clear" w:color="auto" w:fill="auto"/>
                </w:tcPr>
                <w:p w:rsidR="007544CA" w:rsidRDefault="007544CA" w:rsidP="00F74259">
                  <w:pPr>
                    <w:pStyle w:val="TableBodyText"/>
                    <w:spacing w:before="80"/>
                    <w:ind w:right="28"/>
                    <w:jc w:val="left"/>
                  </w:pPr>
                  <w:r>
                    <w:t>A new Cooperative Research Centre ($</w:t>
                  </w:r>
                  <w:proofErr w:type="spellStart"/>
                  <w:r>
                    <w:t>75m</w:t>
                  </w:r>
                  <w:proofErr w:type="spellEnd"/>
                  <w:r>
                    <w:t>) with a strong agricultural focus</w:t>
                  </w:r>
                </w:p>
              </w:tc>
              <w:tc>
                <w:tcPr>
                  <w:tcW w:w="3827" w:type="dxa"/>
                  <w:shd w:val="clear" w:color="auto" w:fill="auto"/>
                </w:tcPr>
                <w:p w:rsidR="007544CA" w:rsidRDefault="007544CA" w:rsidP="00F74259">
                  <w:pPr>
                    <w:pStyle w:val="TableBodyText"/>
                    <w:spacing w:before="80"/>
                    <w:ind w:right="28"/>
                    <w:jc w:val="left"/>
                  </w:pPr>
                  <w:r>
                    <w:t xml:space="preserve">Indirect. – R&amp;D </w:t>
                  </w:r>
                  <w:r>
                    <w:br/>
                  </w:r>
                  <w:proofErr w:type="spellStart"/>
                  <w:r>
                    <w:t>R&amp;D</w:t>
                  </w:r>
                  <w:proofErr w:type="spellEnd"/>
                  <w:r>
                    <w:t>, sector-specific  - agriculture</w:t>
                  </w:r>
                  <w:r>
                    <w:br/>
                    <w:t>Selective</w:t>
                  </w:r>
                </w:p>
              </w:tc>
            </w:tr>
            <w:tr w:rsidR="007544CA" w:rsidTr="00133508">
              <w:tc>
                <w:tcPr>
                  <w:tcW w:w="9780" w:type="dxa"/>
                  <w:gridSpan w:val="3"/>
                </w:tcPr>
                <w:p w:rsidR="007544CA" w:rsidRDefault="007544CA" w:rsidP="00133508">
                  <w:pPr>
                    <w:pStyle w:val="TableBodyText"/>
                    <w:ind w:right="28"/>
                    <w:jc w:val="left"/>
                  </w:pPr>
                  <w:r w:rsidRPr="00842372">
                    <w:rPr>
                      <w:b/>
                    </w:rPr>
                    <w:t xml:space="preserve">Not </w:t>
                  </w:r>
                  <w:r>
                    <w:rPr>
                      <w:b/>
                    </w:rPr>
                    <w:t xml:space="preserve">likely to be included </w:t>
                  </w:r>
                  <w:r w:rsidRPr="00842372">
                    <w:rPr>
                      <w:b/>
                    </w:rPr>
                    <w:t>assistance</w:t>
                  </w:r>
                  <w:r>
                    <w:rPr>
                      <w:b/>
                    </w:rPr>
                    <w:t xml:space="preserve"> estimates</w:t>
                  </w:r>
                </w:p>
              </w:tc>
              <w:tc>
                <w:tcPr>
                  <w:tcW w:w="3827" w:type="dxa"/>
                </w:tcPr>
                <w:p w:rsidR="007544CA" w:rsidRDefault="007544CA" w:rsidP="00133508">
                  <w:pPr>
                    <w:pStyle w:val="TableBodyText"/>
                    <w:ind w:right="28"/>
                    <w:jc w:val="left"/>
                  </w:pPr>
                </w:p>
              </w:tc>
            </w:tr>
            <w:tr w:rsidR="007544CA" w:rsidTr="00133508">
              <w:tc>
                <w:tcPr>
                  <w:tcW w:w="3118" w:type="dxa"/>
                </w:tcPr>
                <w:p w:rsidR="007544CA" w:rsidRDefault="007544CA" w:rsidP="00133508">
                  <w:pPr>
                    <w:pStyle w:val="TableBodyText"/>
                    <w:jc w:val="left"/>
                  </w:pPr>
                  <w:r>
                    <w:t>Biosecurity Bill 2014</w:t>
                  </w:r>
                </w:p>
              </w:tc>
              <w:tc>
                <w:tcPr>
                  <w:tcW w:w="1701" w:type="dxa"/>
                </w:tcPr>
                <w:p w:rsidR="007544CA" w:rsidRDefault="007544CA" w:rsidP="00133508">
                  <w:pPr>
                    <w:pStyle w:val="TableBodyText"/>
                    <w:ind w:right="28"/>
                    <w:jc w:val="left"/>
                  </w:pPr>
                  <w:r>
                    <w:t>Reduction in compliance costs for agriculture $</w:t>
                  </w:r>
                  <w:proofErr w:type="spellStart"/>
                  <w:r>
                    <w:t>6.9m</w:t>
                  </w:r>
                  <w:proofErr w:type="spellEnd"/>
                  <w:r>
                    <w:t xml:space="preserve"> per year</w:t>
                  </w:r>
                </w:p>
              </w:tc>
              <w:tc>
                <w:tcPr>
                  <w:tcW w:w="4961" w:type="dxa"/>
                </w:tcPr>
                <w:p w:rsidR="007544CA" w:rsidRDefault="007544CA" w:rsidP="00133508">
                  <w:pPr>
                    <w:pStyle w:val="TableBodyText"/>
                    <w:ind w:right="28"/>
                    <w:jc w:val="left"/>
                  </w:pPr>
                  <w:r>
                    <w:t>Replaces the Quarantine Act 1908</w:t>
                  </w:r>
                </w:p>
              </w:tc>
              <w:tc>
                <w:tcPr>
                  <w:tcW w:w="3827" w:type="dxa"/>
                </w:tcPr>
                <w:p w:rsidR="007544CA" w:rsidRDefault="007544CA" w:rsidP="00133508">
                  <w:pPr>
                    <w:pStyle w:val="TableBodyText"/>
                    <w:ind w:right="28"/>
                    <w:jc w:val="left"/>
                  </w:pPr>
                  <w:r>
                    <w:t>Biosecurity has both public and private benefits. There are industry cost sharing arrangements based on the relative benefits.</w:t>
                  </w:r>
                </w:p>
              </w:tc>
            </w:tr>
            <w:tr w:rsidR="007544CA" w:rsidTr="00133508">
              <w:tc>
                <w:tcPr>
                  <w:tcW w:w="3118" w:type="dxa"/>
                </w:tcPr>
                <w:p w:rsidR="007544CA" w:rsidRDefault="007544CA" w:rsidP="00133508">
                  <w:pPr>
                    <w:pStyle w:val="TableBodyText"/>
                    <w:jc w:val="left"/>
                  </w:pPr>
                  <w:r>
                    <w:t>Northern Australia White Paper</w:t>
                  </w:r>
                </w:p>
              </w:tc>
              <w:tc>
                <w:tcPr>
                  <w:tcW w:w="1701" w:type="dxa"/>
                </w:tcPr>
                <w:p w:rsidR="007544CA" w:rsidRDefault="007544CA" w:rsidP="00133508">
                  <w:pPr>
                    <w:pStyle w:val="TableBodyText"/>
                    <w:ind w:right="28"/>
                    <w:jc w:val="left"/>
                  </w:pPr>
                  <w:r>
                    <w:t>$</w:t>
                  </w:r>
                  <w:proofErr w:type="spellStart"/>
                  <w:r>
                    <w:t>300m</w:t>
                  </w:r>
                  <w:proofErr w:type="spellEnd"/>
                </w:p>
              </w:tc>
              <w:tc>
                <w:tcPr>
                  <w:tcW w:w="4961" w:type="dxa"/>
                </w:tcPr>
                <w:p w:rsidR="007544CA" w:rsidRDefault="007544CA" w:rsidP="00133508">
                  <w:pPr>
                    <w:pStyle w:val="TableBodyText"/>
                    <w:ind w:right="28"/>
                    <w:jc w:val="left"/>
                  </w:pPr>
                  <w:r>
                    <w:t>Infrastructure funding which will benefit agriculture (</w:t>
                  </w:r>
                  <w:proofErr w:type="spellStart"/>
                  <w:r>
                    <w:t>eg</w:t>
                  </w:r>
                  <w:proofErr w:type="spellEnd"/>
                  <w:r>
                    <w:t xml:space="preserve"> Beef Roads Fund $</w:t>
                  </w:r>
                  <w:proofErr w:type="spellStart"/>
                  <w:r>
                    <w:t>100m</w:t>
                  </w:r>
                  <w:proofErr w:type="spellEnd"/>
                  <w:r>
                    <w:t xml:space="preserve"> and water infrastructure $</w:t>
                  </w:r>
                  <w:proofErr w:type="spellStart"/>
                  <w:r>
                    <w:t>200m</w:t>
                  </w:r>
                  <w:proofErr w:type="spellEnd"/>
                  <w:r>
                    <w:t xml:space="preserve">), </w:t>
                  </w:r>
                </w:p>
                <w:p w:rsidR="007544CA" w:rsidRDefault="007544CA" w:rsidP="00133508">
                  <w:pPr>
                    <w:pStyle w:val="TableBodyText"/>
                    <w:ind w:right="28"/>
                    <w:jc w:val="left"/>
                  </w:pPr>
                  <w:r>
                    <w:t>.</w:t>
                  </w:r>
                </w:p>
              </w:tc>
              <w:tc>
                <w:tcPr>
                  <w:tcW w:w="3827" w:type="dxa"/>
                </w:tcPr>
                <w:p w:rsidR="007544CA" w:rsidRDefault="007544CA" w:rsidP="00133508">
                  <w:pPr>
                    <w:pStyle w:val="TableBodyText"/>
                    <w:ind w:right="28"/>
                    <w:jc w:val="left"/>
                  </w:pPr>
                  <w:r>
                    <w:t>Indirect - infrastructure</w:t>
                  </w:r>
                  <w:r>
                    <w:br/>
                    <w:t xml:space="preserve">The publicly funded (community) infrastructure is not specifically for or sole use of agriculture industries. </w:t>
                  </w:r>
                </w:p>
              </w:tc>
            </w:tr>
            <w:tr w:rsidR="007544CA" w:rsidTr="00133508">
              <w:tc>
                <w:tcPr>
                  <w:tcW w:w="3118" w:type="dxa"/>
                  <w:tcBorders>
                    <w:bottom w:val="single" w:sz="6" w:space="0" w:color="BFBFBF"/>
                  </w:tcBorders>
                  <w:shd w:val="clear" w:color="auto" w:fill="auto"/>
                </w:tcPr>
                <w:p w:rsidR="007544CA" w:rsidRDefault="007544CA" w:rsidP="00133508">
                  <w:pPr>
                    <w:pStyle w:val="TableBodyText"/>
                    <w:jc w:val="left"/>
                  </w:pPr>
                  <w:r>
                    <w:t>Possible triggering of quota allocation system for beef exports to USA</w:t>
                  </w:r>
                </w:p>
              </w:tc>
              <w:tc>
                <w:tcPr>
                  <w:tcW w:w="1701" w:type="dxa"/>
                  <w:tcBorders>
                    <w:bottom w:val="single" w:sz="6" w:space="0" w:color="BFBFBF"/>
                  </w:tcBorders>
                </w:tcPr>
                <w:p w:rsidR="007544CA" w:rsidRDefault="007544CA" w:rsidP="00133508">
                  <w:pPr>
                    <w:pStyle w:val="TableBodyText"/>
                    <w:ind w:right="28"/>
                    <w:jc w:val="left"/>
                  </w:pPr>
                  <w:r>
                    <w:t>Not applicable</w:t>
                  </w:r>
                </w:p>
              </w:tc>
              <w:tc>
                <w:tcPr>
                  <w:tcW w:w="4961" w:type="dxa"/>
                  <w:tcBorders>
                    <w:bottom w:val="single" w:sz="6" w:space="0" w:color="BFBFBF"/>
                  </w:tcBorders>
                  <w:shd w:val="clear" w:color="auto" w:fill="auto"/>
                </w:tcPr>
                <w:p w:rsidR="007544CA" w:rsidRDefault="007544CA" w:rsidP="00133508">
                  <w:pPr>
                    <w:pStyle w:val="TableBodyText"/>
                    <w:ind w:right="28"/>
                    <w:jc w:val="left"/>
                  </w:pPr>
                  <w:r>
                    <w:t xml:space="preserve">If Australia reaches 85 per cent of its quota (which operates on a first-come-first-served basis) the remaining 15 per cent will be allocated proportionately based on exporter’s record of shipment </w:t>
                  </w:r>
                </w:p>
              </w:tc>
              <w:tc>
                <w:tcPr>
                  <w:tcW w:w="3827" w:type="dxa"/>
                  <w:tcBorders>
                    <w:bottom w:val="single" w:sz="6" w:space="0" w:color="BFBFBF"/>
                  </w:tcBorders>
                  <w:shd w:val="clear" w:color="auto" w:fill="auto"/>
                </w:tcPr>
                <w:p w:rsidR="007544CA" w:rsidRDefault="007544CA" w:rsidP="00133508">
                  <w:pPr>
                    <w:pStyle w:val="TableBodyText"/>
                    <w:ind w:right="28"/>
                    <w:jc w:val="left"/>
                  </w:pPr>
                  <w:r>
                    <w:t>Indirect – preferential access</w:t>
                  </w:r>
                  <w:r>
                    <w:br/>
                  </w:r>
                  <w:proofErr w:type="spellStart"/>
                  <w:r>
                    <w:t>Access</w:t>
                  </w:r>
                  <w:proofErr w:type="spellEnd"/>
                  <w:r>
                    <w:t xml:space="preserve"> to quota is valuable to the producers who receive it. </w:t>
                  </w:r>
                </w:p>
              </w:tc>
            </w:tr>
          </w:tbl>
          <w:p w:rsidR="007544CA" w:rsidRDefault="007544CA" w:rsidP="00133508">
            <w:pPr>
              <w:pStyle w:val="Box"/>
            </w:pPr>
          </w:p>
        </w:tc>
      </w:tr>
      <w:tr w:rsidR="007544CA" w:rsidTr="00133508">
        <w:trPr>
          <w:cantSplit/>
        </w:trPr>
        <w:tc>
          <w:tcPr>
            <w:tcW w:w="5000" w:type="pct"/>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5000" w:type="pct"/>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pPr>
        <w:pStyle w:val="BodyText"/>
        <w:rPr>
          <w:b/>
        </w:rPr>
      </w:pPr>
    </w:p>
    <w:p w:rsidR="007544CA" w:rsidRDefault="007544CA">
      <w:pPr>
        <w:rPr>
          <w:b/>
          <w:szCs w:val="20"/>
        </w:rPr>
      </w:pPr>
      <w:r>
        <w:rPr>
          <w:b/>
        </w:rPr>
        <w:br w:type="page"/>
      </w:r>
    </w:p>
    <w:p w:rsidR="007544CA" w:rsidRDefault="007544CA" w:rsidP="00133508">
      <w:pPr>
        <w:pStyle w:val="BoxSpaceAbove"/>
      </w:pPr>
    </w:p>
    <w:tbl>
      <w:tblPr>
        <w:tblW w:w="5000" w:type="pct"/>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13892"/>
      </w:tblGrid>
      <w:tr w:rsidR="007544CA" w:rsidTr="00133508">
        <w:tc>
          <w:tcPr>
            <w:tcW w:w="5000" w:type="pct"/>
            <w:tcBorders>
              <w:top w:val="single" w:sz="6" w:space="0" w:color="78A22F"/>
              <w:left w:val="nil"/>
              <w:bottom w:val="nil"/>
              <w:right w:val="nil"/>
            </w:tcBorders>
            <w:shd w:val="clear" w:color="auto" w:fill="auto"/>
          </w:tcPr>
          <w:p w:rsidR="007544CA" w:rsidRDefault="007544CA" w:rsidP="00133508">
            <w:pPr>
              <w:pStyle w:val="TableTitle"/>
            </w:pPr>
            <w:r>
              <w:rPr>
                <w:b w:val="0"/>
              </w:rPr>
              <w:t xml:space="preserve">Table </w:t>
            </w:r>
            <w:r>
              <w:rPr>
                <w:b w:val="0"/>
              </w:rPr>
              <w:fldChar w:fldCharType="begin" w:fldLock="1"/>
            </w:r>
            <w:r>
              <w:rPr>
                <w:b w:val="0"/>
              </w:rPr>
              <w:instrText xml:space="preserve"> COMMENTS  \* MERGEFORMAT </w:instrText>
            </w:r>
            <w:r>
              <w:rPr>
                <w:b w:val="0"/>
              </w:rPr>
              <w:fldChar w:fldCharType="separate"/>
            </w:r>
            <w:proofErr w:type="spellStart"/>
            <w:r>
              <w:rPr>
                <w:b w:val="0"/>
              </w:rPr>
              <w:t>B.</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2</w:t>
            </w:r>
            <w:proofErr w:type="spellEnd"/>
            <w:r>
              <w:rPr>
                <w:b w:val="0"/>
              </w:rPr>
              <w:fldChar w:fldCharType="end"/>
            </w:r>
            <w:r>
              <w:tab/>
              <w:t>Industry, Innovation and Science portfolio</w:t>
            </w:r>
          </w:p>
          <w:p w:rsidR="007544CA" w:rsidRPr="00784A05" w:rsidRDefault="007544CA" w:rsidP="00133508">
            <w:pPr>
              <w:pStyle w:val="Subtitle"/>
            </w:pPr>
            <w:r>
              <w:t>Selected r</w:t>
            </w:r>
            <w:r w:rsidRPr="00FE1299">
              <w:t>ecent developments</w:t>
            </w:r>
          </w:p>
        </w:tc>
      </w:tr>
      <w:tr w:rsidR="007544CA" w:rsidTr="00133508">
        <w:trPr>
          <w:cantSplit/>
        </w:trPr>
        <w:tc>
          <w:tcPr>
            <w:tcW w:w="5000" w:type="pct"/>
            <w:tcBorders>
              <w:top w:val="nil"/>
              <w:left w:val="nil"/>
              <w:bottom w:val="nil"/>
              <w:right w:val="nil"/>
            </w:tcBorders>
            <w:shd w:val="clear" w:color="auto" w:fill="auto"/>
          </w:tcPr>
          <w:tbl>
            <w:tblPr>
              <w:tblW w:w="0" w:type="auto"/>
              <w:tblLayout w:type="fixed"/>
              <w:tblCellMar>
                <w:top w:w="28" w:type="dxa"/>
                <w:left w:w="0" w:type="dxa"/>
                <w:right w:w="0" w:type="dxa"/>
              </w:tblCellMar>
              <w:tblLook w:val="0000" w:firstRow="0" w:lastRow="0" w:firstColumn="0" w:lastColumn="0" w:noHBand="0" w:noVBand="0"/>
            </w:tblPr>
            <w:tblGrid>
              <w:gridCol w:w="3118"/>
              <w:gridCol w:w="1701"/>
              <w:gridCol w:w="4961"/>
              <w:gridCol w:w="3827"/>
            </w:tblGrid>
            <w:tr w:rsidR="007544CA" w:rsidTr="00133508">
              <w:tc>
                <w:tcPr>
                  <w:tcW w:w="3118"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r>
                    <w:t>Measure</w:t>
                  </w:r>
                </w:p>
              </w:tc>
              <w:tc>
                <w:tcPr>
                  <w:tcW w:w="1701" w:type="dxa"/>
                  <w:tcBorders>
                    <w:top w:val="single" w:sz="6" w:space="0" w:color="BFBFBF"/>
                    <w:bottom w:val="single" w:sz="6" w:space="0" w:color="BFBFBF"/>
                  </w:tcBorders>
                </w:tcPr>
                <w:p w:rsidR="007544CA" w:rsidRDefault="007544CA" w:rsidP="00133508">
                  <w:pPr>
                    <w:pStyle w:val="TableColumnHeading"/>
                    <w:ind w:right="28"/>
                    <w:jc w:val="left"/>
                  </w:pPr>
                  <w:r>
                    <w:t>Government indicative costing</w:t>
                  </w:r>
                </w:p>
              </w:tc>
              <w:tc>
                <w:tcPr>
                  <w:tcW w:w="4961"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jc w:val="left"/>
                  </w:pPr>
                  <w:r>
                    <w:t>Nature and recipient</w:t>
                  </w:r>
                </w:p>
              </w:tc>
              <w:tc>
                <w:tcPr>
                  <w:tcW w:w="3827"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jc w:val="left"/>
                  </w:pPr>
                  <w:r>
                    <w:t>Assistance considerations</w:t>
                  </w:r>
                </w:p>
              </w:tc>
            </w:tr>
            <w:tr w:rsidR="007544CA" w:rsidTr="00133508">
              <w:tc>
                <w:tcPr>
                  <w:tcW w:w="9780" w:type="dxa"/>
                  <w:gridSpan w:val="3"/>
                  <w:tcBorders>
                    <w:top w:val="single" w:sz="6" w:space="0" w:color="BFBFBF"/>
                  </w:tcBorders>
                </w:tcPr>
                <w:p w:rsidR="007544CA" w:rsidRDefault="007544CA" w:rsidP="00133508">
                  <w:pPr>
                    <w:pStyle w:val="TableBodyText"/>
                    <w:ind w:right="28"/>
                    <w:jc w:val="left"/>
                  </w:pPr>
                  <w:r>
                    <w:rPr>
                      <w:b/>
                    </w:rPr>
                    <w:t>Likely to be included in assistance estimates</w:t>
                  </w:r>
                </w:p>
              </w:tc>
              <w:tc>
                <w:tcPr>
                  <w:tcW w:w="3827" w:type="dxa"/>
                  <w:tcBorders>
                    <w:top w:val="single" w:sz="6" w:space="0" w:color="BFBFBF"/>
                  </w:tcBorders>
                </w:tcPr>
                <w:p w:rsidR="007544CA" w:rsidRDefault="007544CA" w:rsidP="00133508">
                  <w:pPr>
                    <w:pStyle w:val="TableBodyText"/>
                    <w:ind w:right="28"/>
                    <w:jc w:val="left"/>
                  </w:pPr>
                </w:p>
              </w:tc>
            </w:tr>
            <w:tr w:rsidR="007544CA" w:rsidTr="00133508">
              <w:tc>
                <w:tcPr>
                  <w:tcW w:w="3118" w:type="dxa"/>
                </w:tcPr>
                <w:p w:rsidR="007544CA" w:rsidRDefault="007544CA" w:rsidP="00133508">
                  <w:pPr>
                    <w:pStyle w:val="TableBodyText"/>
                    <w:jc w:val="left"/>
                  </w:pPr>
                  <w:r>
                    <w:t>National Science and Innovation Agenda</w:t>
                  </w:r>
                </w:p>
              </w:tc>
              <w:tc>
                <w:tcPr>
                  <w:tcW w:w="1701" w:type="dxa"/>
                </w:tcPr>
                <w:p w:rsidR="007544CA" w:rsidRDefault="007544CA" w:rsidP="00133508">
                  <w:pPr>
                    <w:pStyle w:val="TableBodyText"/>
                    <w:ind w:right="28"/>
                    <w:jc w:val="left"/>
                  </w:pPr>
                </w:p>
              </w:tc>
              <w:tc>
                <w:tcPr>
                  <w:tcW w:w="4961" w:type="dxa"/>
                </w:tcPr>
                <w:p w:rsidR="007544CA" w:rsidRDefault="007544CA" w:rsidP="00133508">
                  <w:pPr>
                    <w:pStyle w:val="TableBodyText"/>
                    <w:ind w:right="28"/>
                    <w:jc w:val="left"/>
                  </w:pPr>
                  <w:r>
                    <w:t>See table 3.5</w:t>
                  </w:r>
                </w:p>
              </w:tc>
              <w:tc>
                <w:tcPr>
                  <w:tcW w:w="3827" w:type="dxa"/>
                </w:tcPr>
                <w:p w:rsidR="007544CA" w:rsidRDefault="007544CA" w:rsidP="00133508">
                  <w:pPr>
                    <w:pStyle w:val="TableBodyText"/>
                    <w:ind w:right="28"/>
                    <w:jc w:val="left"/>
                  </w:pPr>
                </w:p>
              </w:tc>
            </w:tr>
            <w:tr w:rsidR="007544CA" w:rsidTr="00133508">
              <w:tc>
                <w:tcPr>
                  <w:tcW w:w="3118" w:type="dxa"/>
                </w:tcPr>
                <w:p w:rsidR="007544CA" w:rsidRDefault="007544CA" w:rsidP="00133508">
                  <w:pPr>
                    <w:pStyle w:val="TableBodyText"/>
                    <w:jc w:val="left"/>
                  </w:pPr>
                  <w:r>
                    <w:t>Recipients under the Manufacturing Transition Programme</w:t>
                  </w:r>
                </w:p>
              </w:tc>
              <w:tc>
                <w:tcPr>
                  <w:tcW w:w="1701" w:type="dxa"/>
                </w:tcPr>
                <w:p w:rsidR="007544CA" w:rsidRDefault="007544CA" w:rsidP="00133508">
                  <w:pPr>
                    <w:pStyle w:val="TableBodyText"/>
                    <w:ind w:right="28"/>
                    <w:jc w:val="left"/>
                  </w:pPr>
                  <w:r>
                    <w:t>$</w:t>
                  </w:r>
                  <w:proofErr w:type="spellStart"/>
                  <w:r>
                    <w:t>50m</w:t>
                  </w:r>
                  <w:proofErr w:type="spellEnd"/>
                </w:p>
              </w:tc>
              <w:tc>
                <w:tcPr>
                  <w:tcW w:w="4961" w:type="dxa"/>
                </w:tcPr>
                <w:p w:rsidR="007544CA" w:rsidRDefault="007544CA" w:rsidP="00133508">
                  <w:pPr>
                    <w:pStyle w:val="TableBodyText"/>
                    <w:ind w:right="28"/>
                    <w:jc w:val="left"/>
                  </w:pPr>
                  <w:r>
                    <w:t>19 business receive between $</w:t>
                  </w:r>
                  <w:proofErr w:type="spellStart"/>
                  <w:r>
                    <w:t>1m</w:t>
                  </w:r>
                  <w:proofErr w:type="spellEnd"/>
                  <w:r>
                    <w:t xml:space="preserve"> and $</w:t>
                  </w:r>
                  <w:proofErr w:type="spellStart"/>
                  <w:r>
                    <w:t>5m</w:t>
                  </w:r>
                  <w:proofErr w:type="spellEnd"/>
                  <w:r>
                    <w:t>.</w:t>
                  </w:r>
                  <w:r>
                    <w:br/>
                    <w:t>Estimated business contribution $</w:t>
                  </w:r>
                  <w:proofErr w:type="spellStart"/>
                  <w:r>
                    <w:t>200m</w:t>
                  </w:r>
                  <w:proofErr w:type="spellEnd"/>
                </w:p>
              </w:tc>
              <w:tc>
                <w:tcPr>
                  <w:tcW w:w="3827" w:type="dxa"/>
                </w:tcPr>
                <w:p w:rsidR="007544CA" w:rsidRDefault="007544CA" w:rsidP="00133508">
                  <w:pPr>
                    <w:pStyle w:val="TableBodyText"/>
                    <w:ind w:right="28"/>
                    <w:jc w:val="left"/>
                  </w:pPr>
                  <w:r>
                    <w:t>Direct financial - grant</w:t>
                  </w:r>
                  <w:r>
                    <w:br/>
                    <w:t>Industry specific  - manufacturing</w:t>
                  </w:r>
                  <w:r>
                    <w:br/>
                    <w:t>Competitive selection</w:t>
                  </w:r>
                </w:p>
              </w:tc>
            </w:tr>
            <w:tr w:rsidR="007544CA" w:rsidTr="00133508">
              <w:tc>
                <w:tcPr>
                  <w:tcW w:w="3118" w:type="dxa"/>
                  <w:shd w:val="clear" w:color="auto" w:fill="auto"/>
                </w:tcPr>
                <w:p w:rsidR="007544CA" w:rsidRDefault="007544CA" w:rsidP="00133508">
                  <w:pPr>
                    <w:pStyle w:val="TableBodyText"/>
                    <w:jc w:val="left"/>
                  </w:pPr>
                  <w:r>
                    <w:t>Round 1 grants under the Accelerating Commercialisation stream (within the Entrepreneurs’ Programme)</w:t>
                  </w:r>
                </w:p>
              </w:tc>
              <w:tc>
                <w:tcPr>
                  <w:tcW w:w="1701" w:type="dxa"/>
                </w:tcPr>
                <w:p w:rsidR="007544CA" w:rsidRDefault="007544CA" w:rsidP="00133508">
                  <w:pPr>
                    <w:pStyle w:val="TableBodyText"/>
                    <w:ind w:right="28"/>
                    <w:jc w:val="left"/>
                  </w:pPr>
                  <w:r>
                    <w:t>$</w:t>
                  </w:r>
                  <w:proofErr w:type="spellStart"/>
                  <w:r>
                    <w:t>10.6m</w:t>
                  </w:r>
                  <w:proofErr w:type="spellEnd"/>
                </w:p>
              </w:tc>
              <w:tc>
                <w:tcPr>
                  <w:tcW w:w="4961" w:type="dxa"/>
                  <w:shd w:val="clear" w:color="auto" w:fill="auto"/>
                </w:tcPr>
                <w:p w:rsidR="007544CA" w:rsidRDefault="007544CA" w:rsidP="00133508">
                  <w:pPr>
                    <w:pStyle w:val="TableBodyText"/>
                    <w:ind w:right="28"/>
                    <w:jc w:val="left"/>
                  </w:pPr>
                  <w:r>
                    <w:t>18 companies.</w:t>
                  </w:r>
                  <w:r>
                    <w:br/>
                    <w:t>Company contribution $</w:t>
                  </w:r>
                  <w:proofErr w:type="spellStart"/>
                  <w:r>
                    <w:t>12.8m</w:t>
                  </w:r>
                  <w:proofErr w:type="spellEnd"/>
                </w:p>
              </w:tc>
              <w:tc>
                <w:tcPr>
                  <w:tcW w:w="3827" w:type="dxa"/>
                  <w:shd w:val="clear" w:color="auto" w:fill="auto"/>
                </w:tcPr>
                <w:p w:rsidR="007544CA" w:rsidRDefault="007544CA" w:rsidP="00133508">
                  <w:pPr>
                    <w:pStyle w:val="TableBodyText"/>
                    <w:ind w:right="28"/>
                    <w:jc w:val="left"/>
                  </w:pPr>
                  <w:r>
                    <w:t>Direct financial - grant</w:t>
                  </w:r>
                  <w:r>
                    <w:br/>
                    <w:t>R&amp;D - All industries</w:t>
                  </w:r>
                  <w:r>
                    <w:br/>
                    <w:t>Competitive selection</w:t>
                  </w:r>
                </w:p>
              </w:tc>
            </w:tr>
            <w:tr w:rsidR="007544CA" w:rsidTr="00133508">
              <w:tc>
                <w:tcPr>
                  <w:tcW w:w="3118" w:type="dxa"/>
                  <w:shd w:val="clear" w:color="auto" w:fill="auto"/>
                </w:tcPr>
                <w:p w:rsidR="007544CA" w:rsidRDefault="007544CA" w:rsidP="00133508">
                  <w:pPr>
                    <w:pStyle w:val="TableBodyText"/>
                    <w:jc w:val="left"/>
                  </w:pPr>
                  <w:r>
                    <w:t>Further grants under the Accelerating Commercialisation stream (within the Entrepreneurs’ Programme)</w:t>
                  </w:r>
                </w:p>
              </w:tc>
              <w:tc>
                <w:tcPr>
                  <w:tcW w:w="1701" w:type="dxa"/>
                </w:tcPr>
                <w:p w:rsidR="007544CA" w:rsidRDefault="007544CA" w:rsidP="00133508">
                  <w:pPr>
                    <w:pStyle w:val="TableBodyText"/>
                    <w:ind w:right="28"/>
                    <w:jc w:val="left"/>
                  </w:pPr>
                  <w:r>
                    <w:t>$</w:t>
                  </w:r>
                  <w:proofErr w:type="spellStart"/>
                  <w:r>
                    <w:t>5.1m</w:t>
                  </w:r>
                  <w:proofErr w:type="spellEnd"/>
                </w:p>
              </w:tc>
              <w:tc>
                <w:tcPr>
                  <w:tcW w:w="4961" w:type="dxa"/>
                  <w:shd w:val="clear" w:color="auto" w:fill="auto"/>
                </w:tcPr>
                <w:p w:rsidR="007544CA" w:rsidRDefault="007544CA" w:rsidP="00133508">
                  <w:pPr>
                    <w:pStyle w:val="TableBodyText"/>
                    <w:ind w:right="28"/>
                    <w:jc w:val="left"/>
                  </w:pPr>
                  <w:r>
                    <w:t>13 companies.</w:t>
                  </w:r>
                  <w:r>
                    <w:br/>
                    <w:t>Company contribution $</w:t>
                  </w:r>
                  <w:proofErr w:type="spellStart"/>
                  <w:r>
                    <w:t>5.1m</w:t>
                  </w:r>
                  <w:proofErr w:type="spellEnd"/>
                </w:p>
              </w:tc>
              <w:tc>
                <w:tcPr>
                  <w:tcW w:w="3827" w:type="dxa"/>
                  <w:shd w:val="clear" w:color="auto" w:fill="auto"/>
                </w:tcPr>
                <w:p w:rsidR="007544CA" w:rsidRPr="0073716D" w:rsidRDefault="007544CA" w:rsidP="00133508">
                  <w:pPr>
                    <w:pStyle w:val="TableBodyText"/>
                    <w:jc w:val="left"/>
                  </w:pPr>
                  <w:r w:rsidRPr="0073716D">
                    <w:t>Direct financial - grant</w:t>
                  </w:r>
                  <w:r w:rsidRPr="0073716D">
                    <w:br/>
                    <w:t>All industries</w:t>
                  </w:r>
                  <w:r w:rsidRPr="0073716D">
                    <w:br/>
                    <w:t>Competitive selection</w:t>
                  </w:r>
                </w:p>
              </w:tc>
            </w:tr>
            <w:tr w:rsidR="007544CA" w:rsidTr="00133508">
              <w:tc>
                <w:tcPr>
                  <w:tcW w:w="3118" w:type="dxa"/>
                  <w:shd w:val="clear" w:color="auto" w:fill="auto"/>
                </w:tcPr>
                <w:p w:rsidR="007544CA" w:rsidRDefault="007544CA" w:rsidP="00133508">
                  <w:pPr>
                    <w:pStyle w:val="TableBodyText"/>
                    <w:jc w:val="left"/>
                  </w:pPr>
                  <w:r>
                    <w:t>Next Round grants under the Accelerating Commercialisation stream (within the Entrepreneurs’ Programme)</w:t>
                  </w:r>
                </w:p>
              </w:tc>
              <w:tc>
                <w:tcPr>
                  <w:tcW w:w="1701" w:type="dxa"/>
                </w:tcPr>
                <w:p w:rsidR="007544CA" w:rsidRDefault="007544CA" w:rsidP="00133508">
                  <w:pPr>
                    <w:pStyle w:val="TableBodyText"/>
                    <w:ind w:right="28"/>
                    <w:jc w:val="left"/>
                  </w:pPr>
                  <w:r>
                    <w:t>$</w:t>
                  </w:r>
                  <w:proofErr w:type="spellStart"/>
                  <w:r>
                    <w:t>14.6m</w:t>
                  </w:r>
                  <w:proofErr w:type="spellEnd"/>
                </w:p>
              </w:tc>
              <w:tc>
                <w:tcPr>
                  <w:tcW w:w="4961" w:type="dxa"/>
                  <w:shd w:val="clear" w:color="auto" w:fill="auto"/>
                </w:tcPr>
                <w:p w:rsidR="007544CA" w:rsidRDefault="007544CA" w:rsidP="00133508">
                  <w:pPr>
                    <w:pStyle w:val="TableBodyText"/>
                    <w:ind w:right="28"/>
                    <w:jc w:val="left"/>
                  </w:pPr>
                  <w:r>
                    <w:t xml:space="preserve">24 recipient companies </w:t>
                  </w:r>
                </w:p>
              </w:tc>
              <w:tc>
                <w:tcPr>
                  <w:tcW w:w="3827" w:type="dxa"/>
                  <w:shd w:val="clear" w:color="auto" w:fill="auto"/>
                </w:tcPr>
                <w:p w:rsidR="007544CA" w:rsidRPr="0073716D" w:rsidRDefault="007544CA" w:rsidP="00133508">
                  <w:pPr>
                    <w:pStyle w:val="TableBodyText"/>
                    <w:jc w:val="left"/>
                  </w:pPr>
                  <w:r w:rsidRPr="0073716D">
                    <w:t>Direct financial - grant</w:t>
                  </w:r>
                  <w:r w:rsidRPr="0073716D">
                    <w:br/>
                  </w:r>
                  <w:r w:rsidRPr="00662C8E">
                    <w:t xml:space="preserve">R&amp;D - </w:t>
                  </w:r>
                  <w:r w:rsidRPr="0073716D">
                    <w:t>All industries</w:t>
                  </w:r>
                  <w:r w:rsidRPr="0073716D">
                    <w:br/>
                    <w:t>Competitive selection</w:t>
                  </w:r>
                </w:p>
              </w:tc>
            </w:tr>
            <w:tr w:rsidR="007544CA" w:rsidTr="00133508">
              <w:tc>
                <w:tcPr>
                  <w:tcW w:w="3118" w:type="dxa"/>
                  <w:shd w:val="clear" w:color="auto" w:fill="auto"/>
                </w:tcPr>
                <w:p w:rsidR="007544CA" w:rsidRDefault="007544CA" w:rsidP="00133508">
                  <w:pPr>
                    <w:pStyle w:val="TableBodyText"/>
                    <w:jc w:val="left"/>
                  </w:pPr>
                  <w:r>
                    <w:t>South Australian Round of the Next Generation Manufacturing Investment Programme</w:t>
                  </w:r>
                </w:p>
              </w:tc>
              <w:tc>
                <w:tcPr>
                  <w:tcW w:w="1701" w:type="dxa"/>
                </w:tcPr>
                <w:p w:rsidR="007544CA" w:rsidRDefault="007544CA" w:rsidP="00133508">
                  <w:pPr>
                    <w:pStyle w:val="TableBodyText"/>
                    <w:ind w:right="28"/>
                    <w:jc w:val="left"/>
                  </w:pPr>
                  <w:r>
                    <w:t>$</w:t>
                  </w:r>
                  <w:proofErr w:type="spellStart"/>
                  <w:r>
                    <w:t>28.8m</w:t>
                  </w:r>
                  <w:proofErr w:type="spellEnd"/>
                </w:p>
              </w:tc>
              <w:tc>
                <w:tcPr>
                  <w:tcW w:w="4961" w:type="dxa"/>
                  <w:shd w:val="clear" w:color="auto" w:fill="auto"/>
                </w:tcPr>
                <w:p w:rsidR="007544CA" w:rsidRDefault="007544CA" w:rsidP="00133508">
                  <w:pPr>
                    <w:pStyle w:val="TableBodyText"/>
                    <w:ind w:right="28"/>
                    <w:jc w:val="left"/>
                  </w:pPr>
                  <w:r>
                    <w:t>15 firms, grants from $500 000 to almost $</w:t>
                  </w:r>
                  <w:proofErr w:type="spellStart"/>
                  <w:r>
                    <w:t>5m</w:t>
                  </w:r>
                  <w:proofErr w:type="spellEnd"/>
                  <w:r>
                    <w:t>.</w:t>
                  </w:r>
                  <w:r>
                    <w:br/>
                    <w:t>Expected company investment $</w:t>
                  </w:r>
                  <w:proofErr w:type="spellStart"/>
                  <w:r>
                    <w:t>44.5m</w:t>
                  </w:r>
                  <w:proofErr w:type="spellEnd"/>
                </w:p>
              </w:tc>
              <w:tc>
                <w:tcPr>
                  <w:tcW w:w="3827" w:type="dxa"/>
                  <w:shd w:val="clear" w:color="auto" w:fill="auto"/>
                </w:tcPr>
                <w:p w:rsidR="007544CA" w:rsidRDefault="007544CA" w:rsidP="00133508">
                  <w:pPr>
                    <w:pStyle w:val="TableBodyText"/>
                    <w:ind w:right="28"/>
                    <w:jc w:val="left"/>
                  </w:pPr>
                  <w:r>
                    <w:t>Direct financial - grant</w:t>
                  </w:r>
                  <w:r>
                    <w:br/>
                    <w:t>Regional/structural adjustment - Industry - manufacturing</w:t>
                  </w:r>
                  <w:r>
                    <w:br/>
                    <w:t>Competitive selection</w:t>
                  </w:r>
                </w:p>
              </w:tc>
            </w:tr>
            <w:tr w:rsidR="007544CA" w:rsidTr="00133508">
              <w:tc>
                <w:tcPr>
                  <w:tcW w:w="3118" w:type="dxa"/>
                  <w:tcBorders>
                    <w:bottom w:val="single" w:sz="4" w:space="0" w:color="BFBFBF" w:themeColor="background1" w:themeShade="BF"/>
                  </w:tcBorders>
                  <w:shd w:val="clear" w:color="auto" w:fill="auto"/>
                </w:tcPr>
                <w:p w:rsidR="007544CA" w:rsidRDefault="007544CA" w:rsidP="00133508">
                  <w:pPr>
                    <w:pStyle w:val="TableBodyText"/>
                    <w:jc w:val="left"/>
                  </w:pPr>
                  <w:r>
                    <w:t>Victorian Round of the Next Generation Manufacturing Investment Program</w:t>
                  </w:r>
                </w:p>
              </w:tc>
              <w:tc>
                <w:tcPr>
                  <w:tcW w:w="1701" w:type="dxa"/>
                  <w:tcBorders>
                    <w:bottom w:val="single" w:sz="4" w:space="0" w:color="BFBFBF" w:themeColor="background1" w:themeShade="BF"/>
                  </w:tcBorders>
                </w:tcPr>
                <w:p w:rsidR="007544CA" w:rsidRDefault="007544CA" w:rsidP="00133508">
                  <w:pPr>
                    <w:pStyle w:val="TableBodyText"/>
                    <w:ind w:right="28"/>
                    <w:jc w:val="left"/>
                  </w:pPr>
                  <w:r>
                    <w:t>$</w:t>
                  </w:r>
                  <w:proofErr w:type="spellStart"/>
                  <w:r>
                    <w:t>27.4m</w:t>
                  </w:r>
                  <w:proofErr w:type="spellEnd"/>
                </w:p>
              </w:tc>
              <w:tc>
                <w:tcPr>
                  <w:tcW w:w="4961" w:type="dxa"/>
                  <w:tcBorders>
                    <w:bottom w:val="single" w:sz="4" w:space="0" w:color="BFBFBF" w:themeColor="background1" w:themeShade="BF"/>
                  </w:tcBorders>
                  <w:shd w:val="clear" w:color="auto" w:fill="auto"/>
                </w:tcPr>
                <w:p w:rsidR="007544CA" w:rsidRDefault="007544CA" w:rsidP="00133508">
                  <w:pPr>
                    <w:pStyle w:val="TableBodyText"/>
                    <w:ind w:right="28"/>
                    <w:jc w:val="left"/>
                  </w:pPr>
                  <w:r>
                    <w:t>11 businesses, grants $756 000 to $</w:t>
                  </w:r>
                  <w:proofErr w:type="spellStart"/>
                  <w:r>
                    <w:t>5m</w:t>
                  </w:r>
                  <w:proofErr w:type="spellEnd"/>
                  <w:r>
                    <w:t>.</w:t>
                  </w:r>
                  <w:r>
                    <w:br/>
                    <w:t>Expected company investment $</w:t>
                  </w:r>
                  <w:proofErr w:type="spellStart"/>
                  <w:r>
                    <w:t>43.6m</w:t>
                  </w:r>
                  <w:proofErr w:type="spellEnd"/>
                  <w:r>
                    <w:t xml:space="preserve">. </w:t>
                  </w:r>
                </w:p>
              </w:tc>
              <w:tc>
                <w:tcPr>
                  <w:tcW w:w="3827" w:type="dxa"/>
                  <w:tcBorders>
                    <w:bottom w:val="single" w:sz="4" w:space="0" w:color="BFBFBF" w:themeColor="background1" w:themeShade="BF"/>
                  </w:tcBorders>
                  <w:shd w:val="clear" w:color="auto" w:fill="auto"/>
                </w:tcPr>
                <w:p w:rsidR="007544CA" w:rsidRDefault="007544CA" w:rsidP="00133508">
                  <w:pPr>
                    <w:pStyle w:val="TableBodyText"/>
                    <w:ind w:right="28"/>
                    <w:jc w:val="left"/>
                  </w:pPr>
                  <w:r>
                    <w:t>Direct financial - grant</w:t>
                  </w:r>
                  <w:r>
                    <w:br/>
                    <w:t>Regional/structural adjustment - Industry - manufacturing</w:t>
                  </w:r>
                  <w:r>
                    <w:br/>
                    <w:t>Competitive selection</w:t>
                  </w:r>
                </w:p>
              </w:tc>
            </w:tr>
          </w:tbl>
          <w:p w:rsidR="007544CA" w:rsidRDefault="007544CA" w:rsidP="00133508">
            <w:pPr>
              <w:pStyle w:val="Box"/>
            </w:pPr>
          </w:p>
        </w:tc>
      </w:tr>
      <w:tr w:rsidR="007544CA" w:rsidTr="00133508">
        <w:trPr>
          <w:cantSplit/>
        </w:trPr>
        <w:tc>
          <w:tcPr>
            <w:tcW w:w="5000" w:type="pct"/>
            <w:tcBorders>
              <w:top w:val="nil"/>
              <w:left w:val="nil"/>
              <w:bottom w:val="nil"/>
              <w:right w:val="nil"/>
            </w:tcBorders>
            <w:shd w:val="clear" w:color="auto" w:fill="auto"/>
          </w:tcPr>
          <w:p w:rsidR="007544CA" w:rsidRDefault="007544CA" w:rsidP="00133508">
            <w:pPr>
              <w:pStyle w:val="Continued"/>
            </w:pPr>
            <w:r>
              <w:t>(continued next page)</w:t>
            </w:r>
          </w:p>
        </w:tc>
      </w:tr>
      <w:tr w:rsidR="007544CA" w:rsidTr="00133508">
        <w:trPr>
          <w:cantSplit/>
        </w:trPr>
        <w:tc>
          <w:tcPr>
            <w:tcW w:w="5000" w:type="pct"/>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5000" w:type="pct"/>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BoxSpaceAbove"/>
      </w:pPr>
    </w:p>
    <w:tbl>
      <w:tblPr>
        <w:tblW w:w="5000" w:type="pct"/>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13892"/>
      </w:tblGrid>
      <w:tr w:rsidR="007544CA" w:rsidTr="00133508">
        <w:tc>
          <w:tcPr>
            <w:tcW w:w="5000" w:type="pct"/>
            <w:tcBorders>
              <w:top w:val="single" w:sz="6" w:space="0" w:color="78A22F"/>
              <w:left w:val="nil"/>
              <w:bottom w:val="nil"/>
              <w:right w:val="nil"/>
            </w:tcBorders>
            <w:shd w:val="clear" w:color="auto" w:fill="auto"/>
          </w:tcPr>
          <w:p w:rsidR="007544CA" w:rsidRPr="00784A05" w:rsidRDefault="007544CA" w:rsidP="00133508">
            <w:pPr>
              <w:pStyle w:val="TableTitle"/>
            </w:pPr>
            <w:r>
              <w:rPr>
                <w:b w:val="0"/>
              </w:rPr>
              <w:t xml:space="preserve">Table </w:t>
            </w:r>
            <w:proofErr w:type="spellStart"/>
            <w:r w:rsidRPr="00347A81">
              <w:rPr>
                <w:b w:val="0"/>
              </w:rPr>
              <w:t>B.</w:t>
            </w:r>
            <w:r>
              <w:rPr>
                <w:b w:val="0"/>
                <w:noProof/>
              </w:rPr>
              <w:t>2</w:t>
            </w:r>
            <w:proofErr w:type="spellEnd"/>
            <w:r>
              <w:tab/>
            </w:r>
            <w:r w:rsidRPr="0096472F">
              <w:rPr>
                <w:b w:val="0"/>
                <w:sz w:val="18"/>
                <w:szCs w:val="18"/>
              </w:rPr>
              <w:t>(continued)</w:t>
            </w:r>
          </w:p>
        </w:tc>
      </w:tr>
      <w:tr w:rsidR="007544CA" w:rsidTr="00133508">
        <w:trPr>
          <w:cantSplit/>
        </w:trPr>
        <w:tc>
          <w:tcPr>
            <w:tcW w:w="5000" w:type="pct"/>
            <w:tcBorders>
              <w:top w:val="nil"/>
              <w:left w:val="nil"/>
              <w:bottom w:val="nil"/>
              <w:right w:val="nil"/>
            </w:tcBorders>
            <w:shd w:val="clear" w:color="auto" w:fill="auto"/>
          </w:tcPr>
          <w:tbl>
            <w:tblPr>
              <w:tblW w:w="0" w:type="auto"/>
              <w:tblLayout w:type="fixed"/>
              <w:tblCellMar>
                <w:top w:w="28" w:type="dxa"/>
                <w:left w:w="0" w:type="dxa"/>
                <w:right w:w="0" w:type="dxa"/>
              </w:tblCellMar>
              <w:tblLook w:val="0000" w:firstRow="0" w:lastRow="0" w:firstColumn="0" w:lastColumn="0" w:noHBand="0" w:noVBand="0"/>
            </w:tblPr>
            <w:tblGrid>
              <w:gridCol w:w="3118"/>
              <w:gridCol w:w="1701"/>
              <w:gridCol w:w="4961"/>
              <w:gridCol w:w="3827"/>
            </w:tblGrid>
            <w:tr w:rsidR="007544CA" w:rsidTr="00133508">
              <w:tc>
                <w:tcPr>
                  <w:tcW w:w="3118"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r>
                    <w:t>Measure</w:t>
                  </w:r>
                </w:p>
              </w:tc>
              <w:tc>
                <w:tcPr>
                  <w:tcW w:w="1701" w:type="dxa"/>
                  <w:tcBorders>
                    <w:top w:val="single" w:sz="6" w:space="0" w:color="BFBFBF"/>
                    <w:bottom w:val="single" w:sz="6" w:space="0" w:color="BFBFBF"/>
                  </w:tcBorders>
                </w:tcPr>
                <w:p w:rsidR="007544CA" w:rsidRDefault="007544CA" w:rsidP="00133508">
                  <w:pPr>
                    <w:pStyle w:val="TableColumnHeading"/>
                    <w:ind w:right="28"/>
                    <w:jc w:val="left"/>
                  </w:pPr>
                  <w:r>
                    <w:t>Government indicative costing</w:t>
                  </w:r>
                </w:p>
              </w:tc>
              <w:tc>
                <w:tcPr>
                  <w:tcW w:w="4961"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jc w:val="left"/>
                  </w:pPr>
                  <w:r>
                    <w:t>Nature and recipient</w:t>
                  </w:r>
                </w:p>
              </w:tc>
              <w:tc>
                <w:tcPr>
                  <w:tcW w:w="3827"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jc w:val="left"/>
                  </w:pPr>
                  <w:r>
                    <w:t>Assistance considerations</w:t>
                  </w:r>
                </w:p>
              </w:tc>
            </w:tr>
            <w:tr w:rsidR="007544CA" w:rsidTr="00E62C1D">
              <w:tc>
                <w:tcPr>
                  <w:tcW w:w="3118" w:type="dxa"/>
                  <w:shd w:val="clear" w:color="auto" w:fill="auto"/>
                </w:tcPr>
                <w:p w:rsidR="007544CA" w:rsidRDefault="007544CA" w:rsidP="00F74259">
                  <w:pPr>
                    <w:pStyle w:val="TableBodyText"/>
                    <w:spacing w:before="80"/>
                    <w:jc w:val="left"/>
                  </w:pPr>
                  <w:r>
                    <w:t>Round 2 Australian Automotive Diversification Programme</w:t>
                  </w:r>
                </w:p>
              </w:tc>
              <w:tc>
                <w:tcPr>
                  <w:tcW w:w="1701" w:type="dxa"/>
                </w:tcPr>
                <w:p w:rsidR="007544CA" w:rsidRDefault="007544CA" w:rsidP="00F74259">
                  <w:pPr>
                    <w:pStyle w:val="TableBodyText"/>
                    <w:spacing w:before="80"/>
                    <w:ind w:right="28"/>
                    <w:jc w:val="left"/>
                  </w:pPr>
                  <w:r>
                    <w:t>$</w:t>
                  </w:r>
                  <w:proofErr w:type="spellStart"/>
                  <w:r>
                    <w:t>5.7m</w:t>
                  </w:r>
                  <w:proofErr w:type="spellEnd"/>
                </w:p>
              </w:tc>
              <w:tc>
                <w:tcPr>
                  <w:tcW w:w="4961" w:type="dxa"/>
                  <w:shd w:val="clear" w:color="auto" w:fill="auto"/>
                </w:tcPr>
                <w:p w:rsidR="007544CA" w:rsidRDefault="007544CA" w:rsidP="00F74259">
                  <w:pPr>
                    <w:pStyle w:val="TableBodyText"/>
                    <w:spacing w:before="80"/>
                    <w:ind w:right="28"/>
                    <w:jc w:val="left"/>
                  </w:pPr>
                  <w:r>
                    <w:t>9 businesses, grants between $109 000 and $</w:t>
                  </w:r>
                  <w:proofErr w:type="spellStart"/>
                  <w:r>
                    <w:t>1m</w:t>
                  </w:r>
                  <w:proofErr w:type="spellEnd"/>
                  <w:r>
                    <w:t>.</w:t>
                  </w:r>
                  <w:r>
                    <w:br/>
                    <w:t>Expected company  investment $</w:t>
                  </w:r>
                  <w:proofErr w:type="spellStart"/>
                  <w:r>
                    <w:t>11.9m</w:t>
                  </w:r>
                  <w:proofErr w:type="spellEnd"/>
                  <w:r>
                    <w:t>. (Total combined $</w:t>
                  </w:r>
                  <w:proofErr w:type="spellStart"/>
                  <w:r>
                    <w:t>17.6m</w:t>
                  </w:r>
                  <w:proofErr w:type="spellEnd"/>
                  <w:r>
                    <w:t>)</w:t>
                  </w:r>
                </w:p>
              </w:tc>
              <w:tc>
                <w:tcPr>
                  <w:tcW w:w="3827" w:type="dxa"/>
                  <w:shd w:val="clear" w:color="auto" w:fill="auto"/>
                </w:tcPr>
                <w:p w:rsidR="007544CA" w:rsidRDefault="007544CA" w:rsidP="00F74259">
                  <w:pPr>
                    <w:pStyle w:val="TableBodyText"/>
                    <w:spacing w:before="80"/>
                    <w:ind w:right="28"/>
                    <w:jc w:val="left"/>
                  </w:pPr>
                  <w:r>
                    <w:t>Direct financial - grant</w:t>
                  </w:r>
                  <w:r>
                    <w:br/>
                    <w:t>Regional/structural adjustment - Auto supply chain</w:t>
                  </w:r>
                  <w:r>
                    <w:br/>
                    <w:t>Competitive selection</w:t>
                  </w:r>
                </w:p>
              </w:tc>
            </w:tr>
            <w:tr w:rsidR="007544CA" w:rsidTr="00E62C1D">
              <w:tc>
                <w:tcPr>
                  <w:tcW w:w="3118" w:type="dxa"/>
                </w:tcPr>
                <w:p w:rsidR="007544CA" w:rsidRDefault="007544CA" w:rsidP="00133508">
                  <w:pPr>
                    <w:pStyle w:val="TableBodyText"/>
                    <w:jc w:val="left"/>
                  </w:pPr>
                  <w:r>
                    <w:t>Round 2 Melbourne’s North Innovation and Investment Fund</w:t>
                  </w:r>
                </w:p>
              </w:tc>
              <w:tc>
                <w:tcPr>
                  <w:tcW w:w="1701" w:type="dxa"/>
                </w:tcPr>
                <w:p w:rsidR="007544CA" w:rsidRDefault="007544CA" w:rsidP="00133508">
                  <w:pPr>
                    <w:pStyle w:val="TableBodyText"/>
                    <w:ind w:right="28"/>
                    <w:jc w:val="left"/>
                  </w:pPr>
                  <w:r>
                    <w:t>$</w:t>
                  </w:r>
                  <w:proofErr w:type="spellStart"/>
                  <w:r>
                    <w:t>4m</w:t>
                  </w:r>
                  <w:proofErr w:type="spellEnd"/>
                </w:p>
              </w:tc>
              <w:tc>
                <w:tcPr>
                  <w:tcW w:w="4961" w:type="dxa"/>
                </w:tcPr>
                <w:p w:rsidR="007544CA" w:rsidRDefault="007544CA" w:rsidP="00133508">
                  <w:pPr>
                    <w:pStyle w:val="TableBodyText"/>
                    <w:ind w:right="28"/>
                    <w:jc w:val="left"/>
                  </w:pPr>
                  <w:r>
                    <w:t>Expected investment by companies $</w:t>
                  </w:r>
                  <w:proofErr w:type="spellStart"/>
                  <w:r>
                    <w:t>14m</w:t>
                  </w:r>
                  <w:proofErr w:type="spellEnd"/>
                  <w:r>
                    <w:t>.</w:t>
                  </w:r>
                  <w:r>
                    <w:br/>
                    <w:t>Expected jobs created, 115.</w:t>
                  </w:r>
                </w:p>
              </w:tc>
              <w:tc>
                <w:tcPr>
                  <w:tcW w:w="3827" w:type="dxa"/>
                </w:tcPr>
                <w:p w:rsidR="007544CA" w:rsidRDefault="007544CA" w:rsidP="00133508">
                  <w:pPr>
                    <w:pStyle w:val="TableBodyText"/>
                    <w:ind w:right="28"/>
                    <w:jc w:val="left"/>
                  </w:pPr>
                  <w:r>
                    <w:t>Direct financial - grant</w:t>
                  </w:r>
                  <w:r>
                    <w:br/>
                    <w:t>Regional/structural adjustment - All industries</w:t>
                  </w:r>
                  <w:r>
                    <w:br/>
                    <w:t>Competitive selection</w:t>
                  </w:r>
                </w:p>
              </w:tc>
            </w:tr>
            <w:tr w:rsidR="007544CA" w:rsidTr="00133508">
              <w:tc>
                <w:tcPr>
                  <w:tcW w:w="3118" w:type="dxa"/>
                </w:tcPr>
                <w:p w:rsidR="007544CA" w:rsidRDefault="007544CA" w:rsidP="00133508">
                  <w:pPr>
                    <w:pStyle w:val="TableBodyText"/>
                    <w:jc w:val="left"/>
                  </w:pPr>
                  <w:r>
                    <w:t>Round 3 – Geelong Region Innovation and Investment Fund</w:t>
                  </w:r>
                </w:p>
              </w:tc>
              <w:tc>
                <w:tcPr>
                  <w:tcW w:w="1701" w:type="dxa"/>
                </w:tcPr>
                <w:p w:rsidR="007544CA" w:rsidRDefault="007544CA" w:rsidP="00133508">
                  <w:pPr>
                    <w:pStyle w:val="TableBodyText"/>
                    <w:ind w:right="28"/>
                    <w:jc w:val="left"/>
                  </w:pPr>
                  <w:r>
                    <w:t>$</w:t>
                  </w:r>
                  <w:proofErr w:type="spellStart"/>
                  <w:r>
                    <w:t>11.2m</w:t>
                  </w:r>
                  <w:proofErr w:type="spellEnd"/>
                </w:p>
              </w:tc>
              <w:tc>
                <w:tcPr>
                  <w:tcW w:w="4961" w:type="dxa"/>
                </w:tcPr>
                <w:p w:rsidR="007544CA" w:rsidRDefault="007544CA" w:rsidP="00133508">
                  <w:pPr>
                    <w:pStyle w:val="TableBodyText"/>
                    <w:ind w:right="28"/>
                    <w:jc w:val="left"/>
                  </w:pPr>
                  <w:r>
                    <w:t>Expected investment by companies $</w:t>
                  </w:r>
                  <w:proofErr w:type="spellStart"/>
                  <w:r>
                    <w:t>32.8m</w:t>
                  </w:r>
                  <w:proofErr w:type="spellEnd"/>
                  <w:r>
                    <w:br/>
                    <w:t>Expected jobs created, 145</w:t>
                  </w:r>
                </w:p>
              </w:tc>
              <w:tc>
                <w:tcPr>
                  <w:tcW w:w="3827" w:type="dxa"/>
                </w:tcPr>
                <w:p w:rsidR="007544CA" w:rsidRDefault="007544CA" w:rsidP="00133508">
                  <w:pPr>
                    <w:pStyle w:val="TableBodyText"/>
                    <w:ind w:right="28"/>
                    <w:jc w:val="left"/>
                  </w:pPr>
                  <w:r>
                    <w:t>Direct financial - grant</w:t>
                  </w:r>
                  <w:r>
                    <w:br/>
                    <w:t>Regional/structural adjustment - All industries</w:t>
                  </w:r>
                  <w:r>
                    <w:br/>
                    <w:t>Competitive selection</w:t>
                  </w:r>
                </w:p>
              </w:tc>
            </w:tr>
            <w:tr w:rsidR="007544CA" w:rsidTr="00133508">
              <w:tc>
                <w:tcPr>
                  <w:tcW w:w="3118" w:type="dxa"/>
                  <w:shd w:val="clear" w:color="auto" w:fill="auto"/>
                </w:tcPr>
                <w:p w:rsidR="007544CA" w:rsidRDefault="007544CA" w:rsidP="00133508">
                  <w:pPr>
                    <w:pStyle w:val="TableBodyText"/>
                    <w:jc w:val="left"/>
                  </w:pPr>
                  <w:r>
                    <w:t>Proposed Tasmania Jobs and Investment Fund</w:t>
                  </w:r>
                </w:p>
              </w:tc>
              <w:tc>
                <w:tcPr>
                  <w:tcW w:w="1701" w:type="dxa"/>
                </w:tcPr>
                <w:p w:rsidR="007544CA" w:rsidRDefault="007544CA" w:rsidP="00133508">
                  <w:pPr>
                    <w:pStyle w:val="TableBodyText"/>
                    <w:ind w:right="28"/>
                    <w:jc w:val="left"/>
                  </w:pPr>
                  <w:r>
                    <w:t>$</w:t>
                  </w:r>
                  <w:proofErr w:type="spellStart"/>
                  <w:r>
                    <w:t>24m</w:t>
                  </w:r>
                  <w:proofErr w:type="spellEnd"/>
                </w:p>
              </w:tc>
              <w:tc>
                <w:tcPr>
                  <w:tcW w:w="4961" w:type="dxa"/>
                  <w:shd w:val="clear" w:color="auto" w:fill="auto"/>
                </w:tcPr>
                <w:p w:rsidR="007544CA" w:rsidRDefault="007544CA" w:rsidP="00133508">
                  <w:pPr>
                    <w:pStyle w:val="TableBodyText"/>
                    <w:ind w:right="28"/>
                    <w:jc w:val="left"/>
                  </w:pPr>
                  <w:r>
                    <w:t>2:1 (proponent-government) sharing basis. Minimum grant $50 000. $</w:t>
                  </w:r>
                  <w:proofErr w:type="spellStart"/>
                  <w:r>
                    <w:t>16m</w:t>
                  </w:r>
                  <w:proofErr w:type="spellEnd"/>
                  <w:r>
                    <w:t xml:space="preserve"> Australian Government  (transferred from lapsed Cadbury assistance offer). and $</w:t>
                  </w:r>
                  <w:proofErr w:type="spellStart"/>
                  <w:r>
                    <w:t>8m</w:t>
                  </w:r>
                  <w:proofErr w:type="spellEnd"/>
                  <w:r>
                    <w:t xml:space="preserve"> Tasmania contribution</w:t>
                  </w:r>
                </w:p>
              </w:tc>
              <w:tc>
                <w:tcPr>
                  <w:tcW w:w="3827" w:type="dxa"/>
                  <w:shd w:val="clear" w:color="auto" w:fill="auto"/>
                </w:tcPr>
                <w:p w:rsidR="007544CA" w:rsidRDefault="007544CA" w:rsidP="00133508">
                  <w:pPr>
                    <w:pStyle w:val="TableBodyText"/>
                    <w:ind w:right="28"/>
                    <w:jc w:val="left"/>
                  </w:pPr>
                  <w:r>
                    <w:t>Direct financial – grant</w:t>
                  </w:r>
                </w:p>
                <w:p w:rsidR="007544CA" w:rsidRDefault="007544CA" w:rsidP="00133508">
                  <w:pPr>
                    <w:pStyle w:val="TableBodyText"/>
                    <w:ind w:right="28"/>
                    <w:jc w:val="left"/>
                  </w:pPr>
                  <w:r>
                    <w:t>Regional/structural adjustment - All industries</w:t>
                  </w:r>
                  <w:r>
                    <w:br/>
                    <w:t>Competitive selection</w:t>
                  </w:r>
                </w:p>
              </w:tc>
            </w:tr>
            <w:tr w:rsidR="007544CA" w:rsidTr="00133508">
              <w:tc>
                <w:tcPr>
                  <w:tcW w:w="3118" w:type="dxa"/>
                  <w:shd w:val="clear" w:color="auto" w:fill="auto"/>
                </w:tcPr>
                <w:p w:rsidR="007544CA" w:rsidRDefault="007544CA" w:rsidP="00133508">
                  <w:pPr>
                    <w:pStyle w:val="TableBodyText"/>
                    <w:jc w:val="left"/>
                  </w:pPr>
                  <w:r>
                    <w:t>Round 3 Automotive Diversification Program</w:t>
                  </w:r>
                </w:p>
              </w:tc>
              <w:tc>
                <w:tcPr>
                  <w:tcW w:w="1701" w:type="dxa"/>
                </w:tcPr>
                <w:p w:rsidR="007544CA" w:rsidRDefault="007544CA" w:rsidP="00133508">
                  <w:pPr>
                    <w:pStyle w:val="TableBodyText"/>
                    <w:ind w:right="28"/>
                    <w:jc w:val="left"/>
                  </w:pPr>
                  <w:r>
                    <w:t>$</w:t>
                  </w:r>
                  <w:proofErr w:type="spellStart"/>
                  <w:r>
                    <w:t>4.8m</w:t>
                  </w:r>
                  <w:proofErr w:type="spellEnd"/>
                </w:p>
              </w:tc>
              <w:tc>
                <w:tcPr>
                  <w:tcW w:w="4961" w:type="dxa"/>
                  <w:shd w:val="clear" w:color="auto" w:fill="auto"/>
                </w:tcPr>
                <w:p w:rsidR="007544CA" w:rsidRDefault="007544CA" w:rsidP="00133508">
                  <w:pPr>
                    <w:pStyle w:val="TableBodyText"/>
                    <w:ind w:right="28"/>
                    <w:jc w:val="left"/>
                  </w:pPr>
                  <w:r>
                    <w:t>10 businesses, $1000 000 to $</w:t>
                  </w:r>
                  <w:proofErr w:type="spellStart"/>
                  <w:r>
                    <w:t>1million</w:t>
                  </w:r>
                  <w:proofErr w:type="spellEnd"/>
                  <w:r>
                    <w:br/>
                    <w:t xml:space="preserve"> Estimated business contribution $</w:t>
                  </w:r>
                  <w:proofErr w:type="spellStart"/>
                  <w:r>
                    <w:t>10.3m</w:t>
                  </w:r>
                  <w:proofErr w:type="spellEnd"/>
                  <w:r>
                    <w:t xml:space="preserve"> </w:t>
                  </w:r>
                </w:p>
              </w:tc>
              <w:tc>
                <w:tcPr>
                  <w:tcW w:w="3827" w:type="dxa"/>
                  <w:shd w:val="clear" w:color="auto" w:fill="auto"/>
                </w:tcPr>
                <w:p w:rsidR="007544CA" w:rsidRDefault="007544CA" w:rsidP="00133508">
                  <w:pPr>
                    <w:pStyle w:val="TableBodyText"/>
                    <w:ind w:right="28"/>
                    <w:jc w:val="left"/>
                  </w:pPr>
                  <w:r>
                    <w:t>Direct financial - grant</w:t>
                  </w:r>
                  <w:r>
                    <w:br/>
                    <w:t>Regional/structural adjustment - Auto supply chain</w:t>
                  </w:r>
                  <w:r>
                    <w:br/>
                    <w:t>Competitive selection</w:t>
                  </w:r>
                </w:p>
              </w:tc>
            </w:tr>
            <w:tr w:rsidR="007544CA" w:rsidTr="00133508">
              <w:tc>
                <w:tcPr>
                  <w:tcW w:w="3118" w:type="dxa"/>
                  <w:shd w:val="clear" w:color="auto" w:fill="auto"/>
                </w:tcPr>
                <w:p w:rsidR="007544CA" w:rsidRDefault="007544CA" w:rsidP="00133508">
                  <w:pPr>
                    <w:pStyle w:val="TableBodyText"/>
                    <w:jc w:val="left"/>
                  </w:pPr>
                  <w:r>
                    <w:t>New support announced - Carbon Capture and Storage (CCS) Research Development and Demonstration Fund</w:t>
                  </w:r>
                </w:p>
              </w:tc>
              <w:tc>
                <w:tcPr>
                  <w:tcW w:w="1701" w:type="dxa"/>
                </w:tcPr>
                <w:p w:rsidR="007544CA" w:rsidRDefault="007544CA" w:rsidP="00133508">
                  <w:pPr>
                    <w:pStyle w:val="TableBodyText"/>
                    <w:ind w:right="28"/>
                    <w:jc w:val="left"/>
                  </w:pPr>
                  <w:r>
                    <w:t>$</w:t>
                  </w:r>
                  <w:proofErr w:type="spellStart"/>
                  <w:r>
                    <w:t>25m</w:t>
                  </w:r>
                  <w:proofErr w:type="spellEnd"/>
                </w:p>
              </w:tc>
              <w:tc>
                <w:tcPr>
                  <w:tcW w:w="4961" w:type="dxa"/>
                  <w:shd w:val="clear" w:color="auto" w:fill="auto"/>
                </w:tcPr>
                <w:p w:rsidR="007544CA" w:rsidRDefault="007544CA" w:rsidP="00133508">
                  <w:pPr>
                    <w:pStyle w:val="TableBodyText"/>
                    <w:ind w:right="28"/>
                    <w:jc w:val="left"/>
                  </w:pPr>
                  <w:r>
                    <w:t>Grants up to 50 per cent matching. Minimum grant $200 000, no maximum.</w:t>
                  </w:r>
                </w:p>
              </w:tc>
              <w:tc>
                <w:tcPr>
                  <w:tcW w:w="3827" w:type="dxa"/>
                  <w:shd w:val="clear" w:color="auto" w:fill="auto"/>
                </w:tcPr>
                <w:p w:rsidR="007544CA" w:rsidRDefault="007544CA" w:rsidP="00133508">
                  <w:pPr>
                    <w:pStyle w:val="TableBodyText"/>
                    <w:ind w:right="28"/>
                    <w:jc w:val="left"/>
                  </w:pPr>
                  <w:r>
                    <w:t>Direct financial - grant</w:t>
                  </w:r>
                  <w:r>
                    <w:br/>
                    <w:t>R&amp;D – Industry specific</w:t>
                  </w:r>
                  <w:r>
                    <w:br/>
                    <w:t>Restrictive competitive selection (by invitation only)</w:t>
                  </w:r>
                </w:p>
              </w:tc>
            </w:tr>
            <w:tr w:rsidR="007544CA" w:rsidTr="00133508">
              <w:tc>
                <w:tcPr>
                  <w:tcW w:w="3118" w:type="dxa"/>
                  <w:shd w:val="clear" w:color="auto" w:fill="auto"/>
                </w:tcPr>
                <w:p w:rsidR="007544CA" w:rsidRDefault="007544CA" w:rsidP="00133508">
                  <w:pPr>
                    <w:pStyle w:val="TableBodyText"/>
                    <w:jc w:val="left"/>
                  </w:pPr>
                  <w:r>
                    <w:t>Funding for new CRC (Innovative Manufacturing) and already established CRC (Optimising Resource Extraction)</w:t>
                  </w:r>
                </w:p>
              </w:tc>
              <w:tc>
                <w:tcPr>
                  <w:tcW w:w="1701" w:type="dxa"/>
                </w:tcPr>
                <w:p w:rsidR="007544CA" w:rsidRDefault="007544CA" w:rsidP="00133508">
                  <w:pPr>
                    <w:pStyle w:val="TableBodyText"/>
                    <w:ind w:right="28"/>
                    <w:jc w:val="left"/>
                  </w:pPr>
                  <w:r>
                    <w:t>$</w:t>
                  </w:r>
                  <w:proofErr w:type="spellStart"/>
                  <w:r>
                    <w:t>74m</w:t>
                  </w:r>
                  <w:proofErr w:type="spellEnd"/>
                </w:p>
              </w:tc>
              <w:tc>
                <w:tcPr>
                  <w:tcW w:w="4961" w:type="dxa"/>
                  <w:shd w:val="clear" w:color="auto" w:fill="auto"/>
                </w:tcPr>
                <w:p w:rsidR="007544CA" w:rsidRDefault="007544CA" w:rsidP="00133508">
                  <w:pPr>
                    <w:pStyle w:val="TableBodyText"/>
                    <w:ind w:right="28"/>
                    <w:jc w:val="left"/>
                  </w:pPr>
                  <w:r>
                    <w:t>The IM CRC will work with the Advanced Manufacturing Growth Centre</w:t>
                  </w:r>
                </w:p>
              </w:tc>
              <w:tc>
                <w:tcPr>
                  <w:tcW w:w="3827" w:type="dxa"/>
                  <w:shd w:val="clear" w:color="auto" w:fill="auto"/>
                </w:tcPr>
                <w:p w:rsidR="007544CA" w:rsidRDefault="007544CA" w:rsidP="00133508">
                  <w:pPr>
                    <w:pStyle w:val="TableBodyText"/>
                    <w:ind w:right="28"/>
                    <w:jc w:val="left"/>
                  </w:pPr>
                  <w:r>
                    <w:t>Indirect – R&amp;D</w:t>
                  </w:r>
                  <w:r>
                    <w:br/>
                  </w:r>
                  <w:proofErr w:type="spellStart"/>
                  <w:r>
                    <w:t>R&amp;D</w:t>
                  </w:r>
                  <w:proofErr w:type="spellEnd"/>
                  <w:r>
                    <w:t xml:space="preserve"> – Industry specific</w:t>
                  </w:r>
                  <w:r>
                    <w:br/>
                    <w:t>Selective</w:t>
                  </w:r>
                </w:p>
              </w:tc>
            </w:tr>
            <w:tr w:rsidR="007544CA" w:rsidTr="00133508">
              <w:tc>
                <w:tcPr>
                  <w:tcW w:w="3118" w:type="dxa"/>
                  <w:tcBorders>
                    <w:bottom w:val="single" w:sz="4" w:space="0" w:color="BFBFBF" w:themeColor="background1" w:themeShade="BF"/>
                  </w:tcBorders>
                  <w:shd w:val="clear" w:color="auto" w:fill="auto"/>
                </w:tcPr>
                <w:p w:rsidR="007544CA" w:rsidRDefault="007544CA" w:rsidP="00133508">
                  <w:pPr>
                    <w:pStyle w:val="TableBodyText"/>
                    <w:jc w:val="left"/>
                  </w:pPr>
                  <w:r>
                    <w:t>Launch Mining Equipment, Technology and Services (METS) Growth Centre</w:t>
                  </w:r>
                </w:p>
              </w:tc>
              <w:tc>
                <w:tcPr>
                  <w:tcW w:w="1701" w:type="dxa"/>
                  <w:tcBorders>
                    <w:bottom w:val="single" w:sz="4" w:space="0" w:color="BFBFBF" w:themeColor="background1" w:themeShade="BF"/>
                  </w:tcBorders>
                </w:tcPr>
                <w:p w:rsidR="007544CA" w:rsidRDefault="007544CA" w:rsidP="00133508">
                  <w:pPr>
                    <w:pStyle w:val="TableBodyText"/>
                    <w:ind w:right="28"/>
                    <w:jc w:val="left"/>
                  </w:pPr>
                </w:p>
              </w:tc>
              <w:tc>
                <w:tcPr>
                  <w:tcW w:w="4961" w:type="dxa"/>
                  <w:tcBorders>
                    <w:bottom w:val="single" w:sz="4" w:space="0" w:color="BFBFBF" w:themeColor="background1" w:themeShade="BF"/>
                  </w:tcBorders>
                  <w:shd w:val="clear" w:color="auto" w:fill="auto"/>
                </w:tcPr>
                <w:p w:rsidR="007544CA" w:rsidRDefault="007544CA" w:rsidP="00133508">
                  <w:pPr>
                    <w:pStyle w:val="TableBodyText"/>
                    <w:ind w:right="28"/>
                    <w:jc w:val="left"/>
                  </w:pPr>
                  <w:r>
                    <w:t>Industry-researcher collaboration</w:t>
                  </w:r>
                </w:p>
              </w:tc>
              <w:tc>
                <w:tcPr>
                  <w:tcW w:w="3827" w:type="dxa"/>
                  <w:tcBorders>
                    <w:bottom w:val="single" w:sz="4" w:space="0" w:color="BFBFBF" w:themeColor="background1" w:themeShade="BF"/>
                  </w:tcBorders>
                  <w:shd w:val="clear" w:color="auto" w:fill="auto"/>
                </w:tcPr>
                <w:p w:rsidR="007544CA" w:rsidRDefault="007544CA" w:rsidP="00133508">
                  <w:pPr>
                    <w:pStyle w:val="TableBodyText"/>
                    <w:ind w:right="28"/>
                    <w:jc w:val="left"/>
                  </w:pPr>
                  <w:r>
                    <w:t>Indirect – R&amp;D</w:t>
                  </w:r>
                  <w:r>
                    <w:br/>
                  </w:r>
                  <w:proofErr w:type="spellStart"/>
                  <w:r>
                    <w:t>R&amp;D</w:t>
                  </w:r>
                  <w:proofErr w:type="spellEnd"/>
                  <w:r>
                    <w:t xml:space="preserve"> – Industry specific</w:t>
                  </w:r>
                  <w:r>
                    <w:br/>
                    <w:t>Selective</w:t>
                  </w:r>
                </w:p>
              </w:tc>
            </w:tr>
          </w:tbl>
          <w:p w:rsidR="007544CA" w:rsidRDefault="007544CA" w:rsidP="00133508">
            <w:pPr>
              <w:pStyle w:val="Box"/>
            </w:pPr>
          </w:p>
        </w:tc>
      </w:tr>
      <w:tr w:rsidR="007544CA" w:rsidTr="00133508">
        <w:trPr>
          <w:cantSplit/>
        </w:trPr>
        <w:tc>
          <w:tcPr>
            <w:tcW w:w="5000" w:type="pct"/>
            <w:tcBorders>
              <w:top w:val="nil"/>
              <w:left w:val="nil"/>
              <w:bottom w:val="nil"/>
              <w:right w:val="nil"/>
            </w:tcBorders>
            <w:shd w:val="clear" w:color="auto" w:fill="auto"/>
          </w:tcPr>
          <w:p w:rsidR="007544CA" w:rsidRDefault="007544CA" w:rsidP="00133508">
            <w:pPr>
              <w:pStyle w:val="Continued"/>
            </w:pPr>
            <w:r>
              <w:t>(Continued next page)</w:t>
            </w:r>
          </w:p>
        </w:tc>
      </w:tr>
      <w:tr w:rsidR="007544CA" w:rsidTr="00133508">
        <w:trPr>
          <w:cantSplit/>
        </w:trPr>
        <w:tc>
          <w:tcPr>
            <w:tcW w:w="5000" w:type="pct"/>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5000" w:type="pct"/>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BoxSpaceAbove"/>
      </w:pPr>
    </w:p>
    <w:tbl>
      <w:tblPr>
        <w:tblW w:w="5000" w:type="pct"/>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13892"/>
      </w:tblGrid>
      <w:tr w:rsidR="007544CA" w:rsidTr="00133508">
        <w:tc>
          <w:tcPr>
            <w:tcW w:w="5000" w:type="pct"/>
            <w:tcBorders>
              <w:top w:val="single" w:sz="6" w:space="0" w:color="78A22F"/>
              <w:left w:val="nil"/>
              <w:bottom w:val="nil"/>
              <w:right w:val="nil"/>
            </w:tcBorders>
            <w:shd w:val="clear" w:color="auto" w:fill="auto"/>
          </w:tcPr>
          <w:p w:rsidR="007544CA" w:rsidRPr="00784A05" w:rsidRDefault="007544CA" w:rsidP="00133508">
            <w:pPr>
              <w:pStyle w:val="TableTitle"/>
            </w:pPr>
            <w:r>
              <w:rPr>
                <w:b w:val="0"/>
              </w:rPr>
              <w:t xml:space="preserve">Table </w:t>
            </w:r>
            <w:proofErr w:type="spellStart"/>
            <w:r w:rsidRPr="00347A81">
              <w:rPr>
                <w:b w:val="0"/>
              </w:rPr>
              <w:t>B.</w:t>
            </w:r>
            <w:r>
              <w:rPr>
                <w:b w:val="0"/>
                <w:noProof/>
              </w:rPr>
              <w:t>2</w:t>
            </w:r>
            <w:proofErr w:type="spellEnd"/>
            <w:r>
              <w:tab/>
            </w:r>
            <w:r w:rsidRPr="0096472F">
              <w:rPr>
                <w:b w:val="0"/>
                <w:sz w:val="18"/>
                <w:szCs w:val="18"/>
              </w:rPr>
              <w:t>(continued)</w:t>
            </w:r>
          </w:p>
        </w:tc>
      </w:tr>
      <w:tr w:rsidR="007544CA" w:rsidTr="00133508">
        <w:trPr>
          <w:cantSplit/>
        </w:trPr>
        <w:tc>
          <w:tcPr>
            <w:tcW w:w="5000" w:type="pct"/>
            <w:tcBorders>
              <w:top w:val="nil"/>
              <w:left w:val="nil"/>
              <w:bottom w:val="nil"/>
              <w:right w:val="nil"/>
            </w:tcBorders>
            <w:shd w:val="clear" w:color="auto" w:fill="auto"/>
          </w:tcPr>
          <w:tbl>
            <w:tblPr>
              <w:tblW w:w="0" w:type="auto"/>
              <w:tblLayout w:type="fixed"/>
              <w:tblCellMar>
                <w:top w:w="28" w:type="dxa"/>
                <w:left w:w="0" w:type="dxa"/>
                <w:right w:w="0" w:type="dxa"/>
              </w:tblCellMar>
              <w:tblLook w:val="0000" w:firstRow="0" w:lastRow="0" w:firstColumn="0" w:lastColumn="0" w:noHBand="0" w:noVBand="0"/>
            </w:tblPr>
            <w:tblGrid>
              <w:gridCol w:w="3118"/>
              <w:gridCol w:w="1701"/>
              <w:gridCol w:w="4961"/>
              <w:gridCol w:w="3827"/>
            </w:tblGrid>
            <w:tr w:rsidR="007544CA" w:rsidTr="00133508">
              <w:tc>
                <w:tcPr>
                  <w:tcW w:w="3118"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r>
                    <w:t>Measure</w:t>
                  </w:r>
                </w:p>
              </w:tc>
              <w:tc>
                <w:tcPr>
                  <w:tcW w:w="1701" w:type="dxa"/>
                  <w:tcBorders>
                    <w:top w:val="single" w:sz="6" w:space="0" w:color="BFBFBF"/>
                    <w:bottom w:val="single" w:sz="6" w:space="0" w:color="BFBFBF"/>
                  </w:tcBorders>
                </w:tcPr>
                <w:p w:rsidR="007544CA" w:rsidRDefault="007544CA" w:rsidP="00133508">
                  <w:pPr>
                    <w:pStyle w:val="TableColumnHeading"/>
                    <w:ind w:right="28"/>
                    <w:jc w:val="left"/>
                  </w:pPr>
                  <w:r>
                    <w:t>Government indicative costing</w:t>
                  </w:r>
                </w:p>
              </w:tc>
              <w:tc>
                <w:tcPr>
                  <w:tcW w:w="4961"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jc w:val="left"/>
                  </w:pPr>
                  <w:r>
                    <w:t>Nature and recipient</w:t>
                  </w:r>
                </w:p>
              </w:tc>
              <w:tc>
                <w:tcPr>
                  <w:tcW w:w="3827"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jc w:val="left"/>
                  </w:pPr>
                  <w:r>
                    <w:t>Assistance considerations</w:t>
                  </w:r>
                </w:p>
              </w:tc>
            </w:tr>
            <w:tr w:rsidR="007544CA" w:rsidTr="00133508">
              <w:tc>
                <w:tcPr>
                  <w:tcW w:w="3118" w:type="dxa"/>
                  <w:shd w:val="clear" w:color="auto" w:fill="auto"/>
                </w:tcPr>
                <w:p w:rsidR="007544CA" w:rsidRDefault="007544CA" w:rsidP="00F74259">
                  <w:pPr>
                    <w:pStyle w:val="TableBodyText"/>
                    <w:spacing w:before="80"/>
                    <w:jc w:val="left"/>
                  </w:pPr>
                  <w:r>
                    <w:t xml:space="preserve">Establishment Oil, Gas and </w:t>
                  </w:r>
                  <w:proofErr w:type="spellStart"/>
                  <w:r>
                    <w:t>and</w:t>
                  </w:r>
                  <w:proofErr w:type="spellEnd"/>
                  <w:r>
                    <w:t xml:space="preserve"> Energy Resources Growth Centre</w:t>
                  </w:r>
                </w:p>
              </w:tc>
              <w:tc>
                <w:tcPr>
                  <w:tcW w:w="1701" w:type="dxa"/>
                </w:tcPr>
                <w:p w:rsidR="007544CA" w:rsidRDefault="007544CA" w:rsidP="00F74259">
                  <w:pPr>
                    <w:pStyle w:val="TableBodyText"/>
                    <w:spacing w:before="80"/>
                    <w:ind w:right="28"/>
                    <w:jc w:val="left"/>
                  </w:pPr>
                  <w:r>
                    <w:t>$</w:t>
                  </w:r>
                  <w:proofErr w:type="spellStart"/>
                  <w:r>
                    <w:t>15.4m</w:t>
                  </w:r>
                  <w:proofErr w:type="spellEnd"/>
                </w:p>
              </w:tc>
              <w:tc>
                <w:tcPr>
                  <w:tcW w:w="4961" w:type="dxa"/>
                  <w:shd w:val="clear" w:color="auto" w:fill="auto"/>
                </w:tcPr>
                <w:p w:rsidR="007544CA" w:rsidRDefault="007544CA" w:rsidP="00F74259">
                  <w:pPr>
                    <w:pStyle w:val="TableBodyText"/>
                    <w:spacing w:before="80"/>
                    <w:ind w:right="28"/>
                    <w:jc w:val="left"/>
                  </w:pPr>
                  <w:r>
                    <w:t>Industry-researcher collaboration</w:t>
                  </w:r>
                </w:p>
              </w:tc>
              <w:tc>
                <w:tcPr>
                  <w:tcW w:w="3827" w:type="dxa"/>
                  <w:shd w:val="clear" w:color="auto" w:fill="auto"/>
                </w:tcPr>
                <w:p w:rsidR="007544CA" w:rsidRDefault="007544CA" w:rsidP="00F74259">
                  <w:pPr>
                    <w:pStyle w:val="TableBodyText"/>
                    <w:spacing w:before="80"/>
                    <w:ind w:right="28"/>
                    <w:jc w:val="left"/>
                  </w:pPr>
                  <w:r>
                    <w:t>Indirect – R&amp;D</w:t>
                  </w:r>
                  <w:r>
                    <w:br/>
                  </w:r>
                  <w:proofErr w:type="spellStart"/>
                  <w:r>
                    <w:t>R&amp;D</w:t>
                  </w:r>
                  <w:proofErr w:type="spellEnd"/>
                  <w:r>
                    <w:t xml:space="preserve"> Industry specific</w:t>
                  </w:r>
                  <w:r>
                    <w:br/>
                    <w:t>Selective</w:t>
                  </w:r>
                </w:p>
              </w:tc>
            </w:tr>
            <w:tr w:rsidR="007544CA" w:rsidTr="00133508">
              <w:tc>
                <w:tcPr>
                  <w:tcW w:w="3118" w:type="dxa"/>
                  <w:shd w:val="clear" w:color="auto" w:fill="auto"/>
                </w:tcPr>
                <w:p w:rsidR="007544CA" w:rsidRDefault="007544CA" w:rsidP="00133508">
                  <w:pPr>
                    <w:pStyle w:val="TableBodyText"/>
                    <w:jc w:val="left"/>
                  </w:pPr>
                  <w:r>
                    <w:t>Northern Australia Tourism Initiative</w:t>
                  </w:r>
                </w:p>
              </w:tc>
              <w:tc>
                <w:tcPr>
                  <w:tcW w:w="1701" w:type="dxa"/>
                </w:tcPr>
                <w:p w:rsidR="007544CA" w:rsidRDefault="007544CA" w:rsidP="00133508">
                  <w:pPr>
                    <w:pStyle w:val="TableBodyText"/>
                    <w:ind w:right="28"/>
                    <w:jc w:val="left"/>
                  </w:pPr>
                  <w:r>
                    <w:t>$</w:t>
                  </w:r>
                  <w:proofErr w:type="spellStart"/>
                  <w:r>
                    <w:t>13.6m</w:t>
                  </w:r>
                  <w:proofErr w:type="spellEnd"/>
                </w:p>
              </w:tc>
              <w:tc>
                <w:tcPr>
                  <w:tcW w:w="4961" w:type="dxa"/>
                  <w:shd w:val="clear" w:color="auto" w:fill="auto"/>
                </w:tcPr>
                <w:p w:rsidR="007544CA" w:rsidRDefault="007544CA" w:rsidP="00133508">
                  <w:pPr>
                    <w:pStyle w:val="TableBodyText"/>
                    <w:ind w:right="28"/>
                    <w:jc w:val="left"/>
                  </w:pPr>
                  <w:r>
                    <w:t>Practical advice for small tourism businesses.</w:t>
                  </w:r>
                  <w:r>
                    <w:br/>
                    <w:t xml:space="preserve">Tender for 8 new service contracts $200 000 per year for three years </w:t>
                  </w:r>
                </w:p>
              </w:tc>
              <w:tc>
                <w:tcPr>
                  <w:tcW w:w="3827" w:type="dxa"/>
                  <w:shd w:val="clear" w:color="auto" w:fill="auto"/>
                </w:tcPr>
                <w:p w:rsidR="007544CA" w:rsidRDefault="007544CA" w:rsidP="00133508">
                  <w:pPr>
                    <w:pStyle w:val="TableBodyText"/>
                    <w:ind w:right="28"/>
                    <w:jc w:val="left"/>
                  </w:pPr>
                  <w:r>
                    <w:t>Indirect - service</w:t>
                  </w:r>
                  <w:r>
                    <w:br/>
                    <w:t>Regional - industry</w:t>
                  </w:r>
                  <w:r>
                    <w:br/>
                    <w:t>Demand driven</w:t>
                  </w:r>
                </w:p>
              </w:tc>
            </w:tr>
            <w:tr w:rsidR="007544CA" w:rsidTr="00133508">
              <w:tc>
                <w:tcPr>
                  <w:tcW w:w="3118" w:type="dxa"/>
                  <w:shd w:val="clear" w:color="auto" w:fill="auto"/>
                </w:tcPr>
                <w:p w:rsidR="007544CA" w:rsidRDefault="007544CA" w:rsidP="00133508">
                  <w:pPr>
                    <w:pStyle w:val="TableBodyText"/>
                    <w:jc w:val="left"/>
                  </w:pPr>
                  <w:r>
                    <w:t>Centre for Defence Industry Capability</w:t>
                  </w:r>
                </w:p>
              </w:tc>
              <w:tc>
                <w:tcPr>
                  <w:tcW w:w="1701" w:type="dxa"/>
                </w:tcPr>
                <w:p w:rsidR="007544CA" w:rsidRDefault="007544CA" w:rsidP="00133508">
                  <w:pPr>
                    <w:pStyle w:val="TableBodyText"/>
                    <w:ind w:right="28"/>
                    <w:jc w:val="left"/>
                  </w:pPr>
                  <w:r>
                    <w:t>$</w:t>
                  </w:r>
                  <w:proofErr w:type="spellStart"/>
                  <w:r>
                    <w:t>230m</w:t>
                  </w:r>
                  <w:proofErr w:type="spellEnd"/>
                </w:p>
              </w:tc>
              <w:tc>
                <w:tcPr>
                  <w:tcW w:w="4961" w:type="dxa"/>
                  <w:shd w:val="clear" w:color="auto" w:fill="auto"/>
                </w:tcPr>
                <w:p w:rsidR="007544CA" w:rsidRDefault="007544CA" w:rsidP="00133508">
                  <w:pPr>
                    <w:pStyle w:val="TableBodyText"/>
                    <w:ind w:right="28"/>
                    <w:jc w:val="left"/>
                  </w:pPr>
                  <w:r>
                    <w:t>10 year. Headquartered in Adelaide</w:t>
                  </w:r>
                  <w:r>
                    <w:br/>
                    <w:t>Centre will provide governance of certain existing defence industry programs, including in relation to skills, industry capability, innovation, and export.</w:t>
                  </w:r>
                </w:p>
              </w:tc>
              <w:tc>
                <w:tcPr>
                  <w:tcW w:w="3827" w:type="dxa"/>
                  <w:shd w:val="clear" w:color="auto" w:fill="auto"/>
                </w:tcPr>
                <w:p w:rsidR="007544CA" w:rsidRDefault="007544CA" w:rsidP="00133508">
                  <w:pPr>
                    <w:pStyle w:val="TableBodyText"/>
                    <w:ind w:right="28"/>
                    <w:jc w:val="left"/>
                  </w:pPr>
                  <w:r>
                    <w:t>Direct financial – grant</w:t>
                  </w:r>
                  <w:r>
                    <w:br/>
                    <w:t>Industry specific</w:t>
                  </w:r>
                  <w:r>
                    <w:br/>
                    <w:t>Selective</w:t>
                  </w:r>
                </w:p>
              </w:tc>
            </w:tr>
            <w:tr w:rsidR="007544CA" w:rsidTr="00133508">
              <w:tc>
                <w:tcPr>
                  <w:tcW w:w="9780" w:type="dxa"/>
                  <w:gridSpan w:val="3"/>
                </w:tcPr>
                <w:p w:rsidR="007544CA" w:rsidRDefault="007544CA" w:rsidP="00BF46F9">
                  <w:pPr>
                    <w:pStyle w:val="TableBodyText"/>
                    <w:ind w:right="28"/>
                    <w:jc w:val="left"/>
                  </w:pPr>
                  <w:r w:rsidRPr="00607C03">
                    <w:rPr>
                      <w:b/>
                    </w:rPr>
                    <w:t xml:space="preserve">Not </w:t>
                  </w:r>
                  <w:r w:rsidR="00BF46F9">
                    <w:rPr>
                      <w:b/>
                    </w:rPr>
                    <w:t>likely</w:t>
                  </w:r>
                  <w:r>
                    <w:rPr>
                      <w:b/>
                    </w:rPr>
                    <w:t xml:space="preserve"> to be </w:t>
                  </w:r>
                  <w:r w:rsidRPr="00607C03">
                    <w:rPr>
                      <w:b/>
                    </w:rPr>
                    <w:t>included in assistance</w:t>
                  </w:r>
                  <w:r>
                    <w:rPr>
                      <w:b/>
                    </w:rPr>
                    <w:t xml:space="preserve"> estimates</w:t>
                  </w:r>
                </w:p>
              </w:tc>
              <w:tc>
                <w:tcPr>
                  <w:tcW w:w="3827" w:type="dxa"/>
                </w:tcPr>
                <w:p w:rsidR="007544CA" w:rsidRDefault="007544CA" w:rsidP="00133508">
                  <w:pPr>
                    <w:pStyle w:val="TableBodyText"/>
                    <w:ind w:right="28"/>
                    <w:jc w:val="left"/>
                  </w:pPr>
                </w:p>
              </w:tc>
            </w:tr>
            <w:tr w:rsidR="007544CA" w:rsidTr="00133508">
              <w:tc>
                <w:tcPr>
                  <w:tcW w:w="3118" w:type="dxa"/>
                </w:tcPr>
                <w:p w:rsidR="007544CA" w:rsidRDefault="007544CA" w:rsidP="00133508">
                  <w:pPr>
                    <w:pStyle w:val="TableBodyText"/>
                    <w:jc w:val="left"/>
                  </w:pPr>
                  <w:r>
                    <w:t>Renewal of six offshore petroleum retention leases</w:t>
                  </w:r>
                </w:p>
              </w:tc>
              <w:tc>
                <w:tcPr>
                  <w:tcW w:w="1701" w:type="dxa"/>
                </w:tcPr>
                <w:p w:rsidR="007544CA" w:rsidRDefault="007544CA" w:rsidP="00133508">
                  <w:pPr>
                    <w:pStyle w:val="TableBodyText"/>
                    <w:ind w:right="28"/>
                    <w:jc w:val="left"/>
                  </w:pPr>
                </w:p>
              </w:tc>
              <w:tc>
                <w:tcPr>
                  <w:tcW w:w="4961" w:type="dxa"/>
                </w:tcPr>
                <w:p w:rsidR="007544CA" w:rsidRDefault="007544CA" w:rsidP="00133508">
                  <w:pPr>
                    <w:pStyle w:val="TableBodyText"/>
                    <w:ind w:right="28"/>
                    <w:jc w:val="left"/>
                  </w:pPr>
                  <w:r>
                    <w:t>Feed into the Chevron-proposed Gorgon Project.</w:t>
                  </w:r>
                </w:p>
              </w:tc>
              <w:tc>
                <w:tcPr>
                  <w:tcW w:w="3827" w:type="dxa"/>
                </w:tcPr>
                <w:p w:rsidR="007544CA" w:rsidRDefault="007544CA" w:rsidP="00133508">
                  <w:pPr>
                    <w:pStyle w:val="TableBodyText"/>
                    <w:ind w:right="28"/>
                    <w:jc w:val="left"/>
                  </w:pPr>
                  <w:r>
                    <w:t>Preferential access - resources</w:t>
                  </w:r>
                </w:p>
              </w:tc>
            </w:tr>
            <w:tr w:rsidR="007544CA" w:rsidTr="00133508">
              <w:tc>
                <w:tcPr>
                  <w:tcW w:w="3118" w:type="dxa"/>
                  <w:shd w:val="clear" w:color="auto" w:fill="auto"/>
                </w:tcPr>
                <w:p w:rsidR="007544CA" w:rsidRDefault="007544CA" w:rsidP="00133508">
                  <w:pPr>
                    <w:pStyle w:val="TableBodyText"/>
                    <w:jc w:val="left"/>
                  </w:pPr>
                  <w:r>
                    <w:t>First Round bidding results from the 2014 Offshore Petroleum Acreage Release</w:t>
                  </w:r>
                </w:p>
              </w:tc>
              <w:tc>
                <w:tcPr>
                  <w:tcW w:w="1701" w:type="dxa"/>
                </w:tcPr>
                <w:p w:rsidR="007544CA" w:rsidRDefault="007544CA" w:rsidP="00133508">
                  <w:pPr>
                    <w:pStyle w:val="TableBodyText"/>
                    <w:ind w:right="28"/>
                    <w:jc w:val="left"/>
                  </w:pPr>
                </w:p>
              </w:tc>
              <w:tc>
                <w:tcPr>
                  <w:tcW w:w="4961" w:type="dxa"/>
                  <w:shd w:val="clear" w:color="auto" w:fill="auto"/>
                </w:tcPr>
                <w:p w:rsidR="007544CA" w:rsidRDefault="007544CA" w:rsidP="00133508">
                  <w:pPr>
                    <w:pStyle w:val="TableBodyText"/>
                    <w:ind w:right="28"/>
                    <w:jc w:val="left"/>
                  </w:pPr>
                  <w:r>
                    <w:t>Work program (expenditure) bidding  results for eight new offshore petroleum exploration permits</w:t>
                  </w:r>
                </w:p>
              </w:tc>
              <w:tc>
                <w:tcPr>
                  <w:tcW w:w="3827" w:type="dxa"/>
                  <w:shd w:val="clear" w:color="auto" w:fill="auto"/>
                </w:tcPr>
                <w:p w:rsidR="007544CA" w:rsidRDefault="007544CA" w:rsidP="00133508">
                  <w:pPr>
                    <w:pStyle w:val="TableBodyText"/>
                    <w:ind w:right="28"/>
                    <w:jc w:val="left"/>
                  </w:pPr>
                  <w:r w:rsidRPr="00A16D12">
                    <w:t>How governments allocate exploration licences and their strategies for land release play an important role in shaping exploration incentives</w:t>
                  </w:r>
                  <w:r>
                    <w:t xml:space="preserve"> (PC 2014, chapter 3).</w:t>
                  </w:r>
                </w:p>
              </w:tc>
            </w:tr>
            <w:tr w:rsidR="007544CA" w:rsidTr="00133508">
              <w:tc>
                <w:tcPr>
                  <w:tcW w:w="3118" w:type="dxa"/>
                  <w:shd w:val="clear" w:color="auto" w:fill="auto"/>
                </w:tcPr>
                <w:p w:rsidR="007544CA" w:rsidRDefault="007544CA" w:rsidP="00133508">
                  <w:pPr>
                    <w:pStyle w:val="TableBodyText"/>
                    <w:jc w:val="left"/>
                  </w:pPr>
                  <w:r>
                    <w:t>Releases under 2015 Offshore Petroleum Exploration Acreage Release.</w:t>
                  </w:r>
                </w:p>
              </w:tc>
              <w:tc>
                <w:tcPr>
                  <w:tcW w:w="1701" w:type="dxa"/>
                </w:tcPr>
                <w:p w:rsidR="007544CA" w:rsidRDefault="007544CA" w:rsidP="00133508">
                  <w:pPr>
                    <w:pStyle w:val="TableBodyText"/>
                    <w:ind w:right="28"/>
                    <w:jc w:val="left"/>
                  </w:pPr>
                </w:p>
              </w:tc>
              <w:tc>
                <w:tcPr>
                  <w:tcW w:w="4961" w:type="dxa"/>
                  <w:shd w:val="clear" w:color="auto" w:fill="auto"/>
                </w:tcPr>
                <w:p w:rsidR="007544CA" w:rsidRDefault="007544CA" w:rsidP="00133508">
                  <w:pPr>
                    <w:pStyle w:val="TableBodyText"/>
                    <w:ind w:right="28"/>
                    <w:jc w:val="left"/>
                  </w:pPr>
                  <w:r>
                    <w:t xml:space="preserve">Release of 29 new offshore areas for petroleum exploration </w:t>
                  </w:r>
                </w:p>
              </w:tc>
              <w:tc>
                <w:tcPr>
                  <w:tcW w:w="3827" w:type="dxa"/>
                  <w:shd w:val="clear" w:color="auto" w:fill="auto"/>
                </w:tcPr>
                <w:p w:rsidR="007544CA" w:rsidRDefault="007544CA" w:rsidP="00133508">
                  <w:pPr>
                    <w:pStyle w:val="TableBodyText"/>
                    <w:ind w:right="28"/>
                    <w:jc w:val="left"/>
                  </w:pPr>
                  <w:r>
                    <w:t>Preferential access - resources</w:t>
                  </w:r>
                </w:p>
              </w:tc>
            </w:tr>
            <w:tr w:rsidR="007544CA" w:rsidTr="00133508">
              <w:tc>
                <w:tcPr>
                  <w:tcW w:w="3118" w:type="dxa"/>
                  <w:tcBorders>
                    <w:bottom w:val="single" w:sz="6" w:space="0" w:color="BFBFBF"/>
                  </w:tcBorders>
                  <w:shd w:val="clear" w:color="auto" w:fill="auto"/>
                </w:tcPr>
                <w:p w:rsidR="007544CA" w:rsidRDefault="007544CA" w:rsidP="00133508">
                  <w:pPr>
                    <w:pStyle w:val="TableBodyText"/>
                    <w:jc w:val="left"/>
                  </w:pPr>
                  <w:r>
                    <w:t xml:space="preserve">Renewal of five Commonwealth offshore petroleum retention leases </w:t>
                  </w:r>
                </w:p>
              </w:tc>
              <w:tc>
                <w:tcPr>
                  <w:tcW w:w="1701" w:type="dxa"/>
                  <w:tcBorders>
                    <w:bottom w:val="single" w:sz="6" w:space="0" w:color="BFBFBF"/>
                  </w:tcBorders>
                </w:tcPr>
                <w:p w:rsidR="007544CA" w:rsidRDefault="007544CA" w:rsidP="00133508">
                  <w:pPr>
                    <w:pStyle w:val="TableBodyText"/>
                    <w:ind w:right="28"/>
                    <w:jc w:val="left"/>
                  </w:pPr>
                </w:p>
              </w:tc>
              <w:tc>
                <w:tcPr>
                  <w:tcW w:w="4961" w:type="dxa"/>
                  <w:tcBorders>
                    <w:bottom w:val="single" w:sz="6" w:space="0" w:color="BFBFBF"/>
                  </w:tcBorders>
                  <w:shd w:val="clear" w:color="auto" w:fill="auto"/>
                </w:tcPr>
                <w:p w:rsidR="007544CA" w:rsidRDefault="007544CA" w:rsidP="00133508">
                  <w:pPr>
                    <w:pStyle w:val="TableBodyText"/>
                    <w:ind w:right="28"/>
                    <w:jc w:val="left"/>
                  </w:pPr>
                  <w:r>
                    <w:t>Earmarked for the Browse Floating LNG project operated by Woodside. WA Government has made similar decision in regard to the two State retention leases</w:t>
                  </w:r>
                </w:p>
              </w:tc>
              <w:tc>
                <w:tcPr>
                  <w:tcW w:w="3827" w:type="dxa"/>
                  <w:tcBorders>
                    <w:bottom w:val="single" w:sz="6" w:space="0" w:color="BFBFBF"/>
                  </w:tcBorders>
                  <w:shd w:val="clear" w:color="auto" w:fill="auto"/>
                </w:tcPr>
                <w:p w:rsidR="007544CA" w:rsidRDefault="007544CA" w:rsidP="00133508">
                  <w:pPr>
                    <w:pStyle w:val="TableBodyText"/>
                    <w:ind w:right="28"/>
                    <w:jc w:val="left"/>
                  </w:pPr>
                  <w:r>
                    <w:t>Preferential access - resources</w:t>
                  </w:r>
                </w:p>
              </w:tc>
            </w:tr>
          </w:tbl>
          <w:p w:rsidR="007544CA" w:rsidRDefault="007544CA" w:rsidP="00133508">
            <w:pPr>
              <w:pStyle w:val="Box"/>
            </w:pPr>
          </w:p>
        </w:tc>
      </w:tr>
      <w:tr w:rsidR="007544CA" w:rsidTr="00133508">
        <w:trPr>
          <w:cantSplit/>
        </w:trPr>
        <w:tc>
          <w:tcPr>
            <w:tcW w:w="5000" w:type="pct"/>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5000" w:type="pct"/>
            <w:tcBorders>
              <w:top w:val="single" w:sz="6" w:space="0" w:color="78A22F"/>
              <w:left w:val="nil"/>
              <w:bottom w:val="nil"/>
              <w:right w:val="nil"/>
            </w:tcBorders>
          </w:tcPr>
          <w:p w:rsidR="007544CA" w:rsidRPr="00626D32" w:rsidRDefault="007544CA" w:rsidP="00133508">
            <w:pPr>
              <w:pStyle w:val="BoxSpaceBelow"/>
            </w:pPr>
          </w:p>
        </w:tc>
      </w:tr>
    </w:tbl>
    <w:p w:rsidR="007544CA" w:rsidRPr="00347A81" w:rsidRDefault="007544CA">
      <w:pPr>
        <w:pStyle w:val="BodyText"/>
        <w:rPr>
          <w:b/>
        </w:rPr>
      </w:pPr>
    </w:p>
    <w:p w:rsidR="007544CA" w:rsidRDefault="007544CA">
      <w:pPr>
        <w:rPr>
          <w:szCs w:val="20"/>
        </w:rPr>
      </w:pPr>
      <w:r>
        <w:br w:type="page"/>
      </w:r>
    </w:p>
    <w:p w:rsidR="007544CA" w:rsidRDefault="007544CA" w:rsidP="00133508">
      <w:pPr>
        <w:pStyle w:val="BoxSpaceAbove"/>
      </w:pPr>
    </w:p>
    <w:tbl>
      <w:tblPr>
        <w:tblW w:w="5000" w:type="pct"/>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13892"/>
      </w:tblGrid>
      <w:tr w:rsidR="007544CA" w:rsidTr="00133508">
        <w:tc>
          <w:tcPr>
            <w:tcW w:w="5000" w:type="pct"/>
            <w:tcBorders>
              <w:top w:val="single" w:sz="6" w:space="0" w:color="78A22F"/>
              <w:left w:val="nil"/>
              <w:bottom w:val="nil"/>
              <w:right w:val="nil"/>
            </w:tcBorders>
            <w:shd w:val="clear" w:color="auto" w:fill="auto"/>
          </w:tcPr>
          <w:p w:rsidR="007544CA" w:rsidRDefault="007544CA" w:rsidP="00133508">
            <w:pPr>
              <w:pStyle w:val="TableTitle"/>
            </w:pPr>
            <w:r>
              <w:rPr>
                <w:b w:val="0"/>
              </w:rPr>
              <w:t xml:space="preserve">Table </w:t>
            </w:r>
            <w:r>
              <w:rPr>
                <w:b w:val="0"/>
              </w:rPr>
              <w:fldChar w:fldCharType="begin" w:fldLock="1"/>
            </w:r>
            <w:r>
              <w:rPr>
                <w:b w:val="0"/>
              </w:rPr>
              <w:instrText xml:space="preserve"> COMMENTS  \* MERGEFORMAT </w:instrText>
            </w:r>
            <w:r>
              <w:rPr>
                <w:b w:val="0"/>
              </w:rPr>
              <w:fldChar w:fldCharType="separate"/>
            </w:r>
            <w:proofErr w:type="spellStart"/>
            <w:r>
              <w:rPr>
                <w:b w:val="0"/>
              </w:rPr>
              <w:t>B.</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3</w:t>
            </w:r>
            <w:proofErr w:type="spellEnd"/>
            <w:r>
              <w:rPr>
                <w:b w:val="0"/>
              </w:rPr>
              <w:fldChar w:fldCharType="end"/>
            </w:r>
            <w:r>
              <w:tab/>
              <w:t>Foreign Affairs, Trade and Tourism portfolio</w:t>
            </w:r>
          </w:p>
          <w:p w:rsidR="007544CA" w:rsidRPr="00784A05" w:rsidRDefault="007544CA" w:rsidP="00133508">
            <w:pPr>
              <w:pStyle w:val="Subtitle"/>
            </w:pPr>
            <w:r>
              <w:t>Selected r</w:t>
            </w:r>
            <w:r w:rsidRPr="00FE1299">
              <w:t>ecent developments</w:t>
            </w:r>
          </w:p>
        </w:tc>
      </w:tr>
      <w:tr w:rsidR="007544CA" w:rsidTr="00133508">
        <w:trPr>
          <w:cantSplit/>
        </w:trPr>
        <w:tc>
          <w:tcPr>
            <w:tcW w:w="5000" w:type="pct"/>
            <w:tcBorders>
              <w:top w:val="nil"/>
              <w:left w:val="nil"/>
              <w:bottom w:val="nil"/>
              <w:right w:val="nil"/>
            </w:tcBorders>
            <w:shd w:val="clear" w:color="auto" w:fill="auto"/>
          </w:tcPr>
          <w:tbl>
            <w:tblPr>
              <w:tblW w:w="0" w:type="auto"/>
              <w:tblLayout w:type="fixed"/>
              <w:tblCellMar>
                <w:top w:w="28" w:type="dxa"/>
                <w:left w:w="0" w:type="dxa"/>
                <w:right w:w="0" w:type="dxa"/>
              </w:tblCellMar>
              <w:tblLook w:val="0000" w:firstRow="0" w:lastRow="0" w:firstColumn="0" w:lastColumn="0" w:noHBand="0" w:noVBand="0"/>
            </w:tblPr>
            <w:tblGrid>
              <w:gridCol w:w="3118"/>
              <w:gridCol w:w="1701"/>
              <w:gridCol w:w="4961"/>
              <w:gridCol w:w="3827"/>
              <w:gridCol w:w="567"/>
            </w:tblGrid>
            <w:tr w:rsidR="007544CA" w:rsidTr="00133508">
              <w:trPr>
                <w:gridAfter w:val="1"/>
                <w:wAfter w:w="567" w:type="dxa"/>
              </w:trPr>
              <w:tc>
                <w:tcPr>
                  <w:tcW w:w="3118"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r>
                    <w:t>Measure</w:t>
                  </w:r>
                </w:p>
              </w:tc>
              <w:tc>
                <w:tcPr>
                  <w:tcW w:w="1701" w:type="dxa"/>
                  <w:tcBorders>
                    <w:top w:val="single" w:sz="6" w:space="0" w:color="BFBFBF"/>
                    <w:bottom w:val="single" w:sz="6" w:space="0" w:color="BFBFBF"/>
                  </w:tcBorders>
                </w:tcPr>
                <w:p w:rsidR="007544CA" w:rsidRDefault="007544CA" w:rsidP="00133508">
                  <w:pPr>
                    <w:pStyle w:val="TableColumnHeading"/>
                    <w:ind w:right="28"/>
                    <w:jc w:val="left"/>
                  </w:pPr>
                  <w:r>
                    <w:t>Government indicative costing</w:t>
                  </w:r>
                </w:p>
              </w:tc>
              <w:tc>
                <w:tcPr>
                  <w:tcW w:w="4961"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jc w:val="left"/>
                  </w:pPr>
                  <w:r>
                    <w:t>Nature and recipient</w:t>
                  </w:r>
                </w:p>
              </w:tc>
              <w:tc>
                <w:tcPr>
                  <w:tcW w:w="3827"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jc w:val="left"/>
                  </w:pPr>
                  <w:r>
                    <w:t>Assistance considerations</w:t>
                  </w:r>
                </w:p>
              </w:tc>
            </w:tr>
            <w:tr w:rsidR="007544CA" w:rsidTr="00133508">
              <w:tc>
                <w:tcPr>
                  <w:tcW w:w="3827" w:type="dxa"/>
                  <w:gridSpan w:val="3"/>
                  <w:tcBorders>
                    <w:top w:val="single" w:sz="6" w:space="0" w:color="BFBFBF"/>
                  </w:tcBorders>
                </w:tcPr>
                <w:p w:rsidR="007544CA" w:rsidRDefault="007544CA" w:rsidP="00F74259">
                  <w:pPr>
                    <w:pStyle w:val="TableBodyText"/>
                    <w:spacing w:before="80" w:after="80"/>
                    <w:ind w:right="28"/>
                    <w:jc w:val="left"/>
                  </w:pPr>
                  <w:r w:rsidRPr="00CF10D3">
                    <w:rPr>
                      <w:b/>
                    </w:rPr>
                    <w:t>Considered to provide direct or indirect industry assistance</w:t>
                  </w:r>
                </w:p>
              </w:tc>
              <w:tc>
                <w:tcPr>
                  <w:tcW w:w="3827" w:type="dxa"/>
                  <w:gridSpan w:val="2"/>
                  <w:tcBorders>
                    <w:top w:val="single" w:sz="6" w:space="0" w:color="BFBFBF"/>
                  </w:tcBorders>
                </w:tcPr>
                <w:p w:rsidR="007544CA" w:rsidRDefault="007544CA" w:rsidP="00133508">
                  <w:pPr>
                    <w:pStyle w:val="TableBodyText"/>
                    <w:ind w:right="28"/>
                    <w:jc w:val="left"/>
                  </w:pPr>
                </w:p>
              </w:tc>
            </w:tr>
            <w:tr w:rsidR="007544CA" w:rsidTr="00E62C1D">
              <w:trPr>
                <w:gridAfter w:val="1"/>
                <w:wAfter w:w="567" w:type="dxa"/>
              </w:trPr>
              <w:tc>
                <w:tcPr>
                  <w:tcW w:w="3118" w:type="dxa"/>
                </w:tcPr>
                <w:p w:rsidR="007544CA" w:rsidRDefault="007544CA" w:rsidP="00133508">
                  <w:pPr>
                    <w:pStyle w:val="TableUnitsRow"/>
                    <w:jc w:val="left"/>
                  </w:pPr>
                  <w:r>
                    <w:t>Review recommended increase in Export Market Development Grants</w:t>
                  </w:r>
                </w:p>
              </w:tc>
              <w:tc>
                <w:tcPr>
                  <w:tcW w:w="1701" w:type="dxa"/>
                </w:tcPr>
                <w:p w:rsidR="007544CA" w:rsidRDefault="007544CA" w:rsidP="00133508">
                  <w:pPr>
                    <w:pStyle w:val="TableUnitsRow"/>
                    <w:jc w:val="left"/>
                  </w:pPr>
                  <w:r>
                    <w:t>Incremental $</w:t>
                  </w:r>
                  <w:proofErr w:type="spellStart"/>
                  <w:r>
                    <w:t>12.4m</w:t>
                  </w:r>
                  <w:proofErr w:type="spellEnd"/>
                  <w:r>
                    <w:t xml:space="preserve"> annually for each of next three years</w:t>
                  </w:r>
                </w:p>
              </w:tc>
              <w:tc>
                <w:tcPr>
                  <w:tcW w:w="4961" w:type="dxa"/>
                </w:tcPr>
                <w:p w:rsidR="007544CA" w:rsidRDefault="007544CA" w:rsidP="00133508">
                  <w:pPr>
                    <w:pStyle w:val="TableUnitsRow"/>
                    <w:jc w:val="left"/>
                  </w:pPr>
                  <w:r>
                    <w:t>Partial reimbursement of export promotion expenses</w:t>
                  </w:r>
                  <w:r>
                    <w:br/>
                    <w:t>Existing grants were around $</w:t>
                  </w:r>
                  <w:proofErr w:type="spellStart"/>
                  <w:r>
                    <w:t>140m</w:t>
                  </w:r>
                  <w:proofErr w:type="spellEnd"/>
                  <w:r>
                    <w:t xml:space="preserve"> in 2014</w:t>
                  </w:r>
                  <w:r>
                    <w:noBreakHyphen/>
                    <w:t>15.</w:t>
                  </w:r>
                  <w:r>
                    <w:br/>
                    <w:t>Recommends $</w:t>
                  </w:r>
                  <w:proofErr w:type="spellStart"/>
                  <w:r>
                    <w:t>175m</w:t>
                  </w:r>
                  <w:proofErr w:type="spellEnd"/>
                  <w:r>
                    <w:t xml:space="preserve"> for 2018</w:t>
                  </w:r>
                  <w:r>
                    <w:noBreakHyphen/>
                    <w:t xml:space="preserve">19 </w:t>
                  </w:r>
                </w:p>
              </w:tc>
              <w:tc>
                <w:tcPr>
                  <w:tcW w:w="3827" w:type="dxa"/>
                </w:tcPr>
                <w:p w:rsidR="007544CA" w:rsidRDefault="007544CA" w:rsidP="00133508">
                  <w:pPr>
                    <w:pStyle w:val="TableUnitsRow"/>
                    <w:ind w:right="28"/>
                    <w:jc w:val="left"/>
                  </w:pPr>
                  <w:r>
                    <w:t>Direct financial - grant</w:t>
                  </w:r>
                  <w:r>
                    <w:br/>
                    <w:t>Export – all industries</w:t>
                  </w:r>
                  <w:r>
                    <w:br/>
                    <w:t>Demand driven. Capped program may require pro-rata assistance</w:t>
                  </w:r>
                </w:p>
              </w:tc>
            </w:tr>
            <w:tr w:rsidR="007544CA" w:rsidTr="00133508">
              <w:trPr>
                <w:gridAfter w:val="1"/>
                <w:wAfter w:w="567" w:type="dxa"/>
              </w:trPr>
              <w:tc>
                <w:tcPr>
                  <w:tcW w:w="3118" w:type="dxa"/>
                </w:tcPr>
                <w:p w:rsidR="007544CA" w:rsidRDefault="007544CA" w:rsidP="00133508">
                  <w:pPr>
                    <w:pStyle w:val="TableBodyText"/>
                    <w:jc w:val="left"/>
                  </w:pPr>
                  <w:r>
                    <w:t>First round of The Free Trade Agreement Training Provider Grants</w:t>
                  </w:r>
                </w:p>
              </w:tc>
              <w:tc>
                <w:tcPr>
                  <w:tcW w:w="1701" w:type="dxa"/>
                </w:tcPr>
                <w:p w:rsidR="007544CA" w:rsidRDefault="007544CA" w:rsidP="00133508">
                  <w:pPr>
                    <w:pStyle w:val="TableBodyText"/>
                    <w:jc w:val="left"/>
                  </w:pPr>
                  <w:r>
                    <w:t>$2.45 million over two years</w:t>
                  </w:r>
                </w:p>
              </w:tc>
              <w:tc>
                <w:tcPr>
                  <w:tcW w:w="4961" w:type="dxa"/>
                </w:tcPr>
                <w:p w:rsidR="007544CA" w:rsidRDefault="007544CA" w:rsidP="00133508">
                  <w:pPr>
                    <w:pStyle w:val="TableBodyText"/>
                    <w:jc w:val="left"/>
                  </w:pPr>
                  <w:r w:rsidRPr="007E3495">
                    <w:t xml:space="preserve">Grants to </w:t>
                  </w:r>
                  <w:r>
                    <w:t xml:space="preserve">SME to better understand exporting and how to take advantage of recent trade agreements (with Korea, Japan and China). </w:t>
                  </w:r>
                  <w:r>
                    <w:br/>
                    <w:t>Eligible applicants were offered between $20 000 and $1.372 million. (Second Round will be between $20 000 and $773 000)</w:t>
                  </w:r>
                </w:p>
              </w:tc>
              <w:tc>
                <w:tcPr>
                  <w:tcW w:w="3827" w:type="dxa"/>
                </w:tcPr>
                <w:p w:rsidR="007544CA" w:rsidRDefault="007544CA" w:rsidP="00133508">
                  <w:pPr>
                    <w:pStyle w:val="TableBodyText"/>
                    <w:ind w:right="28"/>
                    <w:jc w:val="left"/>
                  </w:pPr>
                  <w:r>
                    <w:t>Direct financial - grant</w:t>
                  </w:r>
                  <w:r>
                    <w:br/>
                    <w:t>Export and small business – all industries</w:t>
                  </w:r>
                  <w:r>
                    <w:br/>
                    <w:t>Competitive selection</w:t>
                  </w:r>
                </w:p>
              </w:tc>
            </w:tr>
            <w:tr w:rsidR="007544CA" w:rsidTr="00133508">
              <w:trPr>
                <w:gridAfter w:val="1"/>
                <w:wAfter w:w="567" w:type="dxa"/>
              </w:trPr>
              <w:tc>
                <w:tcPr>
                  <w:tcW w:w="3118" w:type="dxa"/>
                  <w:shd w:val="clear" w:color="auto" w:fill="auto"/>
                </w:tcPr>
                <w:p w:rsidR="007544CA" w:rsidRDefault="007544CA" w:rsidP="00133508">
                  <w:pPr>
                    <w:pStyle w:val="TableBodyText"/>
                    <w:jc w:val="left"/>
                  </w:pPr>
                  <w:r>
                    <w:t>Tourism Demand Driven Infrastructure (</w:t>
                  </w:r>
                  <w:proofErr w:type="spellStart"/>
                  <w:r>
                    <w:t>TDDI</w:t>
                  </w:r>
                  <w:proofErr w:type="spellEnd"/>
                  <w:r>
                    <w:t xml:space="preserve">) </w:t>
                  </w:r>
                  <w:proofErr w:type="spellStart"/>
                  <w:r>
                    <w:t>programme</w:t>
                  </w:r>
                  <w:proofErr w:type="spellEnd"/>
                </w:p>
              </w:tc>
              <w:tc>
                <w:tcPr>
                  <w:tcW w:w="1701" w:type="dxa"/>
                </w:tcPr>
                <w:p w:rsidR="007544CA" w:rsidRDefault="007544CA" w:rsidP="00133508">
                  <w:pPr>
                    <w:pStyle w:val="TableBodyText"/>
                    <w:jc w:val="left"/>
                  </w:pPr>
                  <w:r>
                    <w:t>$43.1 million over four years</w:t>
                  </w:r>
                </w:p>
              </w:tc>
              <w:tc>
                <w:tcPr>
                  <w:tcW w:w="4961" w:type="dxa"/>
                  <w:shd w:val="clear" w:color="auto" w:fill="auto"/>
                </w:tcPr>
                <w:p w:rsidR="007544CA" w:rsidRDefault="007544CA" w:rsidP="00133508">
                  <w:pPr>
                    <w:pStyle w:val="TableBodyText"/>
                    <w:jc w:val="left"/>
                  </w:pPr>
                  <w:r>
                    <w:t>Each State and Territory was/is responsible for applications and selection in its jurisdiction. Funding was open to tourism businesses as well as public projects and generally involved a competitive grants process awarded on a matched funding basis.</w:t>
                  </w:r>
                </w:p>
              </w:tc>
              <w:tc>
                <w:tcPr>
                  <w:tcW w:w="3827" w:type="dxa"/>
                  <w:shd w:val="clear" w:color="auto" w:fill="auto"/>
                </w:tcPr>
                <w:p w:rsidR="007544CA" w:rsidRDefault="007544CA" w:rsidP="00133508">
                  <w:pPr>
                    <w:pStyle w:val="TableBodyText"/>
                    <w:ind w:right="28"/>
                    <w:jc w:val="left"/>
                  </w:pPr>
                  <w:r>
                    <w:t>Direct financial - grants</w:t>
                  </w:r>
                  <w:r>
                    <w:br/>
                    <w:t>Sectoral assistance - tourism</w:t>
                  </w:r>
                  <w:r>
                    <w:br/>
                    <w:t>Competitive selection</w:t>
                  </w:r>
                </w:p>
              </w:tc>
            </w:tr>
            <w:tr w:rsidR="007544CA" w:rsidTr="00133508">
              <w:tc>
                <w:tcPr>
                  <w:tcW w:w="3827" w:type="dxa"/>
                  <w:gridSpan w:val="3"/>
                  <w:shd w:val="clear" w:color="auto" w:fill="auto"/>
                </w:tcPr>
                <w:p w:rsidR="007544CA" w:rsidRDefault="007544CA" w:rsidP="00133508">
                  <w:pPr>
                    <w:pStyle w:val="TableBodyText"/>
                    <w:ind w:right="28"/>
                    <w:jc w:val="left"/>
                  </w:pPr>
                  <w:r w:rsidRPr="00607C03">
                    <w:rPr>
                      <w:b/>
                    </w:rPr>
                    <w:t>Not</w:t>
                  </w:r>
                  <w:r w:rsidR="00BF46F9">
                    <w:rPr>
                      <w:b/>
                    </w:rPr>
                    <w:t xml:space="preserve"> likely to be</w:t>
                  </w:r>
                  <w:r w:rsidRPr="00607C03">
                    <w:rPr>
                      <w:b/>
                    </w:rPr>
                    <w:t xml:space="preserve"> included in industry assistance</w:t>
                  </w:r>
                </w:p>
              </w:tc>
              <w:tc>
                <w:tcPr>
                  <w:tcW w:w="3827" w:type="dxa"/>
                  <w:gridSpan w:val="2"/>
                  <w:shd w:val="clear" w:color="auto" w:fill="auto"/>
                </w:tcPr>
                <w:p w:rsidR="007544CA" w:rsidRDefault="007544CA" w:rsidP="00133508">
                  <w:pPr>
                    <w:pStyle w:val="TableBodyText"/>
                    <w:ind w:right="28"/>
                    <w:jc w:val="left"/>
                  </w:pPr>
                </w:p>
              </w:tc>
            </w:tr>
            <w:tr w:rsidR="007544CA" w:rsidTr="00133508">
              <w:trPr>
                <w:gridAfter w:val="1"/>
                <w:wAfter w:w="567" w:type="dxa"/>
              </w:trPr>
              <w:tc>
                <w:tcPr>
                  <w:tcW w:w="3118" w:type="dxa"/>
                  <w:tcBorders>
                    <w:bottom w:val="single" w:sz="6" w:space="0" w:color="BFBFBF"/>
                  </w:tcBorders>
                  <w:shd w:val="clear" w:color="auto" w:fill="auto"/>
                </w:tcPr>
                <w:p w:rsidR="007544CA" w:rsidRDefault="007544CA" w:rsidP="00133508">
                  <w:pPr>
                    <w:pStyle w:val="TableBodyText"/>
                    <w:jc w:val="left"/>
                  </w:pPr>
                  <w:r>
                    <w:t>Further reorientation of Export Finance and Insurance Corporation towards support for SMEs</w:t>
                  </w:r>
                </w:p>
              </w:tc>
              <w:tc>
                <w:tcPr>
                  <w:tcW w:w="1701" w:type="dxa"/>
                  <w:tcBorders>
                    <w:bottom w:val="single" w:sz="6" w:space="0" w:color="BFBFBF"/>
                  </w:tcBorders>
                </w:tcPr>
                <w:p w:rsidR="007544CA" w:rsidRDefault="007544CA" w:rsidP="00133508">
                  <w:pPr>
                    <w:pStyle w:val="TableBodyText"/>
                    <w:jc w:val="left"/>
                  </w:pPr>
                </w:p>
              </w:tc>
              <w:tc>
                <w:tcPr>
                  <w:tcW w:w="4961" w:type="dxa"/>
                  <w:tcBorders>
                    <w:bottom w:val="single" w:sz="6" w:space="0" w:color="BFBFBF"/>
                  </w:tcBorders>
                  <w:shd w:val="clear" w:color="auto" w:fill="auto"/>
                </w:tcPr>
                <w:p w:rsidR="007544CA" w:rsidRDefault="007544CA" w:rsidP="00133508">
                  <w:pPr>
                    <w:pStyle w:val="TableBodyText"/>
                    <w:jc w:val="left"/>
                  </w:pPr>
                  <w:r>
                    <w:t>Establishment of The Small Business Export Loan facility.</w:t>
                  </w:r>
                  <w:r>
                    <w:br/>
                    <w:t xml:space="preserve">Permitting direct lending for consumable goods, not just capital goods. </w:t>
                  </w:r>
                </w:p>
              </w:tc>
              <w:tc>
                <w:tcPr>
                  <w:tcW w:w="3827" w:type="dxa"/>
                  <w:tcBorders>
                    <w:bottom w:val="single" w:sz="6" w:space="0" w:color="BFBFBF"/>
                  </w:tcBorders>
                  <w:shd w:val="clear" w:color="auto" w:fill="auto"/>
                </w:tcPr>
                <w:p w:rsidR="007544CA" w:rsidRDefault="007544CA" w:rsidP="00133508">
                  <w:pPr>
                    <w:pStyle w:val="TableBodyText"/>
                    <w:ind w:right="28"/>
                    <w:jc w:val="left"/>
                  </w:pPr>
                  <w:r>
                    <w:t>Direct financial – concessional loan</w:t>
                  </w:r>
                  <w:r>
                    <w:br/>
                    <w:t>All exporting SMEs</w:t>
                  </w:r>
                  <w:r>
                    <w:br/>
                    <w:t>Selective by application</w:t>
                  </w:r>
                  <w:r>
                    <w:br/>
                    <w:t>Not included in industry assistance as subsidy difficult to quantify. See . discussion and exploratory estimates (PC 2009)</w:t>
                  </w:r>
                </w:p>
              </w:tc>
            </w:tr>
          </w:tbl>
          <w:p w:rsidR="007544CA" w:rsidRDefault="007544CA" w:rsidP="00133508">
            <w:pPr>
              <w:pStyle w:val="Box"/>
            </w:pPr>
          </w:p>
        </w:tc>
      </w:tr>
      <w:tr w:rsidR="007544CA" w:rsidTr="00133508">
        <w:trPr>
          <w:cantSplit/>
        </w:trPr>
        <w:tc>
          <w:tcPr>
            <w:tcW w:w="5000" w:type="pct"/>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5000" w:type="pct"/>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pStyle w:val="BodyText"/>
        <w:rPr>
          <w:b/>
        </w:rPr>
      </w:pPr>
    </w:p>
    <w:p w:rsidR="007544CA" w:rsidRDefault="007544CA" w:rsidP="00133508">
      <w:pPr>
        <w:pStyle w:val="BoxSpaceAbove"/>
      </w:pPr>
    </w:p>
    <w:tbl>
      <w:tblPr>
        <w:tblW w:w="5000" w:type="pct"/>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13892"/>
      </w:tblGrid>
      <w:tr w:rsidR="007544CA" w:rsidTr="00133508">
        <w:tc>
          <w:tcPr>
            <w:tcW w:w="5000" w:type="pct"/>
            <w:tcBorders>
              <w:top w:val="single" w:sz="6" w:space="0" w:color="78A22F"/>
              <w:left w:val="nil"/>
              <w:bottom w:val="nil"/>
              <w:right w:val="nil"/>
            </w:tcBorders>
            <w:shd w:val="clear" w:color="auto" w:fill="auto"/>
          </w:tcPr>
          <w:p w:rsidR="007544CA" w:rsidRDefault="007544CA" w:rsidP="00133508">
            <w:pPr>
              <w:pStyle w:val="TableTitle"/>
            </w:pPr>
            <w:r>
              <w:rPr>
                <w:b w:val="0"/>
              </w:rPr>
              <w:t xml:space="preserve">Table </w:t>
            </w:r>
            <w:r>
              <w:rPr>
                <w:b w:val="0"/>
              </w:rPr>
              <w:fldChar w:fldCharType="begin" w:fldLock="1"/>
            </w:r>
            <w:r>
              <w:rPr>
                <w:b w:val="0"/>
              </w:rPr>
              <w:instrText xml:space="preserve"> COMMENTS  \* MERGEFORMAT </w:instrText>
            </w:r>
            <w:r>
              <w:rPr>
                <w:b w:val="0"/>
              </w:rPr>
              <w:fldChar w:fldCharType="separate"/>
            </w:r>
            <w:proofErr w:type="spellStart"/>
            <w:r>
              <w:rPr>
                <w:b w:val="0"/>
              </w:rPr>
              <w:t>B.</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4</w:t>
            </w:r>
            <w:proofErr w:type="spellEnd"/>
            <w:r>
              <w:rPr>
                <w:b w:val="0"/>
              </w:rPr>
              <w:fldChar w:fldCharType="end"/>
            </w:r>
            <w:r>
              <w:tab/>
              <w:t>Environment portfolio</w:t>
            </w:r>
          </w:p>
          <w:p w:rsidR="007544CA" w:rsidRPr="00784A05" w:rsidRDefault="007544CA" w:rsidP="00133508">
            <w:pPr>
              <w:pStyle w:val="Subtitle"/>
            </w:pPr>
            <w:r>
              <w:t>Selected r</w:t>
            </w:r>
            <w:r w:rsidRPr="00FE1299">
              <w:t>ecent developments</w:t>
            </w:r>
          </w:p>
        </w:tc>
      </w:tr>
      <w:tr w:rsidR="007544CA" w:rsidTr="00133508">
        <w:trPr>
          <w:cantSplit/>
        </w:trPr>
        <w:tc>
          <w:tcPr>
            <w:tcW w:w="5000" w:type="pct"/>
            <w:tcBorders>
              <w:top w:val="nil"/>
              <w:left w:val="nil"/>
              <w:bottom w:val="nil"/>
              <w:right w:val="nil"/>
            </w:tcBorders>
            <w:shd w:val="clear" w:color="auto" w:fill="auto"/>
          </w:tcPr>
          <w:tbl>
            <w:tblPr>
              <w:tblW w:w="0" w:type="auto"/>
              <w:tblLayout w:type="fixed"/>
              <w:tblCellMar>
                <w:top w:w="28" w:type="dxa"/>
                <w:left w:w="0" w:type="dxa"/>
                <w:right w:w="0" w:type="dxa"/>
              </w:tblCellMar>
              <w:tblLook w:val="0000" w:firstRow="0" w:lastRow="0" w:firstColumn="0" w:lastColumn="0" w:noHBand="0" w:noVBand="0"/>
            </w:tblPr>
            <w:tblGrid>
              <w:gridCol w:w="3118"/>
              <w:gridCol w:w="1701"/>
              <w:gridCol w:w="4961"/>
              <w:gridCol w:w="3827"/>
            </w:tblGrid>
            <w:tr w:rsidR="007544CA" w:rsidTr="00133508">
              <w:tc>
                <w:tcPr>
                  <w:tcW w:w="3118"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r>
                    <w:t>Measure</w:t>
                  </w:r>
                </w:p>
              </w:tc>
              <w:tc>
                <w:tcPr>
                  <w:tcW w:w="1701" w:type="dxa"/>
                  <w:tcBorders>
                    <w:top w:val="single" w:sz="6" w:space="0" w:color="BFBFBF"/>
                    <w:bottom w:val="single" w:sz="6" w:space="0" w:color="BFBFBF"/>
                  </w:tcBorders>
                </w:tcPr>
                <w:p w:rsidR="007544CA" w:rsidRDefault="007544CA" w:rsidP="00133508">
                  <w:pPr>
                    <w:pStyle w:val="TableColumnHeading"/>
                    <w:ind w:right="28"/>
                    <w:jc w:val="left"/>
                  </w:pPr>
                  <w:r>
                    <w:t>Government indicative costing</w:t>
                  </w:r>
                </w:p>
              </w:tc>
              <w:tc>
                <w:tcPr>
                  <w:tcW w:w="4961"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jc w:val="left"/>
                  </w:pPr>
                  <w:r>
                    <w:t>Nature and recipient</w:t>
                  </w:r>
                </w:p>
              </w:tc>
              <w:tc>
                <w:tcPr>
                  <w:tcW w:w="3827"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jc w:val="left"/>
                  </w:pPr>
                  <w:r>
                    <w:t>Assistance considerations</w:t>
                  </w:r>
                </w:p>
              </w:tc>
            </w:tr>
            <w:tr w:rsidR="007544CA" w:rsidTr="00E62C1D">
              <w:tc>
                <w:tcPr>
                  <w:tcW w:w="4961" w:type="dxa"/>
                  <w:gridSpan w:val="3"/>
                  <w:tcBorders>
                    <w:top w:val="single" w:sz="6" w:space="0" w:color="BFBFBF"/>
                  </w:tcBorders>
                </w:tcPr>
                <w:p w:rsidR="007544CA" w:rsidRDefault="00BF46F9" w:rsidP="00BF46F9">
                  <w:pPr>
                    <w:pStyle w:val="TableBodyText"/>
                    <w:spacing w:before="80" w:after="80"/>
                    <w:ind w:right="28"/>
                    <w:jc w:val="left"/>
                  </w:pPr>
                  <w:r>
                    <w:rPr>
                      <w:b/>
                    </w:rPr>
                    <w:t xml:space="preserve">Likely to be included in </w:t>
                  </w:r>
                  <w:r w:rsidR="007544CA" w:rsidRPr="00DF6DBD">
                    <w:rPr>
                      <w:b/>
                    </w:rPr>
                    <w:t xml:space="preserve">Industry </w:t>
                  </w:r>
                  <w:r>
                    <w:rPr>
                      <w:b/>
                    </w:rPr>
                    <w:t>estimates</w:t>
                  </w:r>
                </w:p>
              </w:tc>
              <w:tc>
                <w:tcPr>
                  <w:tcW w:w="3827" w:type="dxa"/>
                  <w:tcBorders>
                    <w:top w:val="single" w:sz="6" w:space="0" w:color="BFBFBF"/>
                  </w:tcBorders>
                </w:tcPr>
                <w:p w:rsidR="007544CA" w:rsidRDefault="007544CA" w:rsidP="00133508">
                  <w:pPr>
                    <w:pStyle w:val="TableBodyText"/>
                    <w:ind w:right="28"/>
                    <w:jc w:val="left"/>
                  </w:pPr>
                </w:p>
              </w:tc>
            </w:tr>
            <w:tr w:rsidR="007544CA" w:rsidTr="00E62C1D">
              <w:tc>
                <w:tcPr>
                  <w:tcW w:w="3118" w:type="dxa"/>
                </w:tcPr>
                <w:p w:rsidR="007544CA" w:rsidRPr="0097574C" w:rsidRDefault="007544CA" w:rsidP="00133508">
                  <w:pPr>
                    <w:pStyle w:val="TableBodyText"/>
                    <w:tabs>
                      <w:tab w:val="left" w:pos="1440"/>
                      <w:tab w:val="left" w:pos="5347"/>
                    </w:tabs>
                    <w:spacing w:before="120"/>
                    <w:jc w:val="left"/>
                  </w:pPr>
                  <w:r>
                    <w:t>C</w:t>
                  </w:r>
                  <w:r w:rsidRPr="0097574C">
                    <w:t xml:space="preserve">ompetitive tender for Burdekin cane farmers to reduce </w:t>
                  </w:r>
                  <w:r>
                    <w:t xml:space="preserve">nitrogen </w:t>
                  </w:r>
                  <w:r w:rsidRPr="0097574C">
                    <w:t>runoff.</w:t>
                  </w:r>
                </w:p>
              </w:tc>
              <w:tc>
                <w:tcPr>
                  <w:tcW w:w="1701" w:type="dxa"/>
                </w:tcPr>
                <w:p w:rsidR="007544CA" w:rsidRPr="0097574C" w:rsidRDefault="007544CA" w:rsidP="00133508">
                  <w:pPr>
                    <w:pStyle w:val="TableBodyText"/>
                    <w:tabs>
                      <w:tab w:val="left" w:pos="1440"/>
                      <w:tab w:val="left" w:pos="5347"/>
                    </w:tabs>
                    <w:spacing w:before="120"/>
                    <w:jc w:val="left"/>
                  </w:pPr>
                  <w:r w:rsidRPr="0097574C">
                    <w:t>$</w:t>
                  </w:r>
                  <w:proofErr w:type="spellStart"/>
                  <w:r w:rsidRPr="0097574C">
                    <w:t>2.</w:t>
                  </w:r>
                  <w:r>
                    <w:t>8</w:t>
                  </w:r>
                  <w:r w:rsidRPr="0097574C">
                    <w:t>m</w:t>
                  </w:r>
                  <w:proofErr w:type="spellEnd"/>
                </w:p>
              </w:tc>
              <w:tc>
                <w:tcPr>
                  <w:tcW w:w="4961" w:type="dxa"/>
                </w:tcPr>
                <w:p w:rsidR="007544CA" w:rsidRPr="0097574C" w:rsidRDefault="007544CA" w:rsidP="00133508">
                  <w:pPr>
                    <w:pStyle w:val="TableBodyText"/>
                    <w:tabs>
                      <w:tab w:val="left" w:pos="1440"/>
                      <w:tab w:val="left" w:pos="5347"/>
                    </w:tabs>
                    <w:spacing w:before="120"/>
                    <w:jc w:val="left"/>
                  </w:pPr>
                  <w:r w:rsidRPr="0097574C">
                    <w:t>Part of $</w:t>
                  </w:r>
                  <w:proofErr w:type="spellStart"/>
                  <w:r w:rsidRPr="0097574C">
                    <w:t>140m</w:t>
                  </w:r>
                  <w:proofErr w:type="spellEnd"/>
                  <w:r w:rsidRPr="0097574C">
                    <w:t xml:space="preserve"> Reef Trust</w:t>
                  </w:r>
                </w:p>
              </w:tc>
              <w:tc>
                <w:tcPr>
                  <w:tcW w:w="3827" w:type="dxa"/>
                </w:tcPr>
                <w:p w:rsidR="007544CA" w:rsidRPr="0097574C" w:rsidRDefault="007544CA" w:rsidP="00133508">
                  <w:pPr>
                    <w:pStyle w:val="TableBodyText"/>
                    <w:tabs>
                      <w:tab w:val="left" w:pos="1440"/>
                      <w:tab w:val="left" w:pos="5347"/>
                    </w:tabs>
                    <w:spacing w:before="120"/>
                    <w:jc w:val="left"/>
                  </w:pPr>
                  <w:r>
                    <w:t>Direct financial - grant</w:t>
                  </w:r>
                  <w:r>
                    <w:br/>
                    <w:t>Industry  specific - sugar</w:t>
                  </w:r>
                  <w:r>
                    <w:br/>
                    <w:t>Competitive selection</w:t>
                  </w:r>
                </w:p>
              </w:tc>
            </w:tr>
            <w:tr w:rsidR="007544CA" w:rsidTr="00133508">
              <w:tc>
                <w:tcPr>
                  <w:tcW w:w="3118" w:type="dxa"/>
                </w:tcPr>
                <w:p w:rsidR="007544CA" w:rsidRDefault="007544CA" w:rsidP="00133508">
                  <w:pPr>
                    <w:pStyle w:val="TableBodyText"/>
                    <w:tabs>
                      <w:tab w:val="left" w:pos="1440"/>
                      <w:tab w:val="left" w:pos="5347"/>
                    </w:tabs>
                    <w:jc w:val="left"/>
                  </w:pPr>
                  <w:r>
                    <w:t>ARENA Advancing Renewables Programme (Large Scale Photovoltaics competitive round)</w:t>
                  </w:r>
                </w:p>
              </w:tc>
              <w:tc>
                <w:tcPr>
                  <w:tcW w:w="1701" w:type="dxa"/>
                </w:tcPr>
                <w:p w:rsidR="007544CA" w:rsidRDefault="007544CA" w:rsidP="00133508">
                  <w:pPr>
                    <w:pStyle w:val="TableBodyText"/>
                    <w:tabs>
                      <w:tab w:val="left" w:pos="1440"/>
                      <w:tab w:val="left" w:pos="5347"/>
                    </w:tabs>
                    <w:jc w:val="left"/>
                  </w:pPr>
                  <w:r>
                    <w:t>$</w:t>
                  </w:r>
                  <w:proofErr w:type="spellStart"/>
                  <w:r>
                    <w:t>100m</w:t>
                  </w:r>
                  <w:proofErr w:type="spellEnd"/>
                </w:p>
              </w:tc>
              <w:tc>
                <w:tcPr>
                  <w:tcW w:w="4961" w:type="dxa"/>
                </w:tcPr>
                <w:p w:rsidR="007544CA" w:rsidRDefault="007544CA" w:rsidP="00133508">
                  <w:pPr>
                    <w:pStyle w:val="TableBodyText"/>
                    <w:tabs>
                      <w:tab w:val="left" w:pos="1440"/>
                      <w:tab w:val="left" w:pos="5347"/>
                    </w:tabs>
                    <w:jc w:val="left"/>
                  </w:pPr>
                  <w:r>
                    <w:t>Co-funding. 22 projects have been invited to apply after expressions of interest round</w:t>
                  </w:r>
                </w:p>
              </w:tc>
              <w:tc>
                <w:tcPr>
                  <w:tcW w:w="3827" w:type="dxa"/>
                </w:tcPr>
                <w:p w:rsidR="007544CA" w:rsidRDefault="007544CA" w:rsidP="00133508">
                  <w:pPr>
                    <w:pStyle w:val="TableBodyText"/>
                    <w:tabs>
                      <w:tab w:val="left" w:pos="1440"/>
                      <w:tab w:val="left" w:pos="5347"/>
                    </w:tabs>
                    <w:jc w:val="left"/>
                  </w:pPr>
                  <w:r>
                    <w:t>Direct financial - grant</w:t>
                  </w:r>
                  <w:r>
                    <w:br/>
                    <w:t>Industry specific - solar</w:t>
                  </w:r>
                  <w:r>
                    <w:br/>
                    <w:t>Competitive selection</w:t>
                  </w:r>
                </w:p>
              </w:tc>
            </w:tr>
            <w:tr w:rsidR="007544CA" w:rsidTr="00133508">
              <w:tc>
                <w:tcPr>
                  <w:tcW w:w="3118" w:type="dxa"/>
                  <w:shd w:val="clear" w:color="auto" w:fill="auto"/>
                </w:tcPr>
                <w:p w:rsidR="007544CA" w:rsidRDefault="007544CA" w:rsidP="00133508">
                  <w:pPr>
                    <w:pStyle w:val="TableBodyText"/>
                    <w:tabs>
                      <w:tab w:val="left" w:pos="1440"/>
                      <w:tab w:val="left" w:pos="5347"/>
                    </w:tabs>
                    <w:jc w:val="left"/>
                  </w:pPr>
                  <w:r>
                    <w:t>ARENA R&amp;D grants Round 2 (April 2016)</w:t>
                  </w:r>
                </w:p>
              </w:tc>
              <w:tc>
                <w:tcPr>
                  <w:tcW w:w="1701" w:type="dxa"/>
                </w:tcPr>
                <w:p w:rsidR="007544CA" w:rsidRDefault="007544CA" w:rsidP="00133508">
                  <w:pPr>
                    <w:pStyle w:val="TableBodyText"/>
                    <w:tabs>
                      <w:tab w:val="left" w:pos="1440"/>
                      <w:tab w:val="left" w:pos="5347"/>
                    </w:tabs>
                    <w:jc w:val="left"/>
                  </w:pPr>
                  <w:r>
                    <w:t>$</w:t>
                  </w:r>
                  <w:proofErr w:type="spellStart"/>
                  <w:r>
                    <w:t>17m</w:t>
                  </w:r>
                  <w:proofErr w:type="spellEnd"/>
                </w:p>
              </w:tc>
              <w:tc>
                <w:tcPr>
                  <w:tcW w:w="4961" w:type="dxa"/>
                  <w:shd w:val="clear" w:color="auto" w:fill="auto"/>
                </w:tcPr>
                <w:p w:rsidR="007544CA" w:rsidRDefault="007544CA" w:rsidP="00133508">
                  <w:pPr>
                    <w:pStyle w:val="TableBodyText"/>
                    <w:tabs>
                      <w:tab w:val="left" w:pos="1440"/>
                      <w:tab w:val="left" w:pos="5347"/>
                    </w:tabs>
                    <w:jc w:val="left"/>
                  </w:pPr>
                  <w:r>
                    <w:t xml:space="preserve">Industry-researcher collaborative grants $0.5 – </w:t>
                  </w:r>
                  <w:proofErr w:type="spellStart"/>
                  <w:r>
                    <w:t>5.0m</w:t>
                  </w:r>
                  <w:proofErr w:type="spellEnd"/>
                  <w:r>
                    <w:t>. Participants contributions $</w:t>
                  </w:r>
                  <w:proofErr w:type="spellStart"/>
                  <w:r>
                    <w:t>34m</w:t>
                  </w:r>
                  <w:proofErr w:type="spellEnd"/>
                  <w:r>
                    <w:t>. Government share 25-47 per cent across projects</w:t>
                  </w:r>
                </w:p>
              </w:tc>
              <w:tc>
                <w:tcPr>
                  <w:tcW w:w="3827" w:type="dxa"/>
                  <w:shd w:val="clear" w:color="auto" w:fill="auto"/>
                </w:tcPr>
                <w:p w:rsidR="007544CA" w:rsidRDefault="007544CA" w:rsidP="00133508">
                  <w:pPr>
                    <w:pStyle w:val="TableBodyText"/>
                    <w:tabs>
                      <w:tab w:val="left" w:pos="1440"/>
                      <w:tab w:val="left" w:pos="5347"/>
                    </w:tabs>
                    <w:jc w:val="left"/>
                  </w:pPr>
                  <w:r>
                    <w:t>Indirect – R&amp;D</w:t>
                  </w:r>
                  <w:r>
                    <w:br/>
                  </w:r>
                  <w:proofErr w:type="spellStart"/>
                  <w:r>
                    <w:t>R&amp;D</w:t>
                  </w:r>
                  <w:proofErr w:type="spellEnd"/>
                  <w:r>
                    <w:t xml:space="preserve"> - All industry for emission reduction</w:t>
                  </w:r>
                  <w:r>
                    <w:br/>
                    <w:t>Competitive selection</w:t>
                  </w:r>
                </w:p>
              </w:tc>
            </w:tr>
            <w:tr w:rsidR="007544CA" w:rsidTr="00133508">
              <w:tc>
                <w:tcPr>
                  <w:tcW w:w="3118" w:type="dxa"/>
                  <w:shd w:val="clear" w:color="auto" w:fill="auto"/>
                </w:tcPr>
                <w:p w:rsidR="007544CA" w:rsidRPr="0097574C" w:rsidRDefault="007544CA" w:rsidP="00133508">
                  <w:pPr>
                    <w:pStyle w:val="TableBodyText"/>
                    <w:tabs>
                      <w:tab w:val="left" w:pos="1440"/>
                      <w:tab w:val="left" w:pos="5347"/>
                    </w:tabs>
                    <w:jc w:val="left"/>
                  </w:pPr>
                  <w:r w:rsidRPr="0097574C">
                    <w:t>Round 5 (final) of the On-Farm Irrigation Efficiency Program</w:t>
                  </w:r>
                  <w:r>
                    <w:t xml:space="preserve"> (</w:t>
                  </w:r>
                  <w:proofErr w:type="spellStart"/>
                  <w:r>
                    <w:t>OFIEP</w:t>
                  </w:r>
                  <w:proofErr w:type="spellEnd"/>
                  <w:r>
                    <w:t>)</w:t>
                  </w:r>
                </w:p>
              </w:tc>
              <w:tc>
                <w:tcPr>
                  <w:tcW w:w="1701" w:type="dxa"/>
                </w:tcPr>
                <w:p w:rsidR="007544CA" w:rsidRPr="0097574C" w:rsidRDefault="007544CA" w:rsidP="00133508">
                  <w:pPr>
                    <w:pStyle w:val="TableBodyText"/>
                    <w:tabs>
                      <w:tab w:val="left" w:pos="1440"/>
                      <w:tab w:val="left" w:pos="5347"/>
                    </w:tabs>
                    <w:jc w:val="left"/>
                  </w:pPr>
                  <w:r w:rsidRPr="0097574C">
                    <w:t>$</w:t>
                  </w:r>
                  <w:proofErr w:type="spellStart"/>
                  <w:r w:rsidRPr="0097574C">
                    <w:t>263.5m</w:t>
                  </w:r>
                  <w:proofErr w:type="spellEnd"/>
                </w:p>
              </w:tc>
              <w:tc>
                <w:tcPr>
                  <w:tcW w:w="4961" w:type="dxa"/>
                  <w:shd w:val="clear" w:color="auto" w:fill="auto"/>
                </w:tcPr>
                <w:p w:rsidR="007544CA" w:rsidRPr="0097574C" w:rsidRDefault="007544CA" w:rsidP="00133508">
                  <w:pPr>
                    <w:pStyle w:val="TableBodyText"/>
                    <w:tabs>
                      <w:tab w:val="left" w:pos="1440"/>
                      <w:tab w:val="left" w:pos="5347"/>
                    </w:tabs>
                    <w:jc w:val="left"/>
                  </w:pPr>
                  <w:r>
                    <w:t>A</w:t>
                  </w:r>
                  <w:r w:rsidRPr="00385D4E">
                    <w:t>ssisting irrigators within the southern connected system of the Murray-Darling Basin to modernise their on-farm irrigation infrastructure while returning water savings to the environment</w:t>
                  </w:r>
                  <w:r w:rsidRPr="0097574C">
                    <w:t>.</w:t>
                  </w:r>
                </w:p>
              </w:tc>
              <w:tc>
                <w:tcPr>
                  <w:tcW w:w="3827" w:type="dxa"/>
                  <w:shd w:val="clear" w:color="auto" w:fill="auto"/>
                </w:tcPr>
                <w:p w:rsidR="007544CA" w:rsidRPr="0097574C" w:rsidRDefault="007544CA" w:rsidP="00133508">
                  <w:pPr>
                    <w:pStyle w:val="TableBodyText"/>
                    <w:tabs>
                      <w:tab w:val="left" w:pos="1440"/>
                      <w:tab w:val="left" w:pos="5347"/>
                    </w:tabs>
                    <w:jc w:val="left"/>
                  </w:pPr>
                  <w:r>
                    <w:t>Direct financial - grant</w:t>
                  </w:r>
                  <w:r>
                    <w:br/>
                    <w:t>Sectoral assistance  - irrigators</w:t>
                  </w:r>
                  <w:r>
                    <w:br/>
                    <w:t>Competitive selection</w:t>
                  </w:r>
                </w:p>
              </w:tc>
            </w:tr>
            <w:tr w:rsidR="007544CA" w:rsidTr="00133508">
              <w:tc>
                <w:tcPr>
                  <w:tcW w:w="3118" w:type="dxa"/>
                  <w:shd w:val="clear" w:color="auto" w:fill="auto"/>
                </w:tcPr>
                <w:p w:rsidR="007544CA" w:rsidRPr="0097574C" w:rsidRDefault="007544CA" w:rsidP="00133508">
                  <w:pPr>
                    <w:pStyle w:val="TableBodyText"/>
                    <w:tabs>
                      <w:tab w:val="left" w:pos="1440"/>
                      <w:tab w:val="left" w:pos="5347"/>
                    </w:tabs>
                    <w:jc w:val="left"/>
                  </w:pPr>
                  <w:r>
                    <w:t>Commonwealth On-Farm Further Irrigation Efficiency Program</w:t>
                  </w:r>
                </w:p>
              </w:tc>
              <w:tc>
                <w:tcPr>
                  <w:tcW w:w="1701" w:type="dxa"/>
                </w:tcPr>
                <w:p w:rsidR="007544CA" w:rsidRPr="0097574C" w:rsidRDefault="007544CA" w:rsidP="00133508">
                  <w:pPr>
                    <w:pStyle w:val="TableBodyText"/>
                    <w:tabs>
                      <w:tab w:val="left" w:pos="1440"/>
                      <w:tab w:val="left" w:pos="5347"/>
                    </w:tabs>
                    <w:jc w:val="left"/>
                  </w:pPr>
                  <w:r>
                    <w:t>$1.575 billion</w:t>
                  </w:r>
                </w:p>
              </w:tc>
              <w:tc>
                <w:tcPr>
                  <w:tcW w:w="4961" w:type="dxa"/>
                  <w:shd w:val="clear" w:color="auto" w:fill="auto"/>
                </w:tcPr>
                <w:p w:rsidR="007544CA" w:rsidRPr="0097574C" w:rsidRDefault="007544CA" w:rsidP="00133508">
                  <w:pPr>
                    <w:pStyle w:val="TableBodyText"/>
                    <w:tabs>
                      <w:tab w:val="left" w:pos="1440"/>
                      <w:tab w:val="left" w:pos="5347"/>
                    </w:tabs>
                    <w:jc w:val="left"/>
                  </w:pPr>
                  <w:r>
                    <w:t xml:space="preserve">2016 to 2024. Follow-on program from </w:t>
                  </w:r>
                  <w:proofErr w:type="spellStart"/>
                  <w:r>
                    <w:t>OIIEP</w:t>
                  </w:r>
                  <w:proofErr w:type="spellEnd"/>
                </w:p>
              </w:tc>
              <w:tc>
                <w:tcPr>
                  <w:tcW w:w="3827" w:type="dxa"/>
                  <w:shd w:val="clear" w:color="auto" w:fill="auto"/>
                </w:tcPr>
                <w:p w:rsidR="007544CA" w:rsidRPr="0097574C" w:rsidRDefault="007544CA" w:rsidP="00133508">
                  <w:pPr>
                    <w:pStyle w:val="TableBodyText"/>
                    <w:tabs>
                      <w:tab w:val="left" w:pos="1440"/>
                      <w:tab w:val="left" w:pos="5347"/>
                    </w:tabs>
                    <w:jc w:val="left"/>
                  </w:pPr>
                  <w:r>
                    <w:t>Direct financial - grant</w:t>
                  </w:r>
                  <w:r>
                    <w:br/>
                    <w:t>Sectoral assistance  - irrigators</w:t>
                  </w:r>
                  <w:r>
                    <w:br/>
                    <w:t>Competitive selection</w:t>
                  </w:r>
                </w:p>
              </w:tc>
            </w:tr>
            <w:tr w:rsidR="007544CA" w:rsidTr="00F74259">
              <w:tc>
                <w:tcPr>
                  <w:tcW w:w="4961" w:type="dxa"/>
                  <w:gridSpan w:val="3"/>
                  <w:shd w:val="clear" w:color="auto" w:fill="auto"/>
                </w:tcPr>
                <w:p w:rsidR="007544CA" w:rsidRDefault="00BF46F9" w:rsidP="00133508">
                  <w:pPr>
                    <w:pStyle w:val="TableBodyText"/>
                    <w:ind w:right="28"/>
                    <w:jc w:val="left"/>
                  </w:pPr>
                  <w:r>
                    <w:rPr>
                      <w:b/>
                    </w:rPr>
                    <w:t xml:space="preserve">Not currently </w:t>
                  </w:r>
                  <w:r w:rsidR="007544CA">
                    <w:rPr>
                      <w:b/>
                    </w:rPr>
                    <w:t xml:space="preserve">included in </w:t>
                  </w:r>
                  <w:r w:rsidR="007544CA" w:rsidRPr="00DF6DBD">
                    <w:rPr>
                      <w:b/>
                    </w:rPr>
                    <w:t>assistance</w:t>
                  </w:r>
                  <w:r w:rsidR="007544CA">
                    <w:rPr>
                      <w:b/>
                    </w:rPr>
                    <w:t xml:space="preserve"> estimates</w:t>
                  </w:r>
                </w:p>
              </w:tc>
              <w:tc>
                <w:tcPr>
                  <w:tcW w:w="3827" w:type="dxa"/>
                  <w:shd w:val="clear" w:color="auto" w:fill="auto"/>
                </w:tcPr>
                <w:p w:rsidR="007544CA" w:rsidRDefault="007544CA" w:rsidP="00133508">
                  <w:pPr>
                    <w:pStyle w:val="TableBodyText"/>
                    <w:ind w:right="28"/>
                    <w:jc w:val="left"/>
                  </w:pPr>
                </w:p>
              </w:tc>
            </w:tr>
            <w:tr w:rsidR="007544CA" w:rsidTr="00F74259">
              <w:tc>
                <w:tcPr>
                  <w:tcW w:w="3118" w:type="dxa"/>
                  <w:tcBorders>
                    <w:bottom w:val="single" w:sz="6" w:space="0" w:color="BFBFBF"/>
                  </w:tcBorders>
                  <w:shd w:val="clear" w:color="auto" w:fill="auto"/>
                </w:tcPr>
                <w:p w:rsidR="007544CA" w:rsidRPr="0097574C" w:rsidRDefault="007544CA" w:rsidP="00133508">
                  <w:pPr>
                    <w:pStyle w:val="TableBodyText"/>
                    <w:tabs>
                      <w:tab w:val="left" w:pos="1440"/>
                      <w:tab w:val="left" w:pos="5347"/>
                    </w:tabs>
                    <w:jc w:val="left"/>
                  </w:pPr>
                  <w:r w:rsidRPr="0097574C">
                    <w:t>Announcement of Clean Energy Innovation Fund</w:t>
                  </w:r>
                </w:p>
              </w:tc>
              <w:tc>
                <w:tcPr>
                  <w:tcW w:w="1701" w:type="dxa"/>
                  <w:tcBorders>
                    <w:bottom w:val="single" w:sz="6" w:space="0" w:color="BFBFBF"/>
                  </w:tcBorders>
                </w:tcPr>
                <w:p w:rsidR="007544CA" w:rsidRPr="0097574C" w:rsidRDefault="007544CA" w:rsidP="00133508">
                  <w:pPr>
                    <w:pStyle w:val="TableBodyText"/>
                    <w:tabs>
                      <w:tab w:val="left" w:pos="1440"/>
                      <w:tab w:val="left" w:pos="5347"/>
                    </w:tabs>
                    <w:jc w:val="left"/>
                  </w:pPr>
                  <w:r w:rsidRPr="0097574C">
                    <w:t>$1 billion</w:t>
                  </w:r>
                </w:p>
              </w:tc>
              <w:tc>
                <w:tcPr>
                  <w:tcW w:w="4961" w:type="dxa"/>
                  <w:tcBorders>
                    <w:bottom w:val="single" w:sz="6" w:space="0" w:color="BFBFBF"/>
                  </w:tcBorders>
                  <w:shd w:val="clear" w:color="auto" w:fill="auto"/>
                </w:tcPr>
                <w:p w:rsidR="007544CA" w:rsidRPr="0097574C" w:rsidRDefault="007544CA" w:rsidP="00133508">
                  <w:pPr>
                    <w:pStyle w:val="TableBodyText"/>
                    <w:tabs>
                      <w:tab w:val="left" w:pos="1440"/>
                      <w:tab w:val="left" w:pos="5347"/>
                    </w:tabs>
                    <w:jc w:val="left"/>
                  </w:pPr>
                  <w:r w:rsidRPr="0097574C">
                    <w:t>To commence 1 July 2016.</w:t>
                  </w:r>
                  <w:r>
                    <w:t xml:space="preserve"> </w:t>
                  </w:r>
                  <w:r w:rsidRPr="0097574C">
                    <w:t>To provide $</w:t>
                  </w:r>
                  <w:proofErr w:type="spellStart"/>
                  <w:r w:rsidRPr="0097574C">
                    <w:t>100m</w:t>
                  </w:r>
                  <w:proofErr w:type="spellEnd"/>
                  <w:r w:rsidRPr="0097574C">
                    <w:t xml:space="preserve"> per year for 10 years, equity and debt.</w:t>
                  </w:r>
                  <w:r>
                    <w:t xml:space="preserve"> </w:t>
                  </w:r>
                  <w:r w:rsidRPr="0097574C">
                    <w:t>Established from within the $10 billion Clean Energy Finance Corporation</w:t>
                  </w:r>
                </w:p>
              </w:tc>
              <w:tc>
                <w:tcPr>
                  <w:tcW w:w="3827" w:type="dxa"/>
                  <w:tcBorders>
                    <w:bottom w:val="single" w:sz="6" w:space="0" w:color="BFBFBF"/>
                  </w:tcBorders>
                  <w:shd w:val="clear" w:color="auto" w:fill="auto"/>
                </w:tcPr>
                <w:p w:rsidR="007544CA" w:rsidRPr="0097574C" w:rsidRDefault="007544CA" w:rsidP="00133508">
                  <w:pPr>
                    <w:pStyle w:val="TableBodyText"/>
                    <w:tabs>
                      <w:tab w:val="left" w:pos="1440"/>
                      <w:tab w:val="left" w:pos="5347"/>
                    </w:tabs>
                    <w:jc w:val="left"/>
                  </w:pPr>
                  <w:r>
                    <w:t>Direct financial – concessional loans/equity</w:t>
                  </w:r>
                  <w:r>
                    <w:br/>
                    <w:t>Industry specific –  energy</w:t>
                  </w:r>
                  <w:r>
                    <w:br/>
                    <w:t>Not readily quantifiable.</w:t>
                  </w:r>
                </w:p>
              </w:tc>
            </w:tr>
          </w:tbl>
          <w:p w:rsidR="007544CA" w:rsidRDefault="007544CA" w:rsidP="00133508">
            <w:pPr>
              <w:pStyle w:val="Box"/>
            </w:pPr>
          </w:p>
        </w:tc>
      </w:tr>
      <w:tr w:rsidR="007544CA" w:rsidTr="00133508">
        <w:trPr>
          <w:cantSplit/>
        </w:trPr>
        <w:tc>
          <w:tcPr>
            <w:tcW w:w="5000" w:type="pct"/>
            <w:tcBorders>
              <w:top w:val="nil"/>
              <w:left w:val="nil"/>
              <w:bottom w:val="nil"/>
              <w:right w:val="nil"/>
            </w:tcBorders>
            <w:shd w:val="clear" w:color="auto" w:fill="auto"/>
          </w:tcPr>
          <w:p w:rsidR="007544CA" w:rsidRDefault="007544CA" w:rsidP="00133508">
            <w:pPr>
              <w:pStyle w:val="Continued"/>
            </w:pPr>
            <w:r>
              <w:t>(continued next page)</w:t>
            </w:r>
          </w:p>
        </w:tc>
      </w:tr>
      <w:tr w:rsidR="007544CA" w:rsidTr="00133508">
        <w:trPr>
          <w:cantSplit/>
        </w:trPr>
        <w:tc>
          <w:tcPr>
            <w:tcW w:w="5000" w:type="pct"/>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5000" w:type="pct"/>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pPr>
        <w:pStyle w:val="BodyText"/>
      </w:pPr>
    </w:p>
    <w:p w:rsidR="007544CA" w:rsidRDefault="007544CA" w:rsidP="00133508">
      <w:pPr>
        <w:pStyle w:val="BoxSpaceAbove"/>
      </w:pPr>
    </w:p>
    <w:tbl>
      <w:tblPr>
        <w:tblW w:w="5000" w:type="pct"/>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13892"/>
      </w:tblGrid>
      <w:tr w:rsidR="007544CA" w:rsidTr="00133508">
        <w:tc>
          <w:tcPr>
            <w:tcW w:w="5000" w:type="pct"/>
            <w:tcBorders>
              <w:top w:val="single" w:sz="6" w:space="0" w:color="78A22F"/>
              <w:left w:val="nil"/>
              <w:bottom w:val="nil"/>
              <w:right w:val="nil"/>
            </w:tcBorders>
            <w:shd w:val="clear" w:color="auto" w:fill="auto"/>
          </w:tcPr>
          <w:p w:rsidR="007544CA" w:rsidRPr="00784A05" w:rsidRDefault="007544CA" w:rsidP="00133508">
            <w:pPr>
              <w:pStyle w:val="TableTitle"/>
            </w:pPr>
            <w:r>
              <w:rPr>
                <w:b w:val="0"/>
              </w:rPr>
              <w:t xml:space="preserve">Table </w:t>
            </w:r>
            <w:proofErr w:type="spellStart"/>
            <w:r w:rsidRPr="00347A81">
              <w:rPr>
                <w:b w:val="0"/>
              </w:rPr>
              <w:t>B.</w:t>
            </w:r>
            <w:r>
              <w:rPr>
                <w:b w:val="0"/>
                <w:noProof/>
              </w:rPr>
              <w:t>4</w:t>
            </w:r>
            <w:proofErr w:type="spellEnd"/>
            <w:r>
              <w:tab/>
            </w:r>
            <w:r w:rsidRPr="0096472F">
              <w:rPr>
                <w:b w:val="0"/>
                <w:sz w:val="18"/>
                <w:szCs w:val="18"/>
              </w:rPr>
              <w:t>(continued)</w:t>
            </w:r>
          </w:p>
        </w:tc>
      </w:tr>
      <w:tr w:rsidR="007544CA" w:rsidTr="00133508">
        <w:trPr>
          <w:cantSplit/>
        </w:trPr>
        <w:tc>
          <w:tcPr>
            <w:tcW w:w="5000" w:type="pct"/>
            <w:tcBorders>
              <w:top w:val="nil"/>
              <w:left w:val="nil"/>
              <w:bottom w:val="nil"/>
              <w:right w:val="nil"/>
            </w:tcBorders>
            <w:shd w:val="clear" w:color="auto" w:fill="auto"/>
          </w:tcPr>
          <w:tbl>
            <w:tblPr>
              <w:tblW w:w="0" w:type="auto"/>
              <w:tblLayout w:type="fixed"/>
              <w:tblCellMar>
                <w:top w:w="28" w:type="dxa"/>
                <w:left w:w="0" w:type="dxa"/>
                <w:right w:w="0" w:type="dxa"/>
              </w:tblCellMar>
              <w:tblLook w:val="0000" w:firstRow="0" w:lastRow="0" w:firstColumn="0" w:lastColumn="0" w:noHBand="0" w:noVBand="0"/>
            </w:tblPr>
            <w:tblGrid>
              <w:gridCol w:w="3118"/>
              <w:gridCol w:w="1701"/>
              <w:gridCol w:w="4961"/>
              <w:gridCol w:w="3827"/>
            </w:tblGrid>
            <w:tr w:rsidR="007544CA" w:rsidTr="00133508">
              <w:tc>
                <w:tcPr>
                  <w:tcW w:w="3118"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r>
                    <w:t>Measure</w:t>
                  </w:r>
                </w:p>
              </w:tc>
              <w:tc>
                <w:tcPr>
                  <w:tcW w:w="1701" w:type="dxa"/>
                  <w:tcBorders>
                    <w:top w:val="single" w:sz="6" w:space="0" w:color="BFBFBF"/>
                    <w:bottom w:val="single" w:sz="6" w:space="0" w:color="BFBFBF"/>
                  </w:tcBorders>
                </w:tcPr>
                <w:p w:rsidR="007544CA" w:rsidRDefault="007544CA" w:rsidP="00133508">
                  <w:pPr>
                    <w:pStyle w:val="TableColumnHeading"/>
                    <w:ind w:right="28"/>
                    <w:jc w:val="left"/>
                  </w:pPr>
                  <w:r>
                    <w:t>Government indicative costing</w:t>
                  </w:r>
                </w:p>
              </w:tc>
              <w:tc>
                <w:tcPr>
                  <w:tcW w:w="4961"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jc w:val="left"/>
                  </w:pPr>
                  <w:r>
                    <w:t>Nature and recipient</w:t>
                  </w:r>
                </w:p>
              </w:tc>
              <w:tc>
                <w:tcPr>
                  <w:tcW w:w="3827"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jc w:val="left"/>
                  </w:pPr>
                  <w:r>
                    <w:t>Assistance considerations</w:t>
                  </w:r>
                </w:p>
              </w:tc>
            </w:tr>
            <w:tr w:rsidR="007544CA" w:rsidTr="00133508">
              <w:tc>
                <w:tcPr>
                  <w:tcW w:w="3118" w:type="dxa"/>
                </w:tcPr>
                <w:p w:rsidR="007544CA" w:rsidRPr="0097574C" w:rsidRDefault="007544CA" w:rsidP="00133508">
                  <w:pPr>
                    <w:pStyle w:val="TableBodyText"/>
                    <w:tabs>
                      <w:tab w:val="left" w:pos="1440"/>
                      <w:tab w:val="left" w:pos="5347"/>
                    </w:tabs>
                    <w:spacing w:before="120"/>
                    <w:jc w:val="left"/>
                  </w:pPr>
                  <w:r w:rsidRPr="0097574C">
                    <w:t xml:space="preserve">100% exemption for Emissions Intensive Trade-Exposed </w:t>
                  </w:r>
                  <w:r>
                    <w:t>(</w:t>
                  </w:r>
                  <w:proofErr w:type="spellStart"/>
                  <w:r>
                    <w:t>EITE</w:t>
                  </w:r>
                  <w:proofErr w:type="spellEnd"/>
                  <w:r>
                    <w:t xml:space="preserve">) </w:t>
                  </w:r>
                  <w:r w:rsidRPr="0097574C">
                    <w:t>industries from costs associated with the Renewable Energy Target (RET)</w:t>
                  </w:r>
                </w:p>
              </w:tc>
              <w:tc>
                <w:tcPr>
                  <w:tcW w:w="1701" w:type="dxa"/>
                </w:tcPr>
                <w:p w:rsidR="007544CA" w:rsidRPr="0097574C" w:rsidRDefault="007544CA" w:rsidP="00133508">
                  <w:pPr>
                    <w:pStyle w:val="TableBodyText"/>
                    <w:tabs>
                      <w:tab w:val="left" w:pos="1440"/>
                      <w:tab w:val="left" w:pos="5347"/>
                    </w:tabs>
                    <w:spacing w:before="120"/>
                    <w:jc w:val="left"/>
                  </w:pPr>
                  <w:r>
                    <w:t>$</w:t>
                  </w:r>
                  <w:proofErr w:type="spellStart"/>
                  <w:r>
                    <w:t>684m</w:t>
                  </w:r>
                  <w:proofErr w:type="spellEnd"/>
                  <w:r>
                    <w:t xml:space="preserve"> (2015)</w:t>
                  </w:r>
                </w:p>
              </w:tc>
              <w:tc>
                <w:tcPr>
                  <w:tcW w:w="4961" w:type="dxa"/>
                </w:tcPr>
                <w:p w:rsidR="007544CA" w:rsidRPr="0097574C" w:rsidRDefault="007544CA" w:rsidP="00133508">
                  <w:pPr>
                    <w:pStyle w:val="TableBodyText"/>
                    <w:tabs>
                      <w:tab w:val="left" w:pos="1440"/>
                      <w:tab w:val="left" w:pos="5347"/>
                    </w:tabs>
                    <w:spacing w:before="120"/>
                    <w:jc w:val="left"/>
                  </w:pPr>
                  <w:r>
                    <w:t>Value of partial exemptions 2010 to 2014 (see table 3.2). Incremental increase in value from moving from partial to full exemption not quantified.</w:t>
                  </w:r>
                </w:p>
              </w:tc>
              <w:tc>
                <w:tcPr>
                  <w:tcW w:w="3827" w:type="dxa"/>
                </w:tcPr>
                <w:p w:rsidR="007544CA" w:rsidRDefault="007544CA" w:rsidP="00133508">
                  <w:pPr>
                    <w:pStyle w:val="TableBodyText"/>
                    <w:tabs>
                      <w:tab w:val="left" w:pos="1440"/>
                      <w:tab w:val="left" w:pos="5347"/>
                    </w:tabs>
                    <w:spacing w:before="120"/>
                    <w:jc w:val="left"/>
                  </w:pPr>
                  <w:r>
                    <w:t>Direct financial – avoidance of a liability</w:t>
                  </w:r>
                </w:p>
                <w:p w:rsidR="007544CA" w:rsidRPr="0097574C" w:rsidRDefault="007544CA" w:rsidP="00133508">
                  <w:pPr>
                    <w:pStyle w:val="TableBodyText"/>
                    <w:tabs>
                      <w:tab w:val="left" w:pos="1440"/>
                      <w:tab w:val="left" w:pos="5347"/>
                    </w:tabs>
                    <w:spacing w:before="120"/>
                    <w:jc w:val="left"/>
                  </w:pPr>
                  <w:r>
                    <w:t xml:space="preserve">Industry- </w:t>
                  </w:r>
                  <w:proofErr w:type="spellStart"/>
                  <w:r>
                    <w:t>EITE</w:t>
                  </w:r>
                  <w:proofErr w:type="spellEnd"/>
                  <w:r>
                    <w:t xml:space="preserve"> firms</w:t>
                  </w:r>
                  <w:r>
                    <w:br/>
                    <w:t xml:space="preserve">Demand driven (for defined </w:t>
                  </w:r>
                  <w:proofErr w:type="spellStart"/>
                  <w:r>
                    <w:t>EITE</w:t>
                  </w:r>
                  <w:proofErr w:type="spellEnd"/>
                  <w:r>
                    <w:t xml:space="preserve"> firms)</w:t>
                  </w:r>
                  <w:r>
                    <w:br/>
                    <w:t>The exemption confers an advantage on qualifying businesses relative to those domestic businesses that are less trade exposed, but not been included in previous estimates</w:t>
                  </w:r>
                </w:p>
              </w:tc>
            </w:tr>
            <w:tr w:rsidR="007544CA" w:rsidTr="00133508">
              <w:tc>
                <w:tcPr>
                  <w:tcW w:w="3118" w:type="dxa"/>
                  <w:shd w:val="clear" w:color="auto" w:fill="auto"/>
                </w:tcPr>
                <w:p w:rsidR="007544CA" w:rsidRPr="0097574C" w:rsidRDefault="007544CA" w:rsidP="00133508">
                  <w:pPr>
                    <w:pStyle w:val="TableBodyText"/>
                    <w:tabs>
                      <w:tab w:val="left" w:pos="1440"/>
                      <w:tab w:val="left" w:pos="5347"/>
                    </w:tabs>
                    <w:jc w:val="left"/>
                  </w:pPr>
                  <w:r w:rsidRPr="0097574C">
                    <w:t>First Emissions Reduction Fund auction</w:t>
                  </w:r>
                </w:p>
              </w:tc>
              <w:tc>
                <w:tcPr>
                  <w:tcW w:w="1701" w:type="dxa"/>
                </w:tcPr>
                <w:p w:rsidR="007544CA" w:rsidRPr="0097574C" w:rsidRDefault="007544CA" w:rsidP="00133508">
                  <w:pPr>
                    <w:pStyle w:val="TableBodyText"/>
                    <w:tabs>
                      <w:tab w:val="left" w:pos="1440"/>
                      <w:tab w:val="left" w:pos="5347"/>
                    </w:tabs>
                    <w:jc w:val="left"/>
                  </w:pPr>
                  <w:r w:rsidRPr="0097574C">
                    <w:t>$</w:t>
                  </w:r>
                  <w:proofErr w:type="spellStart"/>
                  <w:r>
                    <w:t>660m</w:t>
                  </w:r>
                  <w:proofErr w:type="spellEnd"/>
                </w:p>
              </w:tc>
              <w:tc>
                <w:tcPr>
                  <w:tcW w:w="4961" w:type="dxa"/>
                  <w:shd w:val="clear" w:color="auto" w:fill="auto"/>
                </w:tcPr>
                <w:p w:rsidR="007544CA" w:rsidRPr="0097574C" w:rsidRDefault="007544CA" w:rsidP="00133508">
                  <w:pPr>
                    <w:pStyle w:val="TableBodyText"/>
                    <w:tabs>
                      <w:tab w:val="left" w:pos="1440"/>
                      <w:tab w:val="left" w:pos="5347"/>
                    </w:tabs>
                    <w:jc w:val="left"/>
                  </w:pPr>
                  <w:r w:rsidRPr="0097574C">
                    <w:t>Contracts for 47 million tonnes of abatement at $13.95 average price per tonne</w:t>
                  </w:r>
                  <w:r>
                    <w:t>. 43 contractors, 144 projects</w:t>
                  </w:r>
                </w:p>
              </w:tc>
              <w:tc>
                <w:tcPr>
                  <w:tcW w:w="3827" w:type="dxa"/>
                  <w:vMerge w:val="restart"/>
                  <w:shd w:val="clear" w:color="auto" w:fill="auto"/>
                </w:tcPr>
                <w:p w:rsidR="007544CA" w:rsidRDefault="007544CA" w:rsidP="00133508">
                  <w:pPr>
                    <w:pStyle w:val="TableBodyText"/>
                    <w:ind w:right="28"/>
                    <w:jc w:val="left"/>
                  </w:pPr>
                  <w:r>
                    <w:t>Preferential access – government procurement</w:t>
                  </w:r>
                  <w:r>
                    <w:br/>
                    <w:t>All industries</w:t>
                  </w:r>
                  <w:r>
                    <w:br/>
                    <w:t>Competitive selection</w:t>
                  </w:r>
                  <w:r>
                    <w:br/>
                    <w:t>Payments (significantly) overstate the net financial benefit to contractors (after unknown abatement costs).</w:t>
                  </w:r>
                </w:p>
              </w:tc>
            </w:tr>
            <w:tr w:rsidR="007544CA" w:rsidTr="00133508">
              <w:tc>
                <w:tcPr>
                  <w:tcW w:w="3118" w:type="dxa"/>
                  <w:shd w:val="clear" w:color="auto" w:fill="auto"/>
                </w:tcPr>
                <w:p w:rsidR="007544CA" w:rsidRPr="0097574C" w:rsidRDefault="007544CA" w:rsidP="00133508">
                  <w:pPr>
                    <w:pStyle w:val="TableBodyText"/>
                    <w:tabs>
                      <w:tab w:val="left" w:pos="1440"/>
                      <w:tab w:val="left" w:pos="5347"/>
                    </w:tabs>
                    <w:jc w:val="left"/>
                  </w:pPr>
                  <w:r w:rsidRPr="0097574C">
                    <w:t>Second Emissions Reduction Fund auction</w:t>
                  </w:r>
                </w:p>
              </w:tc>
              <w:tc>
                <w:tcPr>
                  <w:tcW w:w="1701" w:type="dxa"/>
                </w:tcPr>
                <w:p w:rsidR="007544CA" w:rsidRPr="0097574C" w:rsidRDefault="007544CA" w:rsidP="00133508">
                  <w:pPr>
                    <w:pStyle w:val="TableBodyText"/>
                    <w:tabs>
                      <w:tab w:val="left" w:pos="1440"/>
                      <w:tab w:val="left" w:pos="5347"/>
                    </w:tabs>
                    <w:jc w:val="left"/>
                  </w:pPr>
                  <w:r>
                    <w:t>$</w:t>
                  </w:r>
                  <w:proofErr w:type="spellStart"/>
                  <w:r>
                    <w:t>557m</w:t>
                  </w:r>
                  <w:proofErr w:type="spellEnd"/>
                </w:p>
              </w:tc>
              <w:tc>
                <w:tcPr>
                  <w:tcW w:w="4961" w:type="dxa"/>
                  <w:shd w:val="clear" w:color="auto" w:fill="auto"/>
                </w:tcPr>
                <w:p w:rsidR="007544CA" w:rsidRPr="0097574C" w:rsidRDefault="007544CA" w:rsidP="00133508">
                  <w:pPr>
                    <w:pStyle w:val="TableBodyText"/>
                    <w:tabs>
                      <w:tab w:val="left" w:pos="1440"/>
                      <w:tab w:val="left" w:pos="5347"/>
                    </w:tabs>
                    <w:jc w:val="left"/>
                  </w:pPr>
                  <w:r w:rsidRPr="0097574C">
                    <w:t>Contracts for 45</w:t>
                  </w:r>
                  <w:r>
                    <w:t> </w:t>
                  </w:r>
                  <w:r w:rsidRPr="0097574C">
                    <w:t>million tonnes abatement at $12.25 average price per tonne.</w:t>
                  </w:r>
                  <w:r>
                    <w:t xml:space="preserve"> </w:t>
                  </w:r>
                  <w:r w:rsidRPr="0097574C">
                    <w:t xml:space="preserve">77 </w:t>
                  </w:r>
                  <w:r>
                    <w:t>contractors</w:t>
                  </w:r>
                  <w:r w:rsidRPr="0097574C">
                    <w:t>, 131 projects.</w:t>
                  </w:r>
                </w:p>
              </w:tc>
              <w:tc>
                <w:tcPr>
                  <w:tcW w:w="3827" w:type="dxa"/>
                  <w:vMerge/>
                  <w:shd w:val="clear" w:color="auto" w:fill="auto"/>
                </w:tcPr>
                <w:p w:rsidR="007544CA" w:rsidRDefault="007544CA" w:rsidP="00133508">
                  <w:pPr>
                    <w:pStyle w:val="TableBodyText"/>
                    <w:ind w:right="28"/>
                    <w:jc w:val="left"/>
                  </w:pPr>
                </w:p>
              </w:tc>
            </w:tr>
            <w:tr w:rsidR="007544CA" w:rsidTr="00133508">
              <w:tc>
                <w:tcPr>
                  <w:tcW w:w="3118" w:type="dxa"/>
                  <w:tcBorders>
                    <w:bottom w:val="single" w:sz="6" w:space="0" w:color="BFBFBF"/>
                  </w:tcBorders>
                  <w:shd w:val="clear" w:color="auto" w:fill="auto"/>
                </w:tcPr>
                <w:p w:rsidR="007544CA" w:rsidRPr="0097574C" w:rsidRDefault="007544CA" w:rsidP="00133508">
                  <w:pPr>
                    <w:pStyle w:val="TableBodyText"/>
                    <w:tabs>
                      <w:tab w:val="left" w:pos="1440"/>
                      <w:tab w:val="left" w:pos="5347"/>
                    </w:tabs>
                    <w:jc w:val="left"/>
                  </w:pPr>
                  <w:r>
                    <w:t>Third</w:t>
                  </w:r>
                  <w:r w:rsidRPr="0097574C">
                    <w:t xml:space="preserve"> Emissions Reduction Fund auction</w:t>
                  </w:r>
                </w:p>
              </w:tc>
              <w:tc>
                <w:tcPr>
                  <w:tcW w:w="1701" w:type="dxa"/>
                  <w:tcBorders>
                    <w:bottom w:val="single" w:sz="6" w:space="0" w:color="BFBFBF"/>
                  </w:tcBorders>
                </w:tcPr>
                <w:p w:rsidR="007544CA" w:rsidRPr="0097574C" w:rsidRDefault="007544CA" w:rsidP="00133508">
                  <w:pPr>
                    <w:pStyle w:val="TableBodyText"/>
                    <w:tabs>
                      <w:tab w:val="left" w:pos="1440"/>
                      <w:tab w:val="left" w:pos="5347"/>
                    </w:tabs>
                    <w:jc w:val="left"/>
                  </w:pPr>
                  <w:r>
                    <w:t>$</w:t>
                  </w:r>
                  <w:proofErr w:type="spellStart"/>
                  <w:r>
                    <w:t>516m</w:t>
                  </w:r>
                  <w:proofErr w:type="spellEnd"/>
                </w:p>
              </w:tc>
              <w:tc>
                <w:tcPr>
                  <w:tcW w:w="4961" w:type="dxa"/>
                  <w:tcBorders>
                    <w:bottom w:val="single" w:sz="6" w:space="0" w:color="BFBFBF"/>
                  </w:tcBorders>
                  <w:shd w:val="clear" w:color="auto" w:fill="auto"/>
                </w:tcPr>
                <w:p w:rsidR="007544CA" w:rsidRPr="0097574C" w:rsidRDefault="007544CA" w:rsidP="00133508">
                  <w:pPr>
                    <w:pStyle w:val="TableBodyText"/>
                    <w:tabs>
                      <w:tab w:val="left" w:pos="1440"/>
                      <w:tab w:val="left" w:pos="5347"/>
                    </w:tabs>
                    <w:jc w:val="left"/>
                  </w:pPr>
                  <w:r w:rsidRPr="0097574C">
                    <w:t xml:space="preserve">Contracts for </w:t>
                  </w:r>
                  <w:r>
                    <w:t>50 </w:t>
                  </w:r>
                  <w:r w:rsidRPr="0097574C">
                    <w:t>million tonnes abatement at $1</w:t>
                  </w:r>
                  <w:r>
                    <w:t>0.23</w:t>
                  </w:r>
                  <w:r w:rsidRPr="0097574C">
                    <w:t xml:space="preserve"> average price per tonne.</w:t>
                  </w:r>
                  <w:r>
                    <w:t xml:space="preserve"> 33</w:t>
                  </w:r>
                  <w:r w:rsidRPr="0097574C">
                    <w:t xml:space="preserve"> </w:t>
                  </w:r>
                  <w:r>
                    <w:t>contractors</w:t>
                  </w:r>
                  <w:r w:rsidRPr="0097574C">
                    <w:t xml:space="preserve">, </w:t>
                  </w:r>
                  <w:r>
                    <w:t>73</w:t>
                  </w:r>
                  <w:r w:rsidRPr="0097574C">
                    <w:t xml:space="preserve"> projects</w:t>
                  </w:r>
                </w:p>
              </w:tc>
              <w:tc>
                <w:tcPr>
                  <w:tcW w:w="3827" w:type="dxa"/>
                  <w:vMerge/>
                  <w:tcBorders>
                    <w:bottom w:val="single" w:sz="6" w:space="0" w:color="BFBFBF"/>
                  </w:tcBorders>
                  <w:shd w:val="clear" w:color="auto" w:fill="auto"/>
                </w:tcPr>
                <w:p w:rsidR="007544CA" w:rsidRDefault="007544CA" w:rsidP="00133508">
                  <w:pPr>
                    <w:pStyle w:val="TableBodyText"/>
                    <w:ind w:right="28"/>
                    <w:jc w:val="left"/>
                  </w:pPr>
                </w:p>
              </w:tc>
            </w:tr>
          </w:tbl>
          <w:p w:rsidR="007544CA" w:rsidRDefault="007544CA" w:rsidP="00133508">
            <w:pPr>
              <w:pStyle w:val="Box"/>
            </w:pPr>
          </w:p>
        </w:tc>
      </w:tr>
      <w:tr w:rsidR="007544CA" w:rsidTr="00133508">
        <w:trPr>
          <w:cantSplit/>
        </w:trPr>
        <w:tc>
          <w:tcPr>
            <w:tcW w:w="5000" w:type="pct"/>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5000" w:type="pct"/>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pPr>
        <w:pStyle w:val="BodyText"/>
      </w:pPr>
    </w:p>
    <w:p w:rsidR="007544CA" w:rsidRDefault="007544CA" w:rsidP="00133508">
      <w:pPr>
        <w:pStyle w:val="BoxSpaceAbove"/>
      </w:pPr>
    </w:p>
    <w:tbl>
      <w:tblPr>
        <w:tblW w:w="5000" w:type="pct"/>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13892"/>
      </w:tblGrid>
      <w:tr w:rsidR="007544CA" w:rsidTr="00133508">
        <w:tc>
          <w:tcPr>
            <w:tcW w:w="5000" w:type="pct"/>
            <w:tcBorders>
              <w:top w:val="single" w:sz="6" w:space="0" w:color="78A22F"/>
              <w:left w:val="nil"/>
              <w:bottom w:val="nil"/>
              <w:right w:val="nil"/>
            </w:tcBorders>
            <w:shd w:val="clear" w:color="auto" w:fill="auto"/>
          </w:tcPr>
          <w:p w:rsidR="007544CA" w:rsidRDefault="007544CA" w:rsidP="00133508">
            <w:pPr>
              <w:pStyle w:val="TableTitle"/>
              <w:spacing w:before="40" w:after="40"/>
            </w:pPr>
            <w:r>
              <w:rPr>
                <w:b w:val="0"/>
              </w:rPr>
              <w:t xml:space="preserve">Table </w:t>
            </w:r>
            <w:r>
              <w:rPr>
                <w:b w:val="0"/>
              </w:rPr>
              <w:fldChar w:fldCharType="begin" w:fldLock="1"/>
            </w:r>
            <w:r>
              <w:rPr>
                <w:b w:val="0"/>
              </w:rPr>
              <w:instrText xml:space="preserve"> COMMENTS  \* MERGEFORMAT </w:instrText>
            </w:r>
            <w:r>
              <w:rPr>
                <w:b w:val="0"/>
              </w:rPr>
              <w:fldChar w:fldCharType="separate"/>
            </w:r>
            <w:proofErr w:type="spellStart"/>
            <w:r>
              <w:rPr>
                <w:b w:val="0"/>
              </w:rPr>
              <w:t>B.</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5</w:t>
            </w:r>
            <w:proofErr w:type="spellEnd"/>
            <w:r>
              <w:rPr>
                <w:b w:val="0"/>
              </w:rPr>
              <w:fldChar w:fldCharType="end"/>
            </w:r>
            <w:r>
              <w:tab/>
              <w:t>Infrastructure and Regional Development portfolio</w:t>
            </w:r>
          </w:p>
          <w:p w:rsidR="007544CA" w:rsidRPr="00784A05" w:rsidRDefault="007544CA" w:rsidP="00133508">
            <w:pPr>
              <w:pStyle w:val="Subtitle"/>
              <w:spacing w:before="40" w:after="40"/>
            </w:pPr>
            <w:r>
              <w:t>Selected r</w:t>
            </w:r>
            <w:r w:rsidRPr="00FE1299">
              <w:t>ecent developments</w:t>
            </w:r>
          </w:p>
        </w:tc>
      </w:tr>
      <w:tr w:rsidR="007544CA" w:rsidTr="00133508">
        <w:trPr>
          <w:cantSplit/>
        </w:trPr>
        <w:tc>
          <w:tcPr>
            <w:tcW w:w="5000" w:type="pct"/>
            <w:tcBorders>
              <w:top w:val="nil"/>
              <w:left w:val="nil"/>
              <w:bottom w:val="nil"/>
              <w:right w:val="nil"/>
            </w:tcBorders>
            <w:shd w:val="clear" w:color="auto" w:fill="auto"/>
          </w:tcPr>
          <w:tbl>
            <w:tblPr>
              <w:tblW w:w="0" w:type="auto"/>
              <w:tblLayout w:type="fixed"/>
              <w:tblCellMar>
                <w:top w:w="28" w:type="dxa"/>
                <w:left w:w="0" w:type="dxa"/>
                <w:right w:w="0" w:type="dxa"/>
              </w:tblCellMar>
              <w:tblLook w:val="0000" w:firstRow="0" w:lastRow="0" w:firstColumn="0" w:lastColumn="0" w:noHBand="0" w:noVBand="0"/>
            </w:tblPr>
            <w:tblGrid>
              <w:gridCol w:w="3118"/>
              <w:gridCol w:w="143"/>
              <w:gridCol w:w="1558"/>
              <w:gridCol w:w="4962"/>
              <w:gridCol w:w="3827"/>
            </w:tblGrid>
            <w:tr w:rsidR="007544CA" w:rsidTr="00133508">
              <w:tc>
                <w:tcPr>
                  <w:tcW w:w="3118"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jc w:val="left"/>
                  </w:pPr>
                  <w:r>
                    <w:t>Measure</w:t>
                  </w:r>
                </w:p>
              </w:tc>
              <w:tc>
                <w:tcPr>
                  <w:tcW w:w="1701" w:type="dxa"/>
                  <w:gridSpan w:val="2"/>
                  <w:tcBorders>
                    <w:top w:val="single" w:sz="6" w:space="0" w:color="BFBFBF"/>
                    <w:bottom w:val="single" w:sz="6" w:space="0" w:color="BFBFBF"/>
                  </w:tcBorders>
                </w:tcPr>
                <w:p w:rsidR="007544CA" w:rsidRDefault="007544CA" w:rsidP="00133508">
                  <w:pPr>
                    <w:pStyle w:val="TableColumnHeading"/>
                    <w:ind w:right="28"/>
                    <w:jc w:val="left"/>
                  </w:pPr>
                  <w:r>
                    <w:t>Government indicative costing</w:t>
                  </w:r>
                </w:p>
              </w:tc>
              <w:tc>
                <w:tcPr>
                  <w:tcW w:w="4962"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jc w:val="left"/>
                  </w:pPr>
                  <w:r>
                    <w:t>Nature and recipient</w:t>
                  </w:r>
                </w:p>
              </w:tc>
              <w:tc>
                <w:tcPr>
                  <w:tcW w:w="3827" w:type="dxa"/>
                  <w:tcBorders>
                    <w:top w:val="single" w:sz="6" w:space="0" w:color="BFBFBF"/>
                    <w:bottom w:val="single" w:sz="6" w:space="0" w:color="BFBFBF"/>
                  </w:tcBorders>
                  <w:shd w:val="clear" w:color="auto" w:fill="auto"/>
                  <w:tcMar>
                    <w:top w:w="28" w:type="dxa"/>
                  </w:tcMar>
                </w:tcPr>
                <w:p w:rsidR="007544CA" w:rsidRDefault="007544CA" w:rsidP="00133508">
                  <w:pPr>
                    <w:pStyle w:val="TableColumnHeading"/>
                    <w:ind w:right="28"/>
                    <w:jc w:val="left"/>
                  </w:pPr>
                  <w:r>
                    <w:t>Assistance considerations</w:t>
                  </w:r>
                </w:p>
              </w:tc>
            </w:tr>
            <w:tr w:rsidR="007544CA" w:rsidTr="00133508">
              <w:tc>
                <w:tcPr>
                  <w:tcW w:w="9781" w:type="dxa"/>
                  <w:gridSpan w:val="4"/>
                  <w:tcBorders>
                    <w:top w:val="single" w:sz="6" w:space="0" w:color="BFBFBF"/>
                  </w:tcBorders>
                </w:tcPr>
                <w:p w:rsidR="007544CA" w:rsidRDefault="00BF46F9" w:rsidP="00BF46F9">
                  <w:pPr>
                    <w:pStyle w:val="TableBodyText"/>
                    <w:ind w:right="28"/>
                    <w:jc w:val="left"/>
                  </w:pPr>
                  <w:r>
                    <w:rPr>
                      <w:b/>
                    </w:rPr>
                    <w:t xml:space="preserve">Likely to be included in </w:t>
                  </w:r>
                  <w:r w:rsidR="007544CA" w:rsidRPr="007F2268">
                    <w:rPr>
                      <w:b/>
                    </w:rPr>
                    <w:t>assistance</w:t>
                  </w:r>
                  <w:r>
                    <w:rPr>
                      <w:b/>
                    </w:rPr>
                    <w:t xml:space="preserve"> estimates</w:t>
                  </w:r>
                </w:p>
              </w:tc>
              <w:tc>
                <w:tcPr>
                  <w:tcW w:w="3827" w:type="dxa"/>
                  <w:tcBorders>
                    <w:top w:val="single" w:sz="6" w:space="0" w:color="BFBFBF"/>
                  </w:tcBorders>
                </w:tcPr>
                <w:p w:rsidR="007544CA" w:rsidRDefault="007544CA" w:rsidP="00133508">
                  <w:pPr>
                    <w:pStyle w:val="TableBodyText"/>
                    <w:ind w:right="28"/>
                    <w:jc w:val="left"/>
                  </w:pPr>
                </w:p>
              </w:tc>
            </w:tr>
            <w:tr w:rsidR="007544CA" w:rsidTr="00133508">
              <w:tc>
                <w:tcPr>
                  <w:tcW w:w="3261" w:type="dxa"/>
                  <w:gridSpan w:val="2"/>
                </w:tcPr>
                <w:p w:rsidR="007544CA" w:rsidRDefault="007544CA" w:rsidP="00133508">
                  <w:pPr>
                    <w:pStyle w:val="TableBodyText"/>
                    <w:jc w:val="left"/>
                  </w:pPr>
                  <w:r>
                    <w:t xml:space="preserve">Commencement from 1 January 2016 of expanded Tasmanian Freight Equalisation Scheme </w:t>
                  </w:r>
                </w:p>
              </w:tc>
              <w:tc>
                <w:tcPr>
                  <w:tcW w:w="1558" w:type="dxa"/>
                </w:tcPr>
                <w:p w:rsidR="007544CA" w:rsidRDefault="00133508" w:rsidP="00133508">
                  <w:pPr>
                    <w:pStyle w:val="TableBodyText"/>
                    <w:jc w:val="left"/>
                  </w:pPr>
                  <w:r>
                    <w:t>Additional $</w:t>
                  </w:r>
                  <w:proofErr w:type="spellStart"/>
                  <w:r>
                    <w:t>202.9m</w:t>
                  </w:r>
                  <w:proofErr w:type="spellEnd"/>
                  <w:r>
                    <w:t xml:space="preserve"> over 4 </w:t>
                  </w:r>
                  <w:r w:rsidR="007544CA">
                    <w:t>years</w:t>
                  </w:r>
                </w:p>
              </w:tc>
              <w:tc>
                <w:tcPr>
                  <w:tcW w:w="4962" w:type="dxa"/>
                </w:tcPr>
                <w:p w:rsidR="007544CA" w:rsidRDefault="007544CA" w:rsidP="00133508">
                  <w:pPr>
                    <w:pStyle w:val="TableBodyText"/>
                    <w:jc w:val="left"/>
                  </w:pPr>
                  <w:r>
                    <w:t>Assistance with the cost of shipping of eligible non-bulk goods between Tasmania and mainland Australia.</w:t>
                  </w:r>
                  <w:r>
                    <w:br/>
                    <w:t>Increase in funding.</w:t>
                  </w:r>
                  <w:r>
                    <w:br/>
                    <w:t>Expanded eligibility.</w:t>
                  </w:r>
                </w:p>
              </w:tc>
              <w:tc>
                <w:tcPr>
                  <w:tcW w:w="3827" w:type="dxa"/>
                </w:tcPr>
                <w:p w:rsidR="007544CA" w:rsidRDefault="007544CA" w:rsidP="00133508">
                  <w:pPr>
                    <w:pStyle w:val="TableBodyText"/>
                    <w:ind w:right="28"/>
                    <w:jc w:val="left"/>
                  </w:pPr>
                  <w:r>
                    <w:t>Direct financial – grant</w:t>
                  </w:r>
                  <w:r>
                    <w:br/>
                    <w:t>All industries - regional</w:t>
                  </w:r>
                  <w:r>
                    <w:br/>
                    <w:t>Demand driven</w:t>
                  </w:r>
                </w:p>
              </w:tc>
            </w:tr>
            <w:tr w:rsidR="007544CA" w:rsidTr="00133508">
              <w:tc>
                <w:tcPr>
                  <w:tcW w:w="9781" w:type="dxa"/>
                  <w:gridSpan w:val="4"/>
                  <w:shd w:val="clear" w:color="auto" w:fill="auto"/>
                </w:tcPr>
                <w:p w:rsidR="007544CA" w:rsidRDefault="00BF46F9" w:rsidP="00BF46F9">
                  <w:pPr>
                    <w:pStyle w:val="TableBodyText"/>
                    <w:ind w:right="28"/>
                    <w:jc w:val="left"/>
                  </w:pPr>
                  <w:r>
                    <w:rPr>
                      <w:b/>
                    </w:rPr>
                    <w:t xml:space="preserve">Not likely to be included in assistance </w:t>
                  </w:r>
                  <w:proofErr w:type="spellStart"/>
                  <w:r>
                    <w:rPr>
                      <w:b/>
                    </w:rPr>
                    <w:t>esimates</w:t>
                  </w:r>
                  <w:proofErr w:type="spellEnd"/>
                </w:p>
              </w:tc>
              <w:tc>
                <w:tcPr>
                  <w:tcW w:w="3827" w:type="dxa"/>
                  <w:shd w:val="clear" w:color="auto" w:fill="auto"/>
                </w:tcPr>
                <w:p w:rsidR="007544CA" w:rsidRDefault="007544CA" w:rsidP="00133508">
                  <w:pPr>
                    <w:pStyle w:val="TableBodyText"/>
                    <w:ind w:right="28"/>
                    <w:jc w:val="left"/>
                  </w:pPr>
                </w:p>
              </w:tc>
            </w:tr>
            <w:tr w:rsidR="007544CA" w:rsidTr="00133508">
              <w:tc>
                <w:tcPr>
                  <w:tcW w:w="3118" w:type="dxa"/>
                </w:tcPr>
                <w:p w:rsidR="007544CA" w:rsidRDefault="007544CA" w:rsidP="00133508">
                  <w:pPr>
                    <w:pStyle w:val="TableBodyText"/>
                    <w:jc w:val="left"/>
                  </w:pPr>
                  <w:r>
                    <w:t xml:space="preserve">Assistance to </w:t>
                  </w:r>
                  <w:proofErr w:type="spellStart"/>
                  <w:r>
                    <w:t>Arrium</w:t>
                  </w:r>
                  <w:proofErr w:type="spellEnd"/>
                  <w:r>
                    <w:t xml:space="preserve"> –steel supply for upgrade of rail track north of Adelaide</w:t>
                  </w:r>
                </w:p>
                <w:p w:rsidR="00BF46F9" w:rsidRDefault="00BF46F9" w:rsidP="00133508">
                  <w:pPr>
                    <w:pStyle w:val="TableBodyText"/>
                    <w:jc w:val="left"/>
                  </w:pPr>
                </w:p>
              </w:tc>
              <w:tc>
                <w:tcPr>
                  <w:tcW w:w="1701" w:type="dxa"/>
                  <w:gridSpan w:val="2"/>
                </w:tcPr>
                <w:p w:rsidR="007544CA" w:rsidRDefault="007544CA" w:rsidP="00133508">
                  <w:pPr>
                    <w:pStyle w:val="TableBodyText"/>
                    <w:jc w:val="left"/>
                  </w:pPr>
                  <w:r>
                    <w:t>$</w:t>
                  </w:r>
                  <w:proofErr w:type="spellStart"/>
                  <w:r>
                    <w:t>80m</w:t>
                  </w:r>
                  <w:proofErr w:type="spellEnd"/>
                </w:p>
              </w:tc>
              <w:tc>
                <w:tcPr>
                  <w:tcW w:w="4962" w:type="dxa"/>
                </w:tcPr>
                <w:p w:rsidR="007544CA" w:rsidRDefault="007544CA" w:rsidP="00133508">
                  <w:pPr>
                    <w:pStyle w:val="TableBodyText"/>
                    <w:jc w:val="left"/>
                  </w:pPr>
                  <w:r>
                    <w:t xml:space="preserve">Upgrade brought forward by ‘some years’. Historically, </w:t>
                  </w:r>
                  <w:proofErr w:type="spellStart"/>
                  <w:r>
                    <w:t>Arrium</w:t>
                  </w:r>
                  <w:proofErr w:type="spellEnd"/>
                  <w:r>
                    <w:t xml:space="preserve"> was the only maker of rail lines. </w:t>
                  </w:r>
                </w:p>
              </w:tc>
              <w:tc>
                <w:tcPr>
                  <w:tcW w:w="3827" w:type="dxa"/>
                </w:tcPr>
                <w:p w:rsidR="007544CA" w:rsidRDefault="007544CA" w:rsidP="00133508">
                  <w:pPr>
                    <w:pStyle w:val="TableBodyText"/>
                    <w:ind w:right="28"/>
                    <w:jc w:val="left"/>
                  </w:pPr>
                  <w:r>
                    <w:t>Preferential access – Government procurement</w:t>
                  </w:r>
                  <w:r>
                    <w:br/>
                    <w:t>Firm</w:t>
                  </w:r>
                  <w:r>
                    <w:br/>
                    <w:t>Selective</w:t>
                  </w:r>
                </w:p>
              </w:tc>
            </w:tr>
            <w:tr w:rsidR="007544CA" w:rsidTr="00133508">
              <w:tc>
                <w:tcPr>
                  <w:tcW w:w="3118" w:type="dxa"/>
                  <w:shd w:val="clear" w:color="auto" w:fill="auto"/>
                </w:tcPr>
                <w:p w:rsidR="007544CA" w:rsidRDefault="007544CA" w:rsidP="00133508">
                  <w:pPr>
                    <w:pStyle w:val="TableBodyText"/>
                    <w:jc w:val="left"/>
                  </w:pPr>
                  <w:r>
                    <w:t xml:space="preserve">Provision of four sites on Christmas Island to Phosphate resource Limited for industrial and commercial purposes </w:t>
                  </w:r>
                </w:p>
              </w:tc>
              <w:tc>
                <w:tcPr>
                  <w:tcW w:w="1701" w:type="dxa"/>
                  <w:gridSpan w:val="2"/>
                </w:tcPr>
                <w:p w:rsidR="007544CA" w:rsidRDefault="007544CA" w:rsidP="00133508">
                  <w:pPr>
                    <w:pStyle w:val="TableBodyText"/>
                    <w:jc w:val="left"/>
                  </w:pPr>
                </w:p>
              </w:tc>
              <w:tc>
                <w:tcPr>
                  <w:tcW w:w="4962" w:type="dxa"/>
                  <w:shd w:val="clear" w:color="auto" w:fill="auto"/>
                </w:tcPr>
                <w:p w:rsidR="007544CA" w:rsidRDefault="007544CA" w:rsidP="00133508">
                  <w:pPr>
                    <w:pStyle w:val="TableBodyText"/>
                    <w:jc w:val="left"/>
                  </w:pPr>
                  <w:r>
                    <w:t>50 year leases with an option for 49 year extension</w:t>
                  </w:r>
                </w:p>
              </w:tc>
              <w:tc>
                <w:tcPr>
                  <w:tcW w:w="3827" w:type="dxa"/>
                  <w:shd w:val="clear" w:color="auto" w:fill="auto"/>
                </w:tcPr>
                <w:p w:rsidR="007544CA" w:rsidRDefault="007544CA" w:rsidP="00133508">
                  <w:pPr>
                    <w:pStyle w:val="TableBodyText"/>
                    <w:ind w:right="28"/>
                    <w:jc w:val="left"/>
                  </w:pPr>
                  <w:r>
                    <w:t>Preferential access – resources</w:t>
                  </w:r>
                  <w:r>
                    <w:br/>
                    <w:t>Firm</w:t>
                  </w:r>
                  <w:r>
                    <w:br/>
                    <w:t>Selective</w:t>
                  </w:r>
                  <w:r>
                    <w:br/>
                    <w:t>Assistance only provided if lease conditions more generous than a fully commercial arrangement</w:t>
                  </w:r>
                </w:p>
              </w:tc>
            </w:tr>
            <w:tr w:rsidR="007544CA" w:rsidTr="00133508">
              <w:tc>
                <w:tcPr>
                  <w:tcW w:w="3118" w:type="dxa"/>
                  <w:shd w:val="clear" w:color="auto" w:fill="auto"/>
                </w:tcPr>
                <w:p w:rsidR="007544CA" w:rsidRDefault="007544CA" w:rsidP="00133508">
                  <w:pPr>
                    <w:pStyle w:val="TableBodyText"/>
                    <w:jc w:val="left"/>
                  </w:pPr>
                  <w:r>
                    <w:t>Commencement of the Data Retention Grants Program</w:t>
                  </w:r>
                </w:p>
              </w:tc>
              <w:tc>
                <w:tcPr>
                  <w:tcW w:w="1701" w:type="dxa"/>
                  <w:gridSpan w:val="2"/>
                </w:tcPr>
                <w:p w:rsidR="007544CA" w:rsidRDefault="007544CA" w:rsidP="00133508">
                  <w:pPr>
                    <w:pStyle w:val="TableBodyText"/>
                    <w:jc w:val="left"/>
                  </w:pPr>
                  <w:r>
                    <w:t>$128.4 million</w:t>
                  </w:r>
                </w:p>
              </w:tc>
              <w:tc>
                <w:tcPr>
                  <w:tcW w:w="4962" w:type="dxa"/>
                  <w:shd w:val="clear" w:color="auto" w:fill="auto"/>
                </w:tcPr>
                <w:p w:rsidR="007544CA" w:rsidRPr="00E67F98" w:rsidRDefault="007544CA" w:rsidP="00133508">
                  <w:pPr>
                    <w:pStyle w:val="TableBodyText"/>
                    <w:framePr w:w="2155" w:hSpace="227" w:vSpace="181" w:wrap="around" w:vAnchor="text" w:hAnchor="page" w:xAlign="outside" w:y="1"/>
                    <w:jc w:val="left"/>
                  </w:pPr>
                  <w:r>
                    <w:t xml:space="preserve">The </w:t>
                  </w:r>
                  <w:r>
                    <w:rPr>
                      <w:i/>
                      <w:iCs/>
                    </w:rPr>
                    <w:t xml:space="preserve">Programme </w:t>
                  </w:r>
                  <w:r>
                    <w:t xml:space="preserve">objective is to assist eligible telecommunications service providers meet their data retention obligations, required under the </w:t>
                  </w:r>
                  <w:r>
                    <w:rPr>
                      <w:i/>
                      <w:iCs/>
                    </w:rPr>
                    <w:t>Telecommunications (Interception and Access) Amendment (Data Retention) Act 2015</w:t>
                  </w:r>
                  <w:r>
                    <w:t xml:space="preserve">, by making a contribution to the typical </w:t>
                  </w:r>
                  <w:proofErr w:type="spellStart"/>
                  <w:r>
                    <w:t>up-front</w:t>
                  </w:r>
                  <w:proofErr w:type="spellEnd"/>
                  <w:r>
                    <w:t xml:space="preserve"> costs of compliance. </w:t>
                  </w:r>
                </w:p>
              </w:tc>
              <w:tc>
                <w:tcPr>
                  <w:tcW w:w="3827" w:type="dxa"/>
                  <w:shd w:val="clear" w:color="auto" w:fill="auto"/>
                </w:tcPr>
                <w:p w:rsidR="007544CA" w:rsidRDefault="007544CA" w:rsidP="00133508">
                  <w:pPr>
                    <w:pStyle w:val="TableBodyText"/>
                    <w:ind w:right="28"/>
                    <w:jc w:val="left"/>
                  </w:pPr>
                  <w:r>
                    <w:t>Direct financial – grants</w:t>
                  </w:r>
                  <w:r>
                    <w:br/>
                    <w:t>Industry – communications</w:t>
                  </w:r>
                  <w:r>
                    <w:br/>
                    <w:t xml:space="preserve">Demand driven </w:t>
                  </w:r>
                  <w:r>
                    <w:br/>
                    <w:t>Assistance provided only if grants exceeds costs</w:t>
                  </w:r>
                </w:p>
              </w:tc>
            </w:tr>
            <w:tr w:rsidR="007544CA" w:rsidTr="00133508">
              <w:tc>
                <w:tcPr>
                  <w:tcW w:w="4819" w:type="dxa"/>
                  <w:gridSpan w:val="3"/>
                  <w:shd w:val="clear" w:color="auto" w:fill="auto"/>
                </w:tcPr>
                <w:p w:rsidR="007544CA" w:rsidRPr="0097574C" w:rsidRDefault="007544CA" w:rsidP="00133508">
                  <w:pPr>
                    <w:pStyle w:val="TableBodyText"/>
                    <w:tabs>
                      <w:tab w:val="left" w:pos="1440"/>
                      <w:tab w:val="left" w:pos="5347"/>
                    </w:tabs>
                    <w:jc w:val="left"/>
                  </w:pPr>
                  <w:r w:rsidRPr="00B81E6E">
                    <w:rPr>
                      <w:b/>
                    </w:rPr>
                    <w:t>Reductions in industry assistance</w:t>
                  </w:r>
                </w:p>
              </w:tc>
              <w:tc>
                <w:tcPr>
                  <w:tcW w:w="4962" w:type="dxa"/>
                  <w:shd w:val="clear" w:color="auto" w:fill="auto"/>
                </w:tcPr>
                <w:p w:rsidR="007544CA" w:rsidRPr="0097574C" w:rsidRDefault="007544CA" w:rsidP="00133508">
                  <w:pPr>
                    <w:pStyle w:val="TableBodyText"/>
                    <w:tabs>
                      <w:tab w:val="left" w:pos="1440"/>
                      <w:tab w:val="left" w:pos="5347"/>
                    </w:tabs>
                    <w:jc w:val="left"/>
                  </w:pPr>
                </w:p>
              </w:tc>
              <w:tc>
                <w:tcPr>
                  <w:tcW w:w="3827" w:type="dxa"/>
                  <w:shd w:val="clear" w:color="auto" w:fill="auto"/>
                </w:tcPr>
                <w:p w:rsidR="007544CA" w:rsidRPr="0097574C" w:rsidRDefault="007544CA" w:rsidP="00133508">
                  <w:pPr>
                    <w:pStyle w:val="TableBodyText"/>
                    <w:tabs>
                      <w:tab w:val="left" w:pos="1440"/>
                      <w:tab w:val="left" w:pos="5347"/>
                    </w:tabs>
                    <w:jc w:val="left"/>
                  </w:pPr>
                </w:p>
              </w:tc>
            </w:tr>
            <w:tr w:rsidR="007544CA" w:rsidTr="00133508">
              <w:tc>
                <w:tcPr>
                  <w:tcW w:w="3118" w:type="dxa"/>
                  <w:shd w:val="clear" w:color="auto" w:fill="auto"/>
                </w:tcPr>
                <w:p w:rsidR="007544CA" w:rsidRDefault="007544CA" w:rsidP="00133508">
                  <w:pPr>
                    <w:pStyle w:val="TableBodyText"/>
                    <w:jc w:val="left"/>
                  </w:pPr>
                  <w:r>
                    <w:t>Consumers permitted to import a new car from 2018 subject to certain standards</w:t>
                  </w:r>
                </w:p>
              </w:tc>
              <w:tc>
                <w:tcPr>
                  <w:tcW w:w="1701" w:type="dxa"/>
                  <w:gridSpan w:val="2"/>
                </w:tcPr>
                <w:p w:rsidR="007544CA" w:rsidRDefault="007544CA" w:rsidP="00133508">
                  <w:pPr>
                    <w:pStyle w:val="TableBodyText"/>
                    <w:jc w:val="left"/>
                  </w:pPr>
                </w:p>
              </w:tc>
              <w:tc>
                <w:tcPr>
                  <w:tcW w:w="4962" w:type="dxa"/>
                  <w:shd w:val="clear" w:color="auto" w:fill="auto"/>
                </w:tcPr>
                <w:p w:rsidR="007544CA" w:rsidRDefault="007544CA" w:rsidP="00133508">
                  <w:pPr>
                    <w:pStyle w:val="TableBodyText"/>
                    <w:jc w:val="left"/>
                  </w:pPr>
                </w:p>
              </w:tc>
              <w:tc>
                <w:tcPr>
                  <w:tcW w:w="3827" w:type="dxa"/>
                  <w:shd w:val="clear" w:color="auto" w:fill="auto"/>
                </w:tcPr>
                <w:p w:rsidR="007544CA" w:rsidRDefault="007544CA" w:rsidP="00133508">
                  <w:pPr>
                    <w:pStyle w:val="TableBodyText"/>
                    <w:ind w:right="28"/>
                    <w:jc w:val="left"/>
                  </w:pPr>
                  <w:r w:rsidRPr="00B81E6E">
                    <w:rPr>
                      <w:i/>
                    </w:rPr>
                    <w:t>Reduction</w:t>
                  </w:r>
                  <w:r>
                    <w:t xml:space="preserve"> in protection to domestic car industry</w:t>
                  </w:r>
                  <w:r>
                    <w:br/>
                    <w:t>Not estimated</w:t>
                  </w:r>
                </w:p>
              </w:tc>
            </w:tr>
            <w:tr w:rsidR="007544CA" w:rsidTr="00133508">
              <w:tc>
                <w:tcPr>
                  <w:tcW w:w="3118" w:type="dxa"/>
                  <w:shd w:val="clear" w:color="auto" w:fill="auto"/>
                </w:tcPr>
                <w:p w:rsidR="007544CA" w:rsidRDefault="007544CA" w:rsidP="00133508">
                  <w:pPr>
                    <w:pStyle w:val="TableBodyText"/>
                    <w:jc w:val="left"/>
                  </w:pPr>
                  <w:r>
                    <w:t>Removal of the $12 000 special duty on imported used vehicles</w:t>
                  </w:r>
                </w:p>
              </w:tc>
              <w:tc>
                <w:tcPr>
                  <w:tcW w:w="1701" w:type="dxa"/>
                  <w:gridSpan w:val="2"/>
                </w:tcPr>
                <w:p w:rsidR="007544CA" w:rsidRDefault="007544CA" w:rsidP="00133508">
                  <w:pPr>
                    <w:pStyle w:val="TableBodyText"/>
                    <w:jc w:val="left"/>
                  </w:pPr>
                </w:p>
              </w:tc>
              <w:tc>
                <w:tcPr>
                  <w:tcW w:w="4962" w:type="dxa"/>
                  <w:shd w:val="clear" w:color="auto" w:fill="auto"/>
                </w:tcPr>
                <w:p w:rsidR="007544CA" w:rsidRDefault="007544CA" w:rsidP="00133508">
                  <w:pPr>
                    <w:pStyle w:val="TableBodyText"/>
                    <w:jc w:val="left"/>
                  </w:pPr>
                </w:p>
              </w:tc>
              <w:tc>
                <w:tcPr>
                  <w:tcW w:w="3827" w:type="dxa"/>
                  <w:shd w:val="clear" w:color="auto" w:fill="auto"/>
                </w:tcPr>
                <w:p w:rsidR="007544CA" w:rsidRDefault="007544CA" w:rsidP="00133508">
                  <w:pPr>
                    <w:pStyle w:val="TableBodyText"/>
                    <w:ind w:right="28"/>
                    <w:jc w:val="left"/>
                  </w:pPr>
                  <w:r w:rsidRPr="00B81E6E">
                    <w:rPr>
                      <w:i/>
                    </w:rPr>
                    <w:t>Reduction</w:t>
                  </w:r>
                  <w:r>
                    <w:t xml:space="preserve"> in protection to domestic car industry</w:t>
                  </w:r>
                  <w:r>
                    <w:br/>
                    <w:t>Not estimated</w:t>
                  </w:r>
                </w:p>
              </w:tc>
            </w:tr>
            <w:tr w:rsidR="007544CA" w:rsidTr="00133508">
              <w:tc>
                <w:tcPr>
                  <w:tcW w:w="3118" w:type="dxa"/>
                  <w:tcBorders>
                    <w:bottom w:val="single" w:sz="4" w:space="0" w:color="BFBFBF" w:themeColor="background1" w:themeShade="BF"/>
                  </w:tcBorders>
                  <w:shd w:val="clear" w:color="auto" w:fill="auto"/>
                </w:tcPr>
                <w:p w:rsidR="007544CA" w:rsidRDefault="007544CA" w:rsidP="00133508">
                  <w:pPr>
                    <w:pStyle w:val="TableBodyText"/>
                    <w:jc w:val="left"/>
                  </w:pPr>
                  <w:r>
                    <w:t>Change to media ownership and control rules</w:t>
                  </w:r>
                </w:p>
              </w:tc>
              <w:tc>
                <w:tcPr>
                  <w:tcW w:w="1701" w:type="dxa"/>
                  <w:gridSpan w:val="2"/>
                  <w:tcBorders>
                    <w:bottom w:val="single" w:sz="4" w:space="0" w:color="BFBFBF" w:themeColor="background1" w:themeShade="BF"/>
                  </w:tcBorders>
                </w:tcPr>
                <w:p w:rsidR="007544CA" w:rsidRDefault="007544CA" w:rsidP="00133508">
                  <w:pPr>
                    <w:pStyle w:val="TableBodyText"/>
                    <w:jc w:val="left"/>
                  </w:pPr>
                </w:p>
              </w:tc>
              <w:tc>
                <w:tcPr>
                  <w:tcW w:w="4962" w:type="dxa"/>
                  <w:tcBorders>
                    <w:bottom w:val="single" w:sz="4" w:space="0" w:color="BFBFBF" w:themeColor="background1" w:themeShade="BF"/>
                  </w:tcBorders>
                  <w:shd w:val="clear" w:color="auto" w:fill="auto"/>
                </w:tcPr>
                <w:p w:rsidR="007544CA" w:rsidRDefault="007544CA" w:rsidP="00133508">
                  <w:pPr>
                    <w:pStyle w:val="TableBodyText"/>
                    <w:jc w:val="left"/>
                  </w:pPr>
                </w:p>
              </w:tc>
              <w:tc>
                <w:tcPr>
                  <w:tcW w:w="3827" w:type="dxa"/>
                  <w:tcBorders>
                    <w:bottom w:val="single" w:sz="4" w:space="0" w:color="BFBFBF" w:themeColor="background1" w:themeShade="BF"/>
                  </w:tcBorders>
                  <w:shd w:val="clear" w:color="auto" w:fill="auto"/>
                </w:tcPr>
                <w:p w:rsidR="007544CA" w:rsidRDefault="007544CA" w:rsidP="00133508">
                  <w:pPr>
                    <w:pStyle w:val="TableBodyText"/>
                    <w:ind w:right="28"/>
                    <w:jc w:val="left"/>
                  </w:pPr>
                  <w:r>
                    <w:t>Removal of restriction on competition.</w:t>
                  </w:r>
                  <w:r>
                    <w:br/>
                    <w:t>Not estimated</w:t>
                  </w:r>
                </w:p>
              </w:tc>
            </w:tr>
          </w:tbl>
          <w:p w:rsidR="007544CA" w:rsidRDefault="007544CA" w:rsidP="00133508">
            <w:pPr>
              <w:pStyle w:val="Box"/>
            </w:pPr>
          </w:p>
        </w:tc>
      </w:tr>
      <w:tr w:rsidR="007544CA" w:rsidTr="00133508">
        <w:trPr>
          <w:cantSplit/>
        </w:trPr>
        <w:tc>
          <w:tcPr>
            <w:tcW w:w="5000" w:type="pct"/>
            <w:tcBorders>
              <w:top w:val="nil"/>
              <w:left w:val="nil"/>
              <w:bottom w:val="single" w:sz="6" w:space="0" w:color="78A22F"/>
              <w:right w:val="nil"/>
            </w:tcBorders>
            <w:shd w:val="clear" w:color="auto" w:fill="auto"/>
          </w:tcPr>
          <w:p w:rsidR="007544CA" w:rsidRDefault="007544CA" w:rsidP="00133508">
            <w:pPr>
              <w:pStyle w:val="Box"/>
              <w:spacing w:before="0" w:line="120" w:lineRule="exact"/>
            </w:pPr>
          </w:p>
        </w:tc>
      </w:tr>
      <w:tr w:rsidR="007544CA" w:rsidRPr="000863A5" w:rsidTr="00133508">
        <w:tc>
          <w:tcPr>
            <w:tcW w:w="5000" w:type="pct"/>
            <w:tcBorders>
              <w:top w:val="single" w:sz="6" w:space="0" w:color="78A22F"/>
              <w:left w:val="nil"/>
              <w:bottom w:val="nil"/>
              <w:right w:val="nil"/>
            </w:tcBorders>
          </w:tcPr>
          <w:p w:rsidR="007544CA" w:rsidRPr="00626D32" w:rsidRDefault="007544CA" w:rsidP="00133508">
            <w:pPr>
              <w:pStyle w:val="BoxSpaceBelow"/>
            </w:pPr>
          </w:p>
        </w:tc>
      </w:tr>
    </w:tbl>
    <w:p w:rsidR="007544CA" w:rsidRDefault="007544CA" w:rsidP="00133508">
      <w:pPr>
        <w:rPr>
          <w:szCs w:val="20"/>
        </w:rPr>
        <w:sectPr w:rsidR="007544CA" w:rsidSect="00133508">
          <w:headerReference w:type="even" r:id="rId50"/>
          <w:headerReference w:type="default" r:id="rId51"/>
          <w:footerReference w:type="even" r:id="rId52"/>
          <w:footerReference w:type="default" r:id="rId53"/>
          <w:headerReference w:type="first" r:id="rId54"/>
          <w:footerReference w:type="first" r:id="rId55"/>
          <w:pgSz w:w="16840" w:h="11907" w:orient="landscape" w:code="9"/>
          <w:pgMar w:top="1814" w:right="1985" w:bottom="1304" w:left="1247" w:header="1701" w:footer="397" w:gutter="0"/>
          <w:pgNumType w:chapSep="period"/>
          <w:cols w:space="720"/>
          <w:docGrid w:linePitch="326"/>
        </w:sectPr>
      </w:pPr>
    </w:p>
    <w:p w:rsidR="007544CA" w:rsidRDefault="007544CA" w:rsidP="007544CA">
      <w:pPr>
        <w:pStyle w:val="Heading1"/>
      </w:pPr>
      <w:r>
        <w:lastRenderedPageBreak/>
        <w:t>References</w:t>
      </w:r>
    </w:p>
    <w:p w:rsidR="007544CA" w:rsidRDefault="007544CA" w:rsidP="007544CA">
      <w:pPr>
        <w:pStyle w:val="Reference"/>
      </w:pPr>
      <w:r>
        <w:t>ABS (Australian Bureau of Statistics) 2015</w:t>
      </w:r>
      <w:r w:rsidRPr="007F3E21">
        <w:t xml:space="preserve">, </w:t>
      </w:r>
      <w:r w:rsidRPr="007F3E21">
        <w:rPr>
          <w:i/>
        </w:rPr>
        <w:t>Australian System of National Accounts</w:t>
      </w:r>
      <w:r w:rsidRPr="007F3E21">
        <w:t>, 201</w:t>
      </w:r>
      <w:r>
        <w:t>4</w:t>
      </w:r>
      <w:r>
        <w:noBreakHyphen/>
      </w:r>
      <w:r w:rsidRPr="007F3E21">
        <w:t>1</w:t>
      </w:r>
      <w:r>
        <w:t>5</w:t>
      </w:r>
      <w:r w:rsidRPr="007F3E21">
        <w:t>, Cat. no.</w:t>
      </w:r>
      <w:r>
        <w:t xml:space="preserve"> </w:t>
      </w:r>
      <w:r w:rsidRPr="007F3E21">
        <w:t xml:space="preserve">5204.0, ABS, Canberra. </w:t>
      </w:r>
    </w:p>
    <w:p w:rsidR="007544CA" w:rsidRDefault="007544CA" w:rsidP="007544CA">
      <w:pPr>
        <w:pStyle w:val="Reference"/>
      </w:pPr>
      <w:proofErr w:type="spellStart"/>
      <w:r>
        <w:t>ANAO</w:t>
      </w:r>
      <w:proofErr w:type="spellEnd"/>
      <w:r>
        <w:t xml:space="preserve"> (Australian National Audit Office) 2015, </w:t>
      </w:r>
      <w:r w:rsidRPr="007F3E21">
        <w:rPr>
          <w:i/>
        </w:rPr>
        <w:t>The Ethanol Production Grants Program</w:t>
      </w:r>
      <w:r>
        <w:t>, Report No. 18, 2014</w:t>
      </w:r>
      <w:r>
        <w:noBreakHyphen/>
        <w:t xml:space="preserve">15. </w:t>
      </w:r>
    </w:p>
    <w:p w:rsidR="007544CA" w:rsidRDefault="007544CA" w:rsidP="007544CA">
      <w:pPr>
        <w:pStyle w:val="Reference"/>
      </w:pPr>
      <w:proofErr w:type="spellStart"/>
      <w:r>
        <w:t>ANAO</w:t>
      </w:r>
      <w:proofErr w:type="spellEnd"/>
      <w:r>
        <w:t xml:space="preserve"> (Australian National Audit Office) 2016, </w:t>
      </w:r>
      <w:r w:rsidRPr="00303C88">
        <w:rPr>
          <w:i/>
        </w:rPr>
        <w:t>Defence Industry Support and Skill Development</w:t>
      </w:r>
      <w:r>
        <w:t xml:space="preserve">, Performance Audit, </w:t>
      </w:r>
      <w:proofErr w:type="spellStart"/>
      <w:r>
        <w:t>ANAO</w:t>
      </w:r>
      <w:proofErr w:type="spellEnd"/>
      <w:r>
        <w:t xml:space="preserve"> Report no. 20, 2015–2016.</w:t>
      </w:r>
    </w:p>
    <w:p w:rsidR="007544CA" w:rsidRPr="00A76DB9" w:rsidRDefault="007544CA" w:rsidP="007544CA">
      <w:pPr>
        <w:pStyle w:val="Reference"/>
      </w:pPr>
      <w:r>
        <w:t xml:space="preserve">ARENA (Australian Renewable Energy Agency) 2016, Programmes, </w:t>
      </w:r>
      <w:hyperlink r:id="rId56" w:history="1">
        <w:r w:rsidRPr="00A76DB9">
          <w:t>http://</w:t>
        </w:r>
        <w:proofErr w:type="spellStart"/>
        <w:r w:rsidRPr="00A76DB9">
          <w:t>arena.gov.au</w:t>
        </w:r>
        <w:proofErr w:type="spellEnd"/>
        <w:r w:rsidRPr="00A76DB9">
          <w:t>/programmes/</w:t>
        </w:r>
      </w:hyperlink>
      <w:r w:rsidRPr="00A76DB9">
        <w:t xml:space="preserve"> (accessed 11 July)</w:t>
      </w:r>
      <w:r>
        <w:t>.</w:t>
      </w:r>
    </w:p>
    <w:p w:rsidR="007544CA" w:rsidRDefault="007544CA" w:rsidP="007544CA">
      <w:pPr>
        <w:pStyle w:val="Reference"/>
      </w:pPr>
      <w:r>
        <w:t xml:space="preserve">Australian Government </w:t>
      </w:r>
      <w:r w:rsidRPr="007F3E21">
        <w:t>201</w:t>
      </w:r>
      <w:r>
        <w:t>3</w:t>
      </w:r>
      <w:r w:rsidRPr="007F3E21">
        <w:t xml:space="preserve">, </w:t>
      </w:r>
      <w:r w:rsidRPr="00564652">
        <w:rPr>
          <w:i/>
        </w:rPr>
        <w:t>Tax Expenditure Statement 201</w:t>
      </w:r>
      <w:r>
        <w:rPr>
          <w:i/>
        </w:rPr>
        <w:t>3</w:t>
      </w:r>
      <w:r w:rsidRPr="007F3E21">
        <w:t>, Department of Treasury, Canberra, January.</w:t>
      </w:r>
      <w:r>
        <w:t xml:space="preserve"> </w:t>
      </w:r>
    </w:p>
    <w:p w:rsidR="007544CA" w:rsidRDefault="007544CA" w:rsidP="007544CA">
      <w:pPr>
        <w:pStyle w:val="Reference"/>
      </w:pPr>
      <w:r>
        <w:t>—— </w:t>
      </w:r>
      <w:proofErr w:type="spellStart"/>
      <w:r>
        <w:t>2015a</w:t>
      </w:r>
      <w:proofErr w:type="spellEnd"/>
      <w:r>
        <w:t xml:space="preserve">, </w:t>
      </w:r>
      <w:r w:rsidRPr="005207D0">
        <w:rPr>
          <w:i/>
        </w:rPr>
        <w:t>Stronger Farmers Stronger Economy</w:t>
      </w:r>
      <w:r>
        <w:t>, Agricultural Competitiveness White Paper, July, Canberra.</w:t>
      </w:r>
    </w:p>
    <w:p w:rsidR="007544CA" w:rsidRDefault="007544CA" w:rsidP="007544CA">
      <w:pPr>
        <w:pStyle w:val="Reference"/>
      </w:pPr>
      <w:r>
        <w:t>—— </w:t>
      </w:r>
      <w:proofErr w:type="spellStart"/>
      <w:r w:rsidRPr="007F3E21">
        <w:t>2015</w:t>
      </w:r>
      <w:r>
        <w:t>b</w:t>
      </w:r>
      <w:proofErr w:type="spellEnd"/>
      <w:r w:rsidRPr="007F3E21">
        <w:t xml:space="preserve">, </w:t>
      </w:r>
      <w:r w:rsidRPr="00564652">
        <w:rPr>
          <w:i/>
        </w:rPr>
        <w:t>Tax Expenditure Statement 201</w:t>
      </w:r>
      <w:r>
        <w:rPr>
          <w:i/>
        </w:rPr>
        <w:t>5</w:t>
      </w:r>
      <w:r w:rsidRPr="007F3E21">
        <w:t>, Department of Treasury, Canberra, January.</w:t>
      </w:r>
      <w:r>
        <w:t xml:space="preserve"> </w:t>
      </w:r>
    </w:p>
    <w:p w:rsidR="007544CA" w:rsidRDefault="007544CA" w:rsidP="007544CA">
      <w:pPr>
        <w:pStyle w:val="Reference"/>
      </w:pPr>
      <w:r>
        <w:t xml:space="preserve">—— 2016, Grants and Assistance, </w:t>
      </w:r>
      <w:hyperlink r:id="rId57" w:history="1">
        <w:r w:rsidRPr="00AA2F61">
          <w:t>https://</w:t>
        </w:r>
        <w:proofErr w:type="spellStart"/>
        <w:r w:rsidRPr="00AA2F61">
          <w:t>www.business.gov.au</w:t>
        </w:r>
        <w:proofErr w:type="spellEnd"/>
        <w:r w:rsidRPr="00AA2F61">
          <w:t>/assistance/</w:t>
        </w:r>
      </w:hyperlink>
      <w:r>
        <w:t xml:space="preserve"> (accessed 11 July).</w:t>
      </w:r>
    </w:p>
    <w:p w:rsidR="007544CA" w:rsidRDefault="007544CA" w:rsidP="007544CA">
      <w:pPr>
        <w:pStyle w:val="Reference"/>
      </w:pPr>
      <w:proofErr w:type="spellStart"/>
      <w:r>
        <w:t>CEFC</w:t>
      </w:r>
      <w:proofErr w:type="spellEnd"/>
      <w:r>
        <w:t xml:space="preserve"> (Clean Energy Finance Corporation), 2016, What We Do, </w:t>
      </w:r>
      <w:hyperlink r:id="rId58" w:history="1">
        <w:r w:rsidRPr="006C49C9">
          <w:t>http://</w:t>
        </w:r>
        <w:proofErr w:type="spellStart"/>
        <w:r w:rsidRPr="006C49C9">
          <w:t>www.cleanenergy</w:t>
        </w:r>
        <w:proofErr w:type="spellEnd"/>
        <w:r>
          <w:br/>
        </w:r>
        <w:proofErr w:type="spellStart"/>
        <w:r w:rsidRPr="006C49C9">
          <w:t>financecorp.com.au</w:t>
        </w:r>
        <w:proofErr w:type="spellEnd"/>
        <w:r w:rsidRPr="00F52DE9">
          <w:rPr>
            <w:rStyle w:val="Hyperlink"/>
          </w:rPr>
          <w:t>/</w:t>
        </w:r>
      </w:hyperlink>
      <w:r>
        <w:t xml:space="preserve"> (accessed 11 July).</w:t>
      </w:r>
    </w:p>
    <w:p w:rsidR="007544CA" w:rsidRDefault="007544CA" w:rsidP="007544CA">
      <w:pPr>
        <w:pStyle w:val="Reference"/>
      </w:pPr>
      <w:proofErr w:type="spellStart"/>
      <w:r>
        <w:t>CER</w:t>
      </w:r>
      <w:proofErr w:type="spellEnd"/>
      <w:r>
        <w:t xml:space="preserve"> (Clean Energy Regulator) </w:t>
      </w:r>
      <w:proofErr w:type="spellStart"/>
      <w:r>
        <w:t>2016a</w:t>
      </w:r>
      <w:proofErr w:type="spellEnd"/>
      <w:r>
        <w:t xml:space="preserve">, Auction Results, </w:t>
      </w:r>
      <w:hyperlink w:history="1">
        <w:r w:rsidRPr="00A76DB9">
          <w:t>http://</w:t>
        </w:r>
        <w:proofErr w:type="spellStart"/>
        <w:r w:rsidRPr="00A76DB9">
          <w:t>www.cleanenergy</w:t>
        </w:r>
        <w:proofErr w:type="spellEnd"/>
        <w:r w:rsidRPr="00A76DB9">
          <w:t xml:space="preserve"> </w:t>
        </w:r>
        <w:proofErr w:type="spellStart"/>
        <w:r w:rsidRPr="00A76DB9">
          <w:t>regulator.gov.au</w:t>
        </w:r>
        <w:proofErr w:type="spellEnd"/>
        <w:r w:rsidRPr="00A76DB9">
          <w:t>/</w:t>
        </w:r>
        <w:proofErr w:type="spellStart"/>
        <w:r w:rsidRPr="00A76DB9">
          <w:t>ERF</w:t>
        </w:r>
        <w:proofErr w:type="spellEnd"/>
        <w:r w:rsidRPr="00A76DB9">
          <w:t>/Auctions-results</w:t>
        </w:r>
      </w:hyperlink>
      <w:r w:rsidRPr="00A76DB9">
        <w:t xml:space="preserve"> </w:t>
      </w:r>
      <w:r>
        <w:t>(accessed 11 July).</w:t>
      </w:r>
    </w:p>
    <w:p w:rsidR="007544CA" w:rsidRDefault="007544CA" w:rsidP="007544CA">
      <w:pPr>
        <w:pStyle w:val="Reference"/>
      </w:pPr>
      <w:r>
        <w:t>—— </w:t>
      </w:r>
      <w:proofErr w:type="spellStart"/>
      <w:r>
        <w:t>2016b</w:t>
      </w:r>
      <w:proofErr w:type="spellEnd"/>
      <w:r>
        <w:t>, Renewable Energy Target</w:t>
      </w:r>
      <w:r w:rsidRPr="006C49C9">
        <w:t xml:space="preserve">, </w:t>
      </w:r>
      <w:hyperlink r:id="rId59" w:history="1">
        <w:r w:rsidRPr="006C49C9">
          <w:t>http://</w:t>
        </w:r>
        <w:proofErr w:type="spellStart"/>
        <w:r w:rsidRPr="006C49C9">
          <w:t>www.cleanenergyregulator.gov.au</w:t>
        </w:r>
        <w:proofErr w:type="spellEnd"/>
        <w:r w:rsidRPr="006C49C9">
          <w:t>/RET</w:t>
        </w:r>
      </w:hyperlink>
      <w:r w:rsidRPr="006C49C9">
        <w:t xml:space="preserve"> (accessed 11 July)</w:t>
      </w:r>
      <w:r>
        <w:t>.</w:t>
      </w:r>
      <w:r w:rsidRPr="006C49C9">
        <w:t xml:space="preserve"> </w:t>
      </w:r>
    </w:p>
    <w:p w:rsidR="007544CA" w:rsidRPr="006C49C9" w:rsidRDefault="007544CA" w:rsidP="007544CA">
      <w:pPr>
        <w:pStyle w:val="Reference"/>
      </w:pPr>
      <w:r>
        <w:t>—— </w:t>
      </w:r>
      <w:proofErr w:type="spellStart"/>
      <w:r>
        <w:t>2016c</w:t>
      </w:r>
      <w:proofErr w:type="spellEnd"/>
      <w:r>
        <w:t xml:space="preserve">, Industry assistance published information, </w:t>
      </w:r>
      <w:hyperlink r:id="rId60" w:history="1">
        <w:r w:rsidRPr="00D025CC">
          <w:t>http://</w:t>
        </w:r>
        <w:proofErr w:type="spellStart"/>
        <w:r w:rsidRPr="00D025CC">
          <w:t>www.cleanenergy</w:t>
        </w:r>
        <w:proofErr w:type="spellEnd"/>
        <w:r>
          <w:br/>
        </w:r>
        <w:r w:rsidRPr="00D025CC">
          <w:t>regulator.gov.au/RET/Scheme</w:t>
        </w:r>
        <w:r w:rsidRPr="00D025CC">
          <w:noBreakHyphen/>
          <w:t>participants</w:t>
        </w:r>
        <w:r w:rsidRPr="00D025CC">
          <w:noBreakHyphen/>
          <w:t>and</w:t>
        </w:r>
        <w:r w:rsidRPr="00D025CC">
          <w:noBreakHyphen/>
          <w:t>industry/Industry</w:t>
        </w:r>
        <w:r w:rsidRPr="00D025CC">
          <w:noBreakHyphen/>
          <w:t>assistance/Industry</w:t>
        </w:r>
        <w:r w:rsidRPr="00D025CC">
          <w:noBreakHyphen/>
          <w:t>assistance</w:t>
        </w:r>
        <w:r w:rsidRPr="00D025CC">
          <w:noBreakHyphen/>
          <w:t>published</w:t>
        </w:r>
        <w:r w:rsidRPr="00D025CC">
          <w:noBreakHyphen/>
          <w:t>information</w:t>
        </w:r>
      </w:hyperlink>
      <w:r>
        <w:t xml:space="preserve"> (accessed 11 July).</w:t>
      </w:r>
    </w:p>
    <w:p w:rsidR="007544CA" w:rsidRDefault="007544CA" w:rsidP="007544CA">
      <w:pPr>
        <w:pStyle w:val="Reference"/>
      </w:pPr>
      <w:r>
        <w:t xml:space="preserve">DFAT (Department of Foreign Affairs and Trade) </w:t>
      </w:r>
      <w:proofErr w:type="spellStart"/>
      <w:r>
        <w:t>2016a</w:t>
      </w:r>
      <w:proofErr w:type="spellEnd"/>
      <w:r>
        <w:t xml:space="preserve">, Trade in Services Agreement, </w:t>
      </w:r>
      <w:hyperlink r:id="rId61" w:history="1">
        <w:r w:rsidRPr="008F5251">
          <w:t>http://dfat.gov.au/trade/agreements/trade-in-services-agreement/Pages/trade-in-services-agreement-frequently-asked-questions.aspx</w:t>
        </w:r>
      </w:hyperlink>
      <w:r>
        <w:t xml:space="preserve"> (accessed 23 June 2016).</w:t>
      </w:r>
    </w:p>
    <w:p w:rsidR="007544CA" w:rsidRDefault="007544CA" w:rsidP="007544CA">
      <w:pPr>
        <w:pStyle w:val="Reference"/>
      </w:pPr>
      <w:r>
        <w:rPr>
          <w:rStyle w:val="ReferenceChar"/>
        </w:rPr>
        <w:t>—— </w:t>
      </w:r>
      <w:proofErr w:type="spellStart"/>
      <w:r w:rsidRPr="000F5BFC">
        <w:rPr>
          <w:rStyle w:val="ReferenceChar"/>
        </w:rPr>
        <w:t>2016b</w:t>
      </w:r>
      <w:proofErr w:type="spellEnd"/>
      <w:r w:rsidRPr="000F5BFC">
        <w:rPr>
          <w:rStyle w:val="ReferenceChar"/>
        </w:rPr>
        <w:t xml:space="preserve">, WTO Agreement on Government Procurement, </w:t>
      </w:r>
      <w:hyperlink r:id="rId62" w:history="1">
        <w:r w:rsidRPr="000F5BFC">
          <w:rPr>
            <w:rStyle w:val="ReferenceChar"/>
          </w:rPr>
          <w:t>http://</w:t>
        </w:r>
        <w:proofErr w:type="spellStart"/>
        <w:r w:rsidRPr="000F5BFC">
          <w:rPr>
            <w:rStyle w:val="ReferenceChar"/>
          </w:rPr>
          <w:t>dfat.gov.au</w:t>
        </w:r>
        <w:proofErr w:type="spellEnd"/>
        <w:r>
          <w:rPr>
            <w:rStyle w:val="ReferenceChar"/>
          </w:rPr>
          <w:br/>
        </w:r>
        <w:r w:rsidRPr="000F5BFC">
          <w:rPr>
            <w:rStyle w:val="ReferenceChar"/>
          </w:rPr>
          <w:t>/international-relations/international-organisations/wto/Pages/wto-agreement-on-government-procurement.aspx</w:t>
        </w:r>
      </w:hyperlink>
      <w:r w:rsidRPr="000F5BFC">
        <w:rPr>
          <w:rStyle w:val="ReferenceChar"/>
        </w:rPr>
        <w:t xml:space="preserve"> (a</w:t>
      </w:r>
      <w:r>
        <w:t>ccessed 11 July).</w:t>
      </w:r>
    </w:p>
    <w:p w:rsidR="007544CA" w:rsidRPr="00FF7442" w:rsidRDefault="007544CA" w:rsidP="007544CA">
      <w:pPr>
        <w:pStyle w:val="Reference"/>
      </w:pPr>
      <w:r>
        <w:rPr>
          <w:rStyle w:val="ReferenceChar"/>
        </w:rPr>
        <w:lastRenderedPageBreak/>
        <w:t>——</w:t>
      </w:r>
      <w:r w:rsidRPr="00FF7442">
        <w:rPr>
          <w:rStyle w:val="ReferenceChar"/>
        </w:rPr>
        <w:t xml:space="preserve"> </w:t>
      </w:r>
      <w:proofErr w:type="spellStart"/>
      <w:r w:rsidRPr="00FF7442">
        <w:rPr>
          <w:rStyle w:val="ReferenceChar"/>
        </w:rPr>
        <w:t>2016c</w:t>
      </w:r>
      <w:proofErr w:type="spellEnd"/>
      <w:r w:rsidRPr="00FF7442">
        <w:rPr>
          <w:rStyle w:val="ReferenceChar"/>
        </w:rPr>
        <w:t xml:space="preserve">, WTO Disputes – Tobacco Plain Packaging, </w:t>
      </w:r>
      <w:hyperlink r:id="rId63" w:history="1">
        <w:r w:rsidRPr="00133508">
          <w:rPr>
            <w:rStyle w:val="Hyperlink"/>
            <w:color w:val="auto"/>
            <w:u w:val="none"/>
          </w:rPr>
          <w:t>http://dfat.gov.au/international-relations/international-organisations/wto/wto-dispute-settlement/Pages/wto-disputes-tobacco-plain-packaging.aspx</w:t>
        </w:r>
      </w:hyperlink>
      <w:r w:rsidRPr="00133508">
        <w:t xml:space="preserve"> </w:t>
      </w:r>
      <w:r w:rsidRPr="00FF7442">
        <w:t>(accessed 11 July)</w:t>
      </w:r>
      <w:r>
        <w:t>.</w:t>
      </w:r>
    </w:p>
    <w:p w:rsidR="007544CA" w:rsidRDefault="007544CA" w:rsidP="007544CA">
      <w:pPr>
        <w:pStyle w:val="Reference"/>
        <w:rPr>
          <w:rStyle w:val="ReferenceChar"/>
        </w:rPr>
      </w:pPr>
      <w:proofErr w:type="spellStart"/>
      <w:r>
        <w:rPr>
          <w:rStyle w:val="ReferenceChar"/>
        </w:rPr>
        <w:t>Gootiiz</w:t>
      </w:r>
      <w:proofErr w:type="spellEnd"/>
      <w:r>
        <w:rPr>
          <w:rStyle w:val="ReferenceChar"/>
        </w:rPr>
        <w:t xml:space="preserve">, S. </w:t>
      </w:r>
      <w:r w:rsidRPr="00FF7442">
        <w:rPr>
          <w:rStyle w:val="ReferenceChar"/>
        </w:rPr>
        <w:t xml:space="preserve">and </w:t>
      </w:r>
      <w:proofErr w:type="spellStart"/>
      <w:r w:rsidRPr="00FF7442">
        <w:rPr>
          <w:rStyle w:val="ReferenceChar"/>
        </w:rPr>
        <w:t>Mattoo</w:t>
      </w:r>
      <w:proofErr w:type="spellEnd"/>
      <w:r>
        <w:rPr>
          <w:rStyle w:val="ReferenceChar"/>
        </w:rPr>
        <w:t>, A.</w:t>
      </w:r>
      <w:r w:rsidRPr="00FF7442">
        <w:rPr>
          <w:rStyle w:val="ReferenceChar"/>
        </w:rPr>
        <w:t xml:space="preserve"> 20</w:t>
      </w:r>
      <w:r>
        <w:rPr>
          <w:rStyle w:val="ReferenceChar"/>
        </w:rPr>
        <w:t>09</w:t>
      </w:r>
      <w:r w:rsidRPr="00FF7442">
        <w:rPr>
          <w:rStyle w:val="ReferenceChar"/>
        </w:rPr>
        <w:t>,</w:t>
      </w:r>
      <w:r>
        <w:rPr>
          <w:rStyle w:val="ReferenceChar"/>
        </w:rPr>
        <w:t xml:space="preserve"> Services in Doha: What’s on the Table?, </w:t>
      </w:r>
      <w:r w:rsidRPr="00956A93">
        <w:rPr>
          <w:rStyle w:val="ReferenceChar"/>
          <w:i/>
        </w:rPr>
        <w:t>Journal of World Trade Law</w:t>
      </w:r>
      <w:r>
        <w:rPr>
          <w:rStyle w:val="ReferenceChar"/>
        </w:rPr>
        <w:t>, vol. 43, no. 5, pp. 1013–30.</w:t>
      </w:r>
    </w:p>
    <w:p w:rsidR="007544CA" w:rsidRDefault="007544CA" w:rsidP="007544CA">
      <w:pPr>
        <w:pStyle w:val="Reference"/>
      </w:pPr>
      <w:r>
        <w:t xml:space="preserve">IC (Industry Commission) 1995, </w:t>
      </w:r>
      <w:r w:rsidRPr="002A2C19">
        <w:rPr>
          <w:i/>
        </w:rPr>
        <w:t>Assistance to agricultural and manufacturing industries</w:t>
      </w:r>
      <w:r>
        <w:t>, Information Paper, Canberra.</w:t>
      </w:r>
    </w:p>
    <w:p w:rsidR="007544CA" w:rsidRPr="007078B9" w:rsidRDefault="007544CA" w:rsidP="007544CA">
      <w:pPr>
        <w:pStyle w:val="Reference"/>
      </w:pPr>
      <w:proofErr w:type="spellStart"/>
      <w:r w:rsidRPr="007078B9">
        <w:t>Kazakevitch</w:t>
      </w:r>
      <w:proofErr w:type="spellEnd"/>
      <w:r w:rsidRPr="007078B9">
        <w:t>, G. and Wilson, J.</w:t>
      </w:r>
      <w:r>
        <w:t>,</w:t>
      </w:r>
      <w:r w:rsidRPr="007078B9">
        <w:t xml:space="preserve"> 2016, Morrison’s ruling on Kidman &amp; Co sale redefines the national interest test, The Conversation, </w:t>
      </w:r>
      <w:hyperlink r:id="rId64" w:history="1">
        <w:r w:rsidRPr="00133508">
          <w:rPr>
            <w:rStyle w:val="Hyperlink"/>
            <w:color w:val="auto"/>
            <w:u w:val="none"/>
          </w:rPr>
          <w:t>http://theconversation.com/morrisons-ruling-on-kidman-and-co-sale-redefines-the-national-interest-test-58413</w:t>
        </w:r>
      </w:hyperlink>
      <w:r w:rsidRPr="007078B9">
        <w:t>, 20 April.</w:t>
      </w:r>
    </w:p>
    <w:p w:rsidR="007544CA" w:rsidRDefault="007544CA" w:rsidP="007544CA">
      <w:pPr>
        <w:pStyle w:val="Reference"/>
      </w:pPr>
      <w:r>
        <w:t xml:space="preserve">Martin, P. 2015, </w:t>
      </w:r>
      <w:r w:rsidRPr="004721E6">
        <w:rPr>
          <w:i/>
        </w:rPr>
        <w:t>Australia faces $</w:t>
      </w:r>
      <w:proofErr w:type="spellStart"/>
      <w:r w:rsidRPr="004721E6">
        <w:rPr>
          <w:i/>
        </w:rPr>
        <w:t>50m</w:t>
      </w:r>
      <w:proofErr w:type="spellEnd"/>
      <w:r w:rsidRPr="004721E6">
        <w:rPr>
          <w:i/>
        </w:rPr>
        <w:t xml:space="preserve"> legal bill in cigarette plain packaging fight with Philip Morris</w:t>
      </w:r>
      <w:r>
        <w:t xml:space="preserve">, Sydney Morning Herald, July 29, </w:t>
      </w:r>
      <w:proofErr w:type="spellStart"/>
      <w:r>
        <w:t>5:44PM</w:t>
      </w:r>
      <w:proofErr w:type="spellEnd"/>
      <w:r>
        <w:t>.</w:t>
      </w:r>
    </w:p>
    <w:p w:rsidR="007544CA" w:rsidRPr="0085251A" w:rsidRDefault="007544CA" w:rsidP="007544CA">
      <w:pPr>
        <w:pStyle w:val="Reference"/>
        <w:rPr>
          <w:rStyle w:val="ReferenceChar"/>
        </w:rPr>
      </w:pPr>
      <w:r w:rsidRPr="0085251A">
        <w:t>Moir</w:t>
      </w:r>
      <w:r>
        <w:t>.</w:t>
      </w:r>
      <w:r w:rsidRPr="0085251A">
        <w:t xml:space="preserve"> B</w:t>
      </w:r>
      <w:r>
        <w:t>.</w:t>
      </w:r>
      <w:r w:rsidRPr="0085251A">
        <w:t xml:space="preserve"> 2011, </w:t>
      </w:r>
      <w:r w:rsidRPr="00956A93">
        <w:rPr>
          <w:i/>
        </w:rPr>
        <w:t>Foreign investment and Australian agriculture</w:t>
      </w:r>
      <w:r w:rsidRPr="0085251A">
        <w:t>, R</w:t>
      </w:r>
      <w:r>
        <w:t xml:space="preserve">ural Industries Research and Development Corporation, </w:t>
      </w:r>
      <w:r w:rsidRPr="0085251A">
        <w:t>Canberra, November</w:t>
      </w:r>
      <w:r>
        <w:t>.</w:t>
      </w:r>
    </w:p>
    <w:p w:rsidR="007544CA" w:rsidRDefault="007544CA" w:rsidP="007544CA">
      <w:pPr>
        <w:pStyle w:val="Reference"/>
        <w:rPr>
          <w:rStyle w:val="ReferenceChar"/>
        </w:rPr>
      </w:pPr>
      <w:r>
        <w:rPr>
          <w:rStyle w:val="ReferenceChar"/>
        </w:rPr>
        <w:t>Morrison, S. (Treasurer) 2016, Preliminary decision of foreign investment application for purchase of S. Kidman &amp; Co. Limited, media release, 050</w:t>
      </w:r>
      <w:r>
        <w:rPr>
          <w:rStyle w:val="ReferenceChar"/>
        </w:rPr>
        <w:noBreakHyphen/>
        <w:t>2016, 29 April.</w:t>
      </w:r>
    </w:p>
    <w:p w:rsidR="007544CA" w:rsidRDefault="007544CA" w:rsidP="007544CA">
      <w:pPr>
        <w:pStyle w:val="Reference"/>
      </w:pPr>
      <w:r>
        <w:t>OECD 2013, Budgeting for contingent liabilities, 34</w:t>
      </w:r>
      <w:r w:rsidRPr="00D84EB3">
        <w:rPr>
          <w:vertAlign w:val="superscript"/>
        </w:rPr>
        <w:t>th</w:t>
      </w:r>
      <w:r>
        <w:t xml:space="preserve"> annual meeting of senior budget officials, </w:t>
      </w:r>
      <w:proofErr w:type="spellStart"/>
      <w:r>
        <w:t>GOV</w:t>
      </w:r>
      <w:proofErr w:type="spellEnd"/>
      <w:r>
        <w:t>/</w:t>
      </w:r>
      <w:proofErr w:type="spellStart"/>
      <w:r>
        <w:t>PGC</w:t>
      </w:r>
      <w:proofErr w:type="spellEnd"/>
      <w:r>
        <w:t>/</w:t>
      </w:r>
      <w:proofErr w:type="spellStart"/>
      <w:r>
        <w:t>SBO</w:t>
      </w:r>
      <w:proofErr w:type="spellEnd"/>
      <w:r>
        <w:t>(2013)7, Paris, June.</w:t>
      </w:r>
    </w:p>
    <w:p w:rsidR="007544CA" w:rsidRDefault="007544CA" w:rsidP="007544CA">
      <w:pPr>
        <w:pStyle w:val="Reference"/>
      </w:pPr>
      <w:r>
        <w:t xml:space="preserve">PC (Productivity Commission) 2000, </w:t>
      </w:r>
      <w:r w:rsidRPr="000A4477">
        <w:rPr>
          <w:i/>
        </w:rPr>
        <w:t>Trade &amp; Assistance Review 1999</w:t>
      </w:r>
      <w:r>
        <w:rPr>
          <w:i/>
        </w:rPr>
        <w:t>–</w:t>
      </w:r>
      <w:r w:rsidRPr="000A4477">
        <w:rPr>
          <w:i/>
        </w:rPr>
        <w:t>2000</w:t>
      </w:r>
      <w:r>
        <w:t xml:space="preserve">, Annual Report Series, Canberra. </w:t>
      </w:r>
    </w:p>
    <w:p w:rsidR="007544CA" w:rsidRDefault="007544CA" w:rsidP="007544CA">
      <w:pPr>
        <w:pStyle w:val="Reference"/>
      </w:pPr>
      <w:r>
        <w:t xml:space="preserve">—— </w:t>
      </w:r>
      <w:proofErr w:type="spellStart"/>
      <w:r>
        <w:t>2004a</w:t>
      </w:r>
      <w:proofErr w:type="spellEnd"/>
      <w:r>
        <w:t xml:space="preserve">, </w:t>
      </w:r>
      <w:r w:rsidRPr="000A4477">
        <w:rPr>
          <w:i/>
        </w:rPr>
        <w:t>Rules of Origin under the Australia</w:t>
      </w:r>
      <w:r>
        <w:rPr>
          <w:i/>
        </w:rPr>
        <w:noBreakHyphen/>
      </w:r>
      <w:r w:rsidRPr="000A4477">
        <w:rPr>
          <w:i/>
        </w:rPr>
        <w:t>New Zealand Closer Economic Relations Trade Agreement</w:t>
      </w:r>
      <w:r>
        <w:t xml:space="preserve">, Productivity Commission Research Report, Canberra. </w:t>
      </w:r>
    </w:p>
    <w:p w:rsidR="007544CA" w:rsidRDefault="007544CA" w:rsidP="007544CA">
      <w:pPr>
        <w:pStyle w:val="Reference"/>
      </w:pPr>
      <w:r>
        <w:t xml:space="preserve">—— </w:t>
      </w:r>
      <w:proofErr w:type="spellStart"/>
      <w:r>
        <w:t>2004b</w:t>
      </w:r>
      <w:proofErr w:type="spellEnd"/>
      <w:r>
        <w:t xml:space="preserve">, </w:t>
      </w:r>
      <w:r w:rsidRPr="000A4477">
        <w:rPr>
          <w:i/>
        </w:rPr>
        <w:t>Trade &amp; Assistance Review 2003</w:t>
      </w:r>
      <w:r w:rsidRPr="000A4477">
        <w:rPr>
          <w:i/>
        </w:rPr>
        <w:noBreakHyphen/>
        <w:t>04</w:t>
      </w:r>
      <w:r>
        <w:t>, Annual Report Series, Canberra.</w:t>
      </w:r>
    </w:p>
    <w:p w:rsidR="007544CA" w:rsidRDefault="007544CA" w:rsidP="007544CA">
      <w:pPr>
        <w:pStyle w:val="Reference"/>
      </w:pPr>
      <w:r>
        <w:t xml:space="preserve">—— </w:t>
      </w:r>
      <w:proofErr w:type="spellStart"/>
      <w:r>
        <w:t>2008a</w:t>
      </w:r>
      <w:proofErr w:type="spellEnd"/>
      <w:r>
        <w:t xml:space="preserve">, </w:t>
      </w:r>
      <w:r w:rsidRPr="00956A93">
        <w:rPr>
          <w:i/>
        </w:rPr>
        <w:t>Annual Report 2007</w:t>
      </w:r>
      <w:r w:rsidRPr="00956A93">
        <w:rPr>
          <w:i/>
        </w:rPr>
        <w:noBreakHyphen/>
        <w:t>08</w:t>
      </w:r>
      <w:r>
        <w:t>, Annual Report Series, Productivity Commission, Canberra</w:t>
      </w:r>
    </w:p>
    <w:p w:rsidR="007544CA" w:rsidRDefault="007544CA" w:rsidP="007544CA">
      <w:pPr>
        <w:pStyle w:val="Reference"/>
      </w:pPr>
      <w:r>
        <w:t xml:space="preserve">—— </w:t>
      </w:r>
      <w:proofErr w:type="spellStart"/>
      <w:r>
        <w:t>2008b</w:t>
      </w:r>
      <w:proofErr w:type="spellEnd"/>
      <w:r>
        <w:t xml:space="preserve">, </w:t>
      </w:r>
      <w:r w:rsidRPr="005F57C9">
        <w:rPr>
          <w:i/>
        </w:rPr>
        <w:t>The ‘2001</w:t>
      </w:r>
      <w:r>
        <w:rPr>
          <w:i/>
        </w:rPr>
        <w:noBreakHyphen/>
      </w:r>
      <w:r w:rsidRPr="005F57C9">
        <w:rPr>
          <w:i/>
        </w:rPr>
        <w:t>02’ series of assistance estimates</w:t>
      </w:r>
      <w:r w:rsidRPr="005F57C9">
        <w:t>, Methodological Annex to Trade &amp; Assistance Review 2005</w:t>
      </w:r>
      <w:r w:rsidRPr="005F57C9">
        <w:noBreakHyphen/>
        <w:t>06 and 2006</w:t>
      </w:r>
      <w:r w:rsidRPr="005F57C9">
        <w:noBreakHyphen/>
        <w:t xml:space="preserve">07, Canberra. </w:t>
      </w:r>
    </w:p>
    <w:p w:rsidR="007544CA" w:rsidRDefault="007544CA" w:rsidP="007544CA">
      <w:pPr>
        <w:pStyle w:val="Reference"/>
      </w:pPr>
      <w:r>
        <w:t xml:space="preserve">—— 2009, </w:t>
      </w:r>
      <w:r w:rsidRPr="005207D0">
        <w:rPr>
          <w:i/>
        </w:rPr>
        <w:t>Government Drought Support</w:t>
      </w:r>
      <w:r>
        <w:t>, Final inquiry Report, no. 46, Melbourne.</w:t>
      </w:r>
    </w:p>
    <w:p w:rsidR="007544CA" w:rsidRDefault="007544CA" w:rsidP="007544CA">
      <w:pPr>
        <w:pStyle w:val="Reference"/>
      </w:pPr>
      <w:r>
        <w:t xml:space="preserve">—— 2010, </w:t>
      </w:r>
      <w:r w:rsidRPr="00522E82">
        <w:rPr>
          <w:i/>
        </w:rPr>
        <w:t>Bilateral and Regional Trade Agreements</w:t>
      </w:r>
      <w:r>
        <w:t>, Research Report, November, Melbourne</w:t>
      </w:r>
    </w:p>
    <w:p w:rsidR="007544CA" w:rsidRPr="005F57C9" w:rsidRDefault="007544CA" w:rsidP="007544CA">
      <w:pPr>
        <w:pStyle w:val="Reference"/>
      </w:pPr>
      <w:r>
        <w:t xml:space="preserve">—— </w:t>
      </w:r>
      <w:proofErr w:type="spellStart"/>
      <w:r>
        <w:t>2011a</w:t>
      </w:r>
      <w:proofErr w:type="spellEnd"/>
      <w:r>
        <w:t>,</w:t>
      </w:r>
      <w:r w:rsidRPr="005F57C9">
        <w:t xml:space="preserve"> </w:t>
      </w:r>
      <w:r w:rsidRPr="005F57C9">
        <w:rPr>
          <w:i/>
        </w:rPr>
        <w:t>Rural Research and Development Corporations</w:t>
      </w:r>
      <w:r w:rsidRPr="005F57C9">
        <w:t xml:space="preserve">, </w:t>
      </w:r>
      <w:r>
        <w:t>Final i</w:t>
      </w:r>
      <w:r w:rsidRPr="005F57C9">
        <w:t xml:space="preserve">nquiry Report, no. 52, Canberra. </w:t>
      </w:r>
    </w:p>
    <w:p w:rsidR="007544CA" w:rsidRPr="005F57C9" w:rsidRDefault="007544CA" w:rsidP="007544CA">
      <w:pPr>
        <w:pStyle w:val="Reference"/>
      </w:pPr>
      <w:r>
        <w:t xml:space="preserve">—— </w:t>
      </w:r>
      <w:proofErr w:type="spellStart"/>
      <w:r w:rsidRPr="005F57C9">
        <w:t>2011b</w:t>
      </w:r>
      <w:proofErr w:type="spellEnd"/>
      <w:r w:rsidRPr="005F57C9">
        <w:t xml:space="preserve">, </w:t>
      </w:r>
      <w:r w:rsidRPr="005F57C9">
        <w:rPr>
          <w:i/>
        </w:rPr>
        <w:t>Trade &amp; Assistance Review 2009</w:t>
      </w:r>
      <w:r w:rsidRPr="005F57C9">
        <w:rPr>
          <w:i/>
        </w:rPr>
        <w:noBreakHyphen/>
        <w:t>10</w:t>
      </w:r>
      <w:r w:rsidRPr="005F57C9">
        <w:t>, Annual Report Series, Canberra.</w:t>
      </w:r>
    </w:p>
    <w:p w:rsidR="007544CA" w:rsidRDefault="007544CA" w:rsidP="007544CA">
      <w:pPr>
        <w:pStyle w:val="Reference"/>
      </w:pPr>
      <w:r>
        <w:t xml:space="preserve">—— </w:t>
      </w:r>
      <w:proofErr w:type="spellStart"/>
      <w:r>
        <w:t>2011c</w:t>
      </w:r>
      <w:proofErr w:type="spellEnd"/>
      <w:r>
        <w:t xml:space="preserve">, </w:t>
      </w:r>
      <w:r w:rsidRPr="00303C88">
        <w:rPr>
          <w:i/>
        </w:rPr>
        <w:t>Australia’s</w:t>
      </w:r>
      <w:r>
        <w:t xml:space="preserve"> </w:t>
      </w:r>
      <w:r w:rsidRPr="00303C88">
        <w:rPr>
          <w:i/>
        </w:rPr>
        <w:t xml:space="preserve">Export </w:t>
      </w:r>
      <w:r>
        <w:rPr>
          <w:i/>
        </w:rPr>
        <w:t xml:space="preserve">Credit Arrangements, </w:t>
      </w:r>
      <w:r w:rsidRPr="00956A93">
        <w:t>Final</w:t>
      </w:r>
      <w:r>
        <w:rPr>
          <w:i/>
        </w:rPr>
        <w:t xml:space="preserve"> </w:t>
      </w:r>
      <w:r>
        <w:t>inquiry Report, no. 58, Canberra.</w:t>
      </w:r>
    </w:p>
    <w:p w:rsidR="007544CA" w:rsidRPr="005F57C9" w:rsidRDefault="007544CA" w:rsidP="007544CA">
      <w:pPr>
        <w:pStyle w:val="Reference"/>
      </w:pPr>
      <w:r>
        <w:t xml:space="preserve">—— </w:t>
      </w:r>
      <w:proofErr w:type="spellStart"/>
      <w:r>
        <w:t>2014a</w:t>
      </w:r>
      <w:proofErr w:type="spellEnd"/>
      <w:r>
        <w:t>,</w:t>
      </w:r>
      <w:r w:rsidRPr="005F57C9">
        <w:t xml:space="preserve"> </w:t>
      </w:r>
      <w:r w:rsidRPr="00956A93">
        <w:rPr>
          <w:i/>
        </w:rPr>
        <w:t>Public Infrastructure</w:t>
      </w:r>
      <w:r>
        <w:t>, Final i</w:t>
      </w:r>
      <w:r w:rsidRPr="005F57C9">
        <w:t xml:space="preserve">nquiry Report, no. </w:t>
      </w:r>
      <w:r>
        <w:t>71</w:t>
      </w:r>
      <w:r w:rsidRPr="005F57C9">
        <w:t xml:space="preserve">, Canberra. </w:t>
      </w:r>
    </w:p>
    <w:p w:rsidR="007544CA" w:rsidRPr="005F57C9" w:rsidRDefault="00133508" w:rsidP="007544CA">
      <w:pPr>
        <w:pStyle w:val="Reference"/>
      </w:pPr>
      <w:r>
        <w:lastRenderedPageBreak/>
        <w:t>—— </w:t>
      </w:r>
      <w:proofErr w:type="spellStart"/>
      <w:r w:rsidR="007544CA" w:rsidRPr="005F57C9">
        <w:t>2014</w:t>
      </w:r>
      <w:r w:rsidR="007544CA">
        <w:t>b</w:t>
      </w:r>
      <w:proofErr w:type="spellEnd"/>
      <w:r w:rsidR="007544CA" w:rsidRPr="005F57C9">
        <w:t xml:space="preserve">, </w:t>
      </w:r>
      <w:r w:rsidR="007544CA" w:rsidRPr="00956A93">
        <w:t>Methodological Annex: Estimation Framework, Coverage and Re</w:t>
      </w:r>
      <w:r w:rsidR="007544CA" w:rsidRPr="00956A93">
        <w:noBreakHyphen/>
        <w:t>benchmarking of Estimates</w:t>
      </w:r>
      <w:r w:rsidR="007544CA" w:rsidRPr="005F57C9">
        <w:t xml:space="preserve">, </w:t>
      </w:r>
      <w:r w:rsidR="007544CA" w:rsidRPr="00956A93">
        <w:rPr>
          <w:i/>
        </w:rPr>
        <w:t>Trade &amp; Assistance Review 2011</w:t>
      </w:r>
      <w:r w:rsidR="007544CA" w:rsidRPr="00956A93">
        <w:rPr>
          <w:i/>
        </w:rPr>
        <w:noBreakHyphen/>
        <w:t>12</w:t>
      </w:r>
      <w:r w:rsidR="007544CA" w:rsidRPr="005F57C9">
        <w:t xml:space="preserve">, Canberra. </w:t>
      </w:r>
    </w:p>
    <w:p w:rsidR="007544CA" w:rsidRDefault="007544CA" w:rsidP="007544CA">
      <w:pPr>
        <w:pStyle w:val="Reference"/>
      </w:pPr>
      <w:r>
        <w:t xml:space="preserve">—— </w:t>
      </w:r>
      <w:proofErr w:type="spellStart"/>
      <w:r>
        <w:t>2014c</w:t>
      </w:r>
      <w:proofErr w:type="spellEnd"/>
      <w:r>
        <w:t xml:space="preserve">, Methodological Annex to </w:t>
      </w:r>
      <w:r w:rsidRPr="000E2048">
        <w:rPr>
          <w:i/>
        </w:rPr>
        <w:t>Trade &amp; Assistance Review</w:t>
      </w:r>
      <w:r>
        <w:rPr>
          <w:i/>
        </w:rPr>
        <w:t xml:space="preserve"> 2011</w:t>
      </w:r>
      <w:r>
        <w:rPr>
          <w:i/>
        </w:rPr>
        <w:noBreakHyphen/>
        <w:t>12</w:t>
      </w:r>
      <w:r>
        <w:t>, Canberra.</w:t>
      </w:r>
      <w:r>
        <w:rPr>
          <w:i/>
        </w:rPr>
        <w:t xml:space="preserve"> </w:t>
      </w:r>
    </w:p>
    <w:p w:rsidR="007544CA" w:rsidRDefault="007544CA" w:rsidP="007544CA">
      <w:pPr>
        <w:pStyle w:val="Reference"/>
      </w:pPr>
      <w:r>
        <w:t xml:space="preserve">—— </w:t>
      </w:r>
      <w:proofErr w:type="spellStart"/>
      <w:r>
        <w:t>2014d</w:t>
      </w:r>
      <w:proofErr w:type="spellEnd"/>
      <w:r>
        <w:t>,</w:t>
      </w:r>
      <w:r w:rsidRPr="005F57C9">
        <w:t xml:space="preserve"> </w:t>
      </w:r>
      <w:r w:rsidRPr="005F57C9">
        <w:rPr>
          <w:i/>
        </w:rPr>
        <w:t>Tasmanian Shipping and Freight</w:t>
      </w:r>
      <w:r w:rsidRPr="005F57C9">
        <w:t xml:space="preserve">, </w:t>
      </w:r>
      <w:r>
        <w:t>Final i</w:t>
      </w:r>
      <w:r w:rsidRPr="005F57C9">
        <w:t>nquiry Report no. 69, Canberra.</w:t>
      </w:r>
    </w:p>
    <w:p w:rsidR="007544CA" w:rsidRDefault="007544CA" w:rsidP="007544CA">
      <w:pPr>
        <w:pStyle w:val="Reference"/>
      </w:pPr>
      <w:r>
        <w:t xml:space="preserve">—— </w:t>
      </w:r>
      <w:proofErr w:type="spellStart"/>
      <w:r>
        <w:t>2014e</w:t>
      </w:r>
      <w:proofErr w:type="spellEnd"/>
      <w:r>
        <w:t>,</w:t>
      </w:r>
      <w:r w:rsidRPr="005F57C9">
        <w:t xml:space="preserve"> </w:t>
      </w:r>
      <w:r w:rsidRPr="00522E82">
        <w:rPr>
          <w:i/>
        </w:rPr>
        <w:t>Australia’s Automotive Manufacturing</w:t>
      </w:r>
      <w:r>
        <w:rPr>
          <w:i/>
        </w:rPr>
        <w:t xml:space="preserve"> Industry</w:t>
      </w:r>
      <w:r w:rsidRPr="005F57C9">
        <w:t xml:space="preserve">, </w:t>
      </w:r>
      <w:r>
        <w:t>Final i</w:t>
      </w:r>
      <w:r w:rsidRPr="005F57C9">
        <w:t xml:space="preserve">nquiry Report no. </w:t>
      </w:r>
      <w:r>
        <w:t>70</w:t>
      </w:r>
      <w:r w:rsidRPr="005F57C9">
        <w:t>, Canberra.</w:t>
      </w:r>
    </w:p>
    <w:p w:rsidR="007544CA" w:rsidRDefault="007544CA" w:rsidP="007544CA">
      <w:pPr>
        <w:pStyle w:val="Reference"/>
      </w:pPr>
      <w:r>
        <w:t xml:space="preserve">—— 2015, </w:t>
      </w:r>
      <w:r w:rsidRPr="00284DBB">
        <w:rPr>
          <w:i/>
        </w:rPr>
        <w:t>Trade &amp; Assistance Review 2013</w:t>
      </w:r>
      <w:r w:rsidRPr="00284DBB">
        <w:rPr>
          <w:i/>
        </w:rPr>
        <w:noBreakHyphen/>
        <w:t>14</w:t>
      </w:r>
      <w:r>
        <w:t xml:space="preserve">, Annual Report Series Canberra. </w:t>
      </w:r>
    </w:p>
    <w:p w:rsidR="007544CA" w:rsidRDefault="007544CA" w:rsidP="007544CA">
      <w:pPr>
        <w:pStyle w:val="Reference"/>
        <w:rPr>
          <w:rStyle w:val="ReferenceChar"/>
        </w:rPr>
      </w:pPr>
      <w:r>
        <w:rPr>
          <w:rStyle w:val="ReferenceChar"/>
        </w:rPr>
        <w:t xml:space="preserve">—— </w:t>
      </w:r>
      <w:proofErr w:type="spellStart"/>
      <w:r>
        <w:rPr>
          <w:rStyle w:val="ReferenceChar"/>
        </w:rPr>
        <w:t>2016a</w:t>
      </w:r>
      <w:proofErr w:type="spellEnd"/>
      <w:r>
        <w:rPr>
          <w:rStyle w:val="ReferenceChar"/>
        </w:rPr>
        <w:t xml:space="preserve">, </w:t>
      </w:r>
      <w:r w:rsidRPr="00956A93">
        <w:rPr>
          <w:rStyle w:val="ReferenceChar"/>
          <w:i/>
        </w:rPr>
        <w:t>Developments in Anti</w:t>
      </w:r>
      <w:r>
        <w:rPr>
          <w:rStyle w:val="ReferenceChar"/>
          <w:i/>
        </w:rPr>
        <w:noBreakHyphen/>
      </w:r>
      <w:r w:rsidRPr="00956A93">
        <w:rPr>
          <w:rStyle w:val="ReferenceChar"/>
          <w:i/>
        </w:rPr>
        <w:t>dumping arrangements</w:t>
      </w:r>
      <w:r>
        <w:rPr>
          <w:rStyle w:val="ReferenceChar"/>
        </w:rPr>
        <w:t>, Productivity Commission Research Paper, February, Canberra.</w:t>
      </w:r>
    </w:p>
    <w:p w:rsidR="007544CA" w:rsidRDefault="007544CA" w:rsidP="007544CA">
      <w:pPr>
        <w:pStyle w:val="Reference"/>
        <w:rPr>
          <w:rStyle w:val="ReferenceChar"/>
        </w:rPr>
      </w:pPr>
      <w:r>
        <w:rPr>
          <w:rStyle w:val="ReferenceChar"/>
        </w:rPr>
        <w:t xml:space="preserve">—— </w:t>
      </w:r>
      <w:proofErr w:type="spellStart"/>
      <w:r>
        <w:rPr>
          <w:rStyle w:val="ReferenceChar"/>
        </w:rPr>
        <w:t>2016b</w:t>
      </w:r>
      <w:proofErr w:type="spellEnd"/>
      <w:r>
        <w:rPr>
          <w:rStyle w:val="ReferenceChar"/>
        </w:rPr>
        <w:t xml:space="preserve">, </w:t>
      </w:r>
      <w:r w:rsidRPr="00956A93">
        <w:rPr>
          <w:rStyle w:val="ReferenceChar"/>
          <w:i/>
        </w:rPr>
        <w:t>Regulation of Agriculture</w:t>
      </w:r>
      <w:r>
        <w:rPr>
          <w:rStyle w:val="ReferenceChar"/>
        </w:rPr>
        <w:t>, Draft inquiry Report, July, Canberra.</w:t>
      </w:r>
    </w:p>
    <w:p w:rsidR="007544CA" w:rsidRPr="00193E5A" w:rsidRDefault="007544CA" w:rsidP="007544CA">
      <w:pPr>
        <w:pStyle w:val="Reference"/>
      </w:pPr>
      <w:r>
        <w:t xml:space="preserve">SA (Screen Australia) 2016, Drama Production Activity Summary, </w:t>
      </w:r>
      <w:hyperlink r:id="rId65" w:history="1">
        <w:r w:rsidRPr="00963ECC">
          <w:t>https://www.screenaustralia.gov.au/fact-finders/production-trends/drama-production-overview/dramaallactivitysummary</w:t>
        </w:r>
      </w:hyperlink>
      <w:r w:rsidRPr="00963ECC">
        <w:t xml:space="preserve"> (</w:t>
      </w:r>
      <w:r>
        <w:t xml:space="preserve">accessed 16 May 2016). </w:t>
      </w:r>
    </w:p>
    <w:p w:rsidR="007544CA" w:rsidRPr="007544CA" w:rsidRDefault="007544CA" w:rsidP="007544CA">
      <w:pPr>
        <w:pStyle w:val="Reference"/>
      </w:pPr>
      <w:r>
        <w:t>Treasury 2001</w:t>
      </w:r>
      <w:r w:rsidRPr="005F57C9">
        <w:t xml:space="preserve">, </w:t>
      </w:r>
      <w:r w:rsidRPr="005F57C9">
        <w:rPr>
          <w:i/>
        </w:rPr>
        <w:t>History of Fuel Taxation in Australia</w:t>
      </w:r>
      <w:r w:rsidRPr="005F57C9">
        <w:t xml:space="preserve">, Background paper to the Fuel Taxation </w:t>
      </w:r>
      <w:r>
        <w:t>i</w:t>
      </w:r>
      <w:r w:rsidRPr="005F57C9">
        <w:t>nquiry, March.</w:t>
      </w:r>
    </w:p>
    <w:sectPr w:rsidR="007544CA" w:rsidRPr="007544CA" w:rsidSect="007544CA">
      <w:headerReference w:type="even" r:id="rId66"/>
      <w:headerReference w:type="default" r:id="rId67"/>
      <w:footerReference w:type="even" r:id="rId68"/>
      <w:footerReference w:type="default" r:id="rId69"/>
      <w:type w:val="oddPage"/>
      <w:pgSz w:w="11907" w:h="16840" w:code="9"/>
      <w:pgMar w:top="1985" w:right="1304" w:bottom="1247" w:left="1814" w:header="1701" w:footer="397" w:gutter="0"/>
      <w:pgNumType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341" w:rsidRDefault="00E94341">
      <w:r>
        <w:separator/>
      </w:r>
    </w:p>
  </w:endnote>
  <w:endnote w:type="continuationSeparator" w:id="0">
    <w:p w:rsidR="00E94341" w:rsidRDefault="00E94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E94341" w:rsidTr="007544CA">
      <w:trPr>
        <w:trHeight w:val="567"/>
      </w:trPr>
      <w:tc>
        <w:tcPr>
          <w:tcW w:w="510" w:type="dxa"/>
          <w:tcBorders>
            <w:top w:val="single" w:sz="4" w:space="0" w:color="auto"/>
          </w:tcBorders>
          <w:shd w:val="clear" w:color="auto" w:fill="auto"/>
        </w:tcPr>
        <w:p w:rsidR="00E94341" w:rsidRPr="007544CA" w:rsidRDefault="00E94341" w:rsidP="007544CA">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66344">
            <w:rPr>
              <w:rStyle w:val="PageNumber"/>
              <w:noProof/>
            </w:rPr>
            <w:t>2</w:t>
          </w:r>
          <w:r>
            <w:rPr>
              <w:rStyle w:val="PageNumber"/>
            </w:rPr>
            <w:fldChar w:fldCharType="end"/>
          </w:r>
        </w:p>
      </w:tc>
      <w:tc>
        <w:tcPr>
          <w:tcW w:w="7767" w:type="dxa"/>
          <w:tcBorders>
            <w:top w:val="single" w:sz="4" w:space="0" w:color="auto"/>
          </w:tcBorders>
          <w:shd w:val="clear" w:color="auto" w:fill="auto"/>
        </w:tcPr>
        <w:p w:rsidR="00E94341" w:rsidRDefault="00E94341" w:rsidP="007544CA">
          <w:pPr>
            <w:pStyle w:val="Footer"/>
          </w:pPr>
          <w:r>
            <w:t>TRADE &amp; ASSISTANCE REVIEW 2014-15</w:t>
          </w:r>
        </w:p>
      </w:tc>
      <w:tc>
        <w:tcPr>
          <w:tcW w:w="510" w:type="dxa"/>
          <w:tcBorders>
            <w:top w:val="single" w:sz="4" w:space="0" w:color="auto"/>
          </w:tcBorders>
          <w:shd w:val="clear" w:color="auto" w:fill="auto"/>
        </w:tcPr>
        <w:p w:rsidR="00E94341" w:rsidRDefault="00E94341" w:rsidP="007544CA">
          <w:pPr>
            <w:pStyle w:val="Footer"/>
          </w:pPr>
        </w:p>
      </w:tc>
    </w:tr>
  </w:tbl>
  <w:p w:rsidR="00E94341" w:rsidRPr="007544CA" w:rsidRDefault="00E94341" w:rsidP="007544CA">
    <w:pPr>
      <w:pStyle w:val="FooterEnd"/>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E94341" w:rsidTr="007544CA">
      <w:trPr>
        <w:trHeight w:val="567"/>
      </w:trPr>
      <w:tc>
        <w:tcPr>
          <w:tcW w:w="510" w:type="dxa"/>
          <w:tcBorders>
            <w:top w:val="single" w:sz="4" w:space="0" w:color="auto"/>
          </w:tcBorders>
          <w:shd w:val="clear" w:color="auto" w:fill="auto"/>
        </w:tcPr>
        <w:p w:rsidR="00E94341" w:rsidRDefault="00E94341" w:rsidP="007544CA">
          <w:pPr>
            <w:pStyle w:val="Footer"/>
          </w:pPr>
        </w:p>
      </w:tc>
      <w:tc>
        <w:tcPr>
          <w:tcW w:w="7767" w:type="dxa"/>
          <w:tcBorders>
            <w:top w:val="single" w:sz="4" w:space="0" w:color="auto"/>
          </w:tcBorders>
          <w:shd w:val="clear" w:color="auto" w:fill="auto"/>
        </w:tcPr>
        <w:p w:rsidR="00E94341" w:rsidRDefault="00E94341" w:rsidP="007544CA">
          <w:pPr>
            <w:pStyle w:val="Footer"/>
            <w:jc w:val="right"/>
          </w:pPr>
          <w:r>
            <w:t>DETAILED ESTIMATES OF AUSTRALIAN GOVERNMENT ASSISTANCE TO INDUSTRY</w:t>
          </w:r>
        </w:p>
      </w:tc>
      <w:tc>
        <w:tcPr>
          <w:tcW w:w="510" w:type="dxa"/>
          <w:tcBorders>
            <w:top w:val="single" w:sz="4" w:space="0" w:color="auto"/>
          </w:tcBorders>
          <w:shd w:val="clear" w:color="auto" w:fill="auto"/>
        </w:tcPr>
        <w:p w:rsidR="00E94341" w:rsidRPr="007544CA" w:rsidRDefault="00E94341" w:rsidP="007544CA">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66344">
            <w:rPr>
              <w:rStyle w:val="PageNumber"/>
              <w:noProof/>
            </w:rPr>
            <w:t>69</w:t>
          </w:r>
          <w:r>
            <w:rPr>
              <w:rStyle w:val="PageNumber"/>
            </w:rPr>
            <w:fldChar w:fldCharType="end"/>
          </w:r>
        </w:p>
      </w:tc>
    </w:tr>
  </w:tbl>
  <w:p w:rsidR="00E94341" w:rsidRPr="007544CA" w:rsidRDefault="00E94341" w:rsidP="007544CA">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E94341" w:rsidTr="007544CA">
      <w:trPr>
        <w:trHeight w:val="567"/>
      </w:trPr>
      <w:tc>
        <w:tcPr>
          <w:tcW w:w="510" w:type="dxa"/>
          <w:tcBorders>
            <w:top w:val="single" w:sz="4" w:space="0" w:color="auto"/>
          </w:tcBorders>
          <w:shd w:val="clear" w:color="auto" w:fill="auto"/>
        </w:tcPr>
        <w:p w:rsidR="00E94341" w:rsidRPr="007544CA" w:rsidRDefault="00E94341" w:rsidP="007544CA">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66344">
            <w:rPr>
              <w:rStyle w:val="PageNumber"/>
              <w:noProof/>
            </w:rPr>
            <w:t>72</w:t>
          </w:r>
          <w:r>
            <w:rPr>
              <w:rStyle w:val="PageNumber"/>
            </w:rPr>
            <w:fldChar w:fldCharType="end"/>
          </w:r>
        </w:p>
      </w:tc>
      <w:tc>
        <w:tcPr>
          <w:tcW w:w="7767" w:type="dxa"/>
          <w:tcBorders>
            <w:top w:val="single" w:sz="4" w:space="0" w:color="auto"/>
          </w:tcBorders>
          <w:shd w:val="clear" w:color="auto" w:fill="auto"/>
        </w:tcPr>
        <w:p w:rsidR="00E94341" w:rsidRDefault="00E94341" w:rsidP="007544CA">
          <w:pPr>
            <w:pStyle w:val="Footer"/>
          </w:pPr>
          <w:r>
            <w:t>TRADE &amp; ASSISTANCE REVIEW 2014-15</w:t>
          </w:r>
        </w:p>
      </w:tc>
      <w:tc>
        <w:tcPr>
          <w:tcW w:w="510" w:type="dxa"/>
          <w:tcBorders>
            <w:top w:val="single" w:sz="4" w:space="0" w:color="auto"/>
          </w:tcBorders>
          <w:shd w:val="clear" w:color="auto" w:fill="auto"/>
        </w:tcPr>
        <w:p w:rsidR="00E94341" w:rsidRDefault="00E94341" w:rsidP="007544CA">
          <w:pPr>
            <w:pStyle w:val="Footer"/>
          </w:pPr>
        </w:p>
      </w:tc>
    </w:tr>
  </w:tbl>
  <w:p w:rsidR="00E94341" w:rsidRPr="007544CA" w:rsidRDefault="00E94341" w:rsidP="007544CA">
    <w:pPr>
      <w:pStyle w:val="FooterEnd"/>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E94341" w:rsidTr="007544CA">
      <w:trPr>
        <w:trHeight w:val="567"/>
      </w:trPr>
      <w:tc>
        <w:tcPr>
          <w:tcW w:w="510" w:type="dxa"/>
          <w:tcBorders>
            <w:top w:val="single" w:sz="4" w:space="0" w:color="auto"/>
          </w:tcBorders>
          <w:shd w:val="clear" w:color="auto" w:fill="auto"/>
        </w:tcPr>
        <w:p w:rsidR="00E94341" w:rsidRDefault="00E94341" w:rsidP="007544CA">
          <w:pPr>
            <w:pStyle w:val="Footer"/>
          </w:pPr>
        </w:p>
      </w:tc>
      <w:tc>
        <w:tcPr>
          <w:tcW w:w="7767" w:type="dxa"/>
          <w:tcBorders>
            <w:top w:val="single" w:sz="4" w:space="0" w:color="auto"/>
          </w:tcBorders>
          <w:shd w:val="clear" w:color="auto" w:fill="auto"/>
        </w:tcPr>
        <w:p w:rsidR="00E94341" w:rsidRDefault="00E94341" w:rsidP="007544CA">
          <w:pPr>
            <w:pStyle w:val="Footer"/>
            <w:jc w:val="right"/>
          </w:pPr>
          <w:r>
            <w:t>RECENT DEVELOPMENTS IN INDUSTRY ASSISTANCE</w:t>
          </w:r>
        </w:p>
      </w:tc>
      <w:tc>
        <w:tcPr>
          <w:tcW w:w="510" w:type="dxa"/>
          <w:tcBorders>
            <w:top w:val="single" w:sz="4" w:space="0" w:color="auto"/>
          </w:tcBorders>
          <w:shd w:val="clear" w:color="auto" w:fill="auto"/>
        </w:tcPr>
        <w:p w:rsidR="00E94341" w:rsidRPr="007544CA" w:rsidRDefault="00E94341" w:rsidP="007544CA">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66344">
            <w:rPr>
              <w:rStyle w:val="PageNumber"/>
              <w:noProof/>
            </w:rPr>
            <w:t>71</w:t>
          </w:r>
          <w:r>
            <w:rPr>
              <w:rStyle w:val="PageNumber"/>
            </w:rPr>
            <w:fldChar w:fldCharType="end"/>
          </w:r>
        </w:p>
      </w:tc>
    </w:tr>
  </w:tbl>
  <w:p w:rsidR="00E94341" w:rsidRPr="007544CA" w:rsidRDefault="00E94341" w:rsidP="007544CA">
    <w:pPr>
      <w:pStyle w:val="FooterEnd"/>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341" w:rsidRPr="007544CA" w:rsidRDefault="00E94341" w:rsidP="007544CA">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66344">
      <w:rPr>
        <w:rStyle w:val="PageNumber"/>
        <w:noProof/>
      </w:rPr>
      <w:t>82</w:t>
    </w:r>
    <w:r>
      <w:rPr>
        <w:rStyle w:val="PageNumber"/>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341" w:rsidRPr="007544CA" w:rsidRDefault="00E94341" w:rsidP="007544CA">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66344">
      <w:rPr>
        <w:rStyle w:val="PageNumber"/>
        <w:noProof/>
      </w:rPr>
      <w:t>81</w:t>
    </w:r>
    <w:r>
      <w:rPr>
        <w:rStyle w:val="PageNumber"/>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341" w:rsidRDefault="00E94341">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E94341" w:rsidTr="007544CA">
      <w:trPr>
        <w:trHeight w:val="567"/>
      </w:trPr>
      <w:tc>
        <w:tcPr>
          <w:tcW w:w="510" w:type="dxa"/>
          <w:tcBorders>
            <w:top w:val="single" w:sz="4" w:space="0" w:color="auto"/>
          </w:tcBorders>
          <w:shd w:val="clear" w:color="auto" w:fill="auto"/>
        </w:tcPr>
        <w:p w:rsidR="00E94341" w:rsidRPr="007544CA" w:rsidRDefault="00E94341" w:rsidP="007544CA">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66344">
            <w:rPr>
              <w:rStyle w:val="PageNumber"/>
              <w:noProof/>
            </w:rPr>
            <w:t>84</w:t>
          </w:r>
          <w:r>
            <w:rPr>
              <w:rStyle w:val="PageNumber"/>
            </w:rPr>
            <w:fldChar w:fldCharType="end"/>
          </w:r>
        </w:p>
      </w:tc>
      <w:tc>
        <w:tcPr>
          <w:tcW w:w="7767" w:type="dxa"/>
          <w:tcBorders>
            <w:top w:val="single" w:sz="4" w:space="0" w:color="auto"/>
          </w:tcBorders>
          <w:shd w:val="clear" w:color="auto" w:fill="auto"/>
        </w:tcPr>
        <w:p w:rsidR="00E94341" w:rsidRDefault="00E94341" w:rsidP="007544CA">
          <w:pPr>
            <w:pStyle w:val="Footer"/>
            <w:rPr>
              <w:rStyle w:val="PageNumber"/>
              <w:b w:val="0"/>
            </w:rPr>
          </w:pPr>
          <w:r>
            <w:rPr>
              <w:rStyle w:val="PageNumber"/>
              <w:b w:val="0"/>
            </w:rPr>
            <w:t>TRADE &amp; ASSISTANCE REVIEW 2014-15</w:t>
          </w:r>
        </w:p>
      </w:tc>
      <w:tc>
        <w:tcPr>
          <w:tcW w:w="510" w:type="dxa"/>
          <w:tcBorders>
            <w:top w:val="single" w:sz="4" w:space="0" w:color="auto"/>
          </w:tcBorders>
          <w:shd w:val="clear" w:color="auto" w:fill="auto"/>
        </w:tcPr>
        <w:p w:rsidR="00E94341" w:rsidRDefault="00E94341" w:rsidP="007544CA">
          <w:pPr>
            <w:pStyle w:val="Footer"/>
            <w:rPr>
              <w:rStyle w:val="PageNumber"/>
              <w:b w:val="0"/>
            </w:rPr>
          </w:pPr>
        </w:p>
      </w:tc>
    </w:tr>
  </w:tbl>
  <w:p w:rsidR="00E94341" w:rsidRPr="007544CA" w:rsidRDefault="00E94341" w:rsidP="007544CA">
    <w:pPr>
      <w:pStyle w:val="FooterEnd"/>
      <w:rPr>
        <w:rStyle w:val="PageNumber"/>
        <w:b w:val="0"/>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E94341" w:rsidTr="007544CA">
      <w:trPr>
        <w:trHeight w:val="567"/>
      </w:trPr>
      <w:tc>
        <w:tcPr>
          <w:tcW w:w="510" w:type="dxa"/>
          <w:tcBorders>
            <w:top w:val="single" w:sz="4" w:space="0" w:color="auto"/>
          </w:tcBorders>
          <w:shd w:val="clear" w:color="auto" w:fill="auto"/>
        </w:tcPr>
        <w:p w:rsidR="00E94341" w:rsidRDefault="00E94341" w:rsidP="007544CA">
          <w:pPr>
            <w:pStyle w:val="Footer"/>
            <w:rPr>
              <w:rStyle w:val="PageNumber"/>
              <w:b w:val="0"/>
            </w:rPr>
          </w:pPr>
        </w:p>
      </w:tc>
      <w:tc>
        <w:tcPr>
          <w:tcW w:w="7767" w:type="dxa"/>
          <w:tcBorders>
            <w:top w:val="single" w:sz="4" w:space="0" w:color="auto"/>
          </w:tcBorders>
          <w:shd w:val="clear" w:color="auto" w:fill="auto"/>
        </w:tcPr>
        <w:p w:rsidR="00E94341" w:rsidRDefault="00E94341" w:rsidP="007544CA">
          <w:pPr>
            <w:pStyle w:val="Footer"/>
            <w:jc w:val="right"/>
            <w:rPr>
              <w:rStyle w:val="PageNumber"/>
              <w:b w:val="0"/>
            </w:rPr>
          </w:pPr>
          <w:r>
            <w:rPr>
              <w:rStyle w:val="PageNumber"/>
              <w:b w:val="0"/>
            </w:rPr>
            <w:t>References</w:t>
          </w:r>
        </w:p>
      </w:tc>
      <w:tc>
        <w:tcPr>
          <w:tcW w:w="510" w:type="dxa"/>
          <w:tcBorders>
            <w:top w:val="single" w:sz="4" w:space="0" w:color="auto"/>
          </w:tcBorders>
          <w:shd w:val="clear" w:color="auto" w:fill="auto"/>
        </w:tcPr>
        <w:p w:rsidR="00E94341" w:rsidRPr="007544CA" w:rsidRDefault="00E94341" w:rsidP="007544CA">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66344">
            <w:rPr>
              <w:rStyle w:val="PageNumber"/>
              <w:noProof/>
            </w:rPr>
            <w:t>83</w:t>
          </w:r>
          <w:r>
            <w:rPr>
              <w:rStyle w:val="PageNumber"/>
            </w:rPr>
            <w:fldChar w:fldCharType="end"/>
          </w:r>
        </w:p>
      </w:tc>
    </w:tr>
  </w:tbl>
  <w:p w:rsidR="00E94341" w:rsidRPr="007544CA" w:rsidRDefault="00E94341" w:rsidP="007544CA">
    <w:pPr>
      <w:pStyle w:val="FooterEnd"/>
      <w:rPr>
        <w:rStyle w:val="PageNumber"/>
        <w:b w:val="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E94341" w:rsidTr="007544CA">
      <w:trPr>
        <w:trHeight w:val="567"/>
      </w:trPr>
      <w:tc>
        <w:tcPr>
          <w:tcW w:w="510" w:type="dxa"/>
          <w:tcBorders>
            <w:top w:val="single" w:sz="4" w:space="0" w:color="auto"/>
          </w:tcBorders>
          <w:shd w:val="clear" w:color="auto" w:fill="auto"/>
        </w:tcPr>
        <w:p w:rsidR="00E94341" w:rsidRDefault="00E94341" w:rsidP="007544CA">
          <w:pPr>
            <w:pStyle w:val="Footer"/>
          </w:pPr>
        </w:p>
      </w:tc>
      <w:tc>
        <w:tcPr>
          <w:tcW w:w="7767" w:type="dxa"/>
          <w:tcBorders>
            <w:top w:val="single" w:sz="4" w:space="0" w:color="auto"/>
          </w:tcBorders>
          <w:shd w:val="clear" w:color="auto" w:fill="auto"/>
        </w:tcPr>
        <w:p w:rsidR="00E94341" w:rsidRDefault="00E94341" w:rsidP="007544CA">
          <w:pPr>
            <w:pStyle w:val="Footer"/>
            <w:jc w:val="right"/>
          </w:pPr>
          <w:r>
            <w:t>KEY RESULTS AND THEIR INTERPRETATION</w:t>
          </w:r>
        </w:p>
      </w:tc>
      <w:tc>
        <w:tcPr>
          <w:tcW w:w="510" w:type="dxa"/>
          <w:tcBorders>
            <w:top w:val="single" w:sz="4" w:space="0" w:color="auto"/>
          </w:tcBorders>
          <w:shd w:val="clear" w:color="auto" w:fill="auto"/>
        </w:tcPr>
        <w:p w:rsidR="00E94341" w:rsidRPr="007544CA" w:rsidRDefault="00E94341" w:rsidP="007544CA">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66344">
            <w:rPr>
              <w:rStyle w:val="PageNumber"/>
              <w:noProof/>
            </w:rPr>
            <w:t>3</w:t>
          </w:r>
          <w:r>
            <w:rPr>
              <w:rStyle w:val="PageNumber"/>
            </w:rPr>
            <w:fldChar w:fldCharType="end"/>
          </w:r>
        </w:p>
      </w:tc>
    </w:tr>
  </w:tbl>
  <w:p w:rsidR="00E94341" w:rsidRPr="007544CA" w:rsidRDefault="00E94341" w:rsidP="007544CA">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E94341" w:rsidTr="007544CA">
      <w:trPr>
        <w:trHeight w:val="567"/>
      </w:trPr>
      <w:tc>
        <w:tcPr>
          <w:tcW w:w="510" w:type="dxa"/>
          <w:tcBorders>
            <w:top w:val="single" w:sz="4" w:space="0" w:color="auto"/>
          </w:tcBorders>
          <w:shd w:val="clear" w:color="auto" w:fill="auto"/>
        </w:tcPr>
        <w:p w:rsidR="00E94341" w:rsidRPr="007544CA" w:rsidRDefault="00E94341" w:rsidP="007544CA">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66344">
            <w:rPr>
              <w:rStyle w:val="PageNumber"/>
              <w:noProof/>
            </w:rPr>
            <w:t>28</w:t>
          </w:r>
          <w:r>
            <w:rPr>
              <w:rStyle w:val="PageNumber"/>
            </w:rPr>
            <w:fldChar w:fldCharType="end"/>
          </w:r>
        </w:p>
      </w:tc>
      <w:tc>
        <w:tcPr>
          <w:tcW w:w="7767" w:type="dxa"/>
          <w:tcBorders>
            <w:top w:val="single" w:sz="4" w:space="0" w:color="auto"/>
          </w:tcBorders>
          <w:shd w:val="clear" w:color="auto" w:fill="auto"/>
        </w:tcPr>
        <w:p w:rsidR="00E94341" w:rsidRDefault="00E94341" w:rsidP="007544CA">
          <w:pPr>
            <w:pStyle w:val="Footer"/>
          </w:pPr>
          <w:r>
            <w:t>TRADE &amp; ASSISTANCE REVIEW 2014-15</w:t>
          </w:r>
        </w:p>
      </w:tc>
      <w:tc>
        <w:tcPr>
          <w:tcW w:w="510" w:type="dxa"/>
          <w:tcBorders>
            <w:top w:val="single" w:sz="4" w:space="0" w:color="auto"/>
          </w:tcBorders>
          <w:shd w:val="clear" w:color="auto" w:fill="auto"/>
        </w:tcPr>
        <w:p w:rsidR="00E94341" w:rsidRDefault="00E94341" w:rsidP="007544CA">
          <w:pPr>
            <w:pStyle w:val="Footer"/>
          </w:pPr>
        </w:p>
      </w:tc>
    </w:tr>
  </w:tbl>
  <w:p w:rsidR="00E94341" w:rsidRPr="007544CA" w:rsidRDefault="00E94341" w:rsidP="007544CA">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E94341" w:rsidTr="007544CA">
      <w:trPr>
        <w:trHeight w:val="567"/>
      </w:trPr>
      <w:tc>
        <w:tcPr>
          <w:tcW w:w="510" w:type="dxa"/>
          <w:tcBorders>
            <w:top w:val="single" w:sz="4" w:space="0" w:color="auto"/>
          </w:tcBorders>
          <w:shd w:val="clear" w:color="auto" w:fill="auto"/>
        </w:tcPr>
        <w:p w:rsidR="00E94341" w:rsidRDefault="00E94341" w:rsidP="007544CA">
          <w:pPr>
            <w:pStyle w:val="Footer"/>
          </w:pPr>
        </w:p>
      </w:tc>
      <w:tc>
        <w:tcPr>
          <w:tcW w:w="7767" w:type="dxa"/>
          <w:tcBorders>
            <w:top w:val="single" w:sz="4" w:space="0" w:color="auto"/>
          </w:tcBorders>
          <w:shd w:val="clear" w:color="auto" w:fill="auto"/>
        </w:tcPr>
        <w:p w:rsidR="00E94341" w:rsidRDefault="00E94341" w:rsidP="007544CA">
          <w:pPr>
            <w:pStyle w:val="Footer"/>
            <w:jc w:val="right"/>
          </w:pPr>
          <w:proofErr w:type="spellStart"/>
          <w:r>
            <w:t>ASSISTANACE</w:t>
          </w:r>
          <w:proofErr w:type="spellEnd"/>
          <w:r>
            <w:t xml:space="preserve"> ESTIMATES</w:t>
          </w:r>
        </w:p>
      </w:tc>
      <w:tc>
        <w:tcPr>
          <w:tcW w:w="510" w:type="dxa"/>
          <w:tcBorders>
            <w:top w:val="single" w:sz="4" w:space="0" w:color="auto"/>
          </w:tcBorders>
          <w:shd w:val="clear" w:color="auto" w:fill="auto"/>
        </w:tcPr>
        <w:p w:rsidR="00E94341" w:rsidRPr="007544CA" w:rsidRDefault="00E94341" w:rsidP="007544CA">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66344">
            <w:rPr>
              <w:rStyle w:val="PageNumber"/>
              <w:noProof/>
            </w:rPr>
            <w:t>29</w:t>
          </w:r>
          <w:r>
            <w:rPr>
              <w:rStyle w:val="PageNumber"/>
            </w:rPr>
            <w:fldChar w:fldCharType="end"/>
          </w:r>
        </w:p>
      </w:tc>
    </w:tr>
  </w:tbl>
  <w:p w:rsidR="00E94341" w:rsidRPr="007544CA" w:rsidRDefault="00E94341" w:rsidP="007544CA">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E94341" w:rsidTr="007544CA">
      <w:trPr>
        <w:trHeight w:val="567"/>
      </w:trPr>
      <w:tc>
        <w:tcPr>
          <w:tcW w:w="510" w:type="dxa"/>
          <w:tcBorders>
            <w:top w:val="single" w:sz="4" w:space="0" w:color="auto"/>
          </w:tcBorders>
          <w:shd w:val="clear" w:color="auto" w:fill="auto"/>
        </w:tcPr>
        <w:p w:rsidR="00E94341" w:rsidRPr="007544CA" w:rsidRDefault="00E94341" w:rsidP="007544CA">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66344">
            <w:rPr>
              <w:rStyle w:val="PageNumber"/>
              <w:noProof/>
            </w:rPr>
            <w:t>46</w:t>
          </w:r>
          <w:r>
            <w:rPr>
              <w:rStyle w:val="PageNumber"/>
            </w:rPr>
            <w:fldChar w:fldCharType="end"/>
          </w:r>
        </w:p>
      </w:tc>
      <w:tc>
        <w:tcPr>
          <w:tcW w:w="7767" w:type="dxa"/>
          <w:tcBorders>
            <w:top w:val="single" w:sz="4" w:space="0" w:color="auto"/>
          </w:tcBorders>
          <w:shd w:val="clear" w:color="auto" w:fill="auto"/>
        </w:tcPr>
        <w:p w:rsidR="00E94341" w:rsidRDefault="00E94341" w:rsidP="007544CA">
          <w:pPr>
            <w:pStyle w:val="Footer"/>
          </w:pPr>
          <w:r>
            <w:t>TRADE &amp; ASSISTANCE REVIEW 2014-15</w:t>
          </w:r>
        </w:p>
      </w:tc>
      <w:tc>
        <w:tcPr>
          <w:tcW w:w="510" w:type="dxa"/>
          <w:tcBorders>
            <w:top w:val="single" w:sz="4" w:space="0" w:color="auto"/>
          </w:tcBorders>
          <w:shd w:val="clear" w:color="auto" w:fill="auto"/>
        </w:tcPr>
        <w:p w:rsidR="00E94341" w:rsidRDefault="00E94341" w:rsidP="007544CA">
          <w:pPr>
            <w:pStyle w:val="Footer"/>
          </w:pPr>
        </w:p>
      </w:tc>
    </w:tr>
  </w:tbl>
  <w:p w:rsidR="00E94341" w:rsidRPr="007544CA" w:rsidRDefault="00E94341" w:rsidP="007544CA">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E94341" w:rsidTr="007544CA">
      <w:trPr>
        <w:trHeight w:val="567"/>
      </w:trPr>
      <w:tc>
        <w:tcPr>
          <w:tcW w:w="510" w:type="dxa"/>
          <w:tcBorders>
            <w:top w:val="single" w:sz="4" w:space="0" w:color="auto"/>
          </w:tcBorders>
          <w:shd w:val="clear" w:color="auto" w:fill="auto"/>
        </w:tcPr>
        <w:p w:rsidR="00E94341" w:rsidRDefault="00E94341" w:rsidP="007544CA">
          <w:pPr>
            <w:pStyle w:val="Footer"/>
          </w:pPr>
        </w:p>
      </w:tc>
      <w:tc>
        <w:tcPr>
          <w:tcW w:w="7767" w:type="dxa"/>
          <w:tcBorders>
            <w:top w:val="single" w:sz="4" w:space="0" w:color="auto"/>
          </w:tcBorders>
          <w:shd w:val="clear" w:color="auto" w:fill="auto"/>
        </w:tcPr>
        <w:p w:rsidR="00E94341" w:rsidRDefault="00E94341" w:rsidP="007544CA">
          <w:pPr>
            <w:pStyle w:val="Footer"/>
            <w:jc w:val="right"/>
          </w:pPr>
          <w:r>
            <w:t>FIVE RECENT DEVELOPMENTS IN INDUSTRY ASSISTANCE</w:t>
          </w:r>
        </w:p>
      </w:tc>
      <w:tc>
        <w:tcPr>
          <w:tcW w:w="510" w:type="dxa"/>
          <w:tcBorders>
            <w:top w:val="single" w:sz="4" w:space="0" w:color="auto"/>
          </w:tcBorders>
          <w:shd w:val="clear" w:color="auto" w:fill="auto"/>
        </w:tcPr>
        <w:p w:rsidR="00E94341" w:rsidRPr="007544CA" w:rsidRDefault="00E94341" w:rsidP="007544CA">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66344">
            <w:rPr>
              <w:rStyle w:val="PageNumber"/>
              <w:noProof/>
            </w:rPr>
            <w:t>45</w:t>
          </w:r>
          <w:r>
            <w:rPr>
              <w:rStyle w:val="PageNumber"/>
            </w:rPr>
            <w:fldChar w:fldCharType="end"/>
          </w:r>
        </w:p>
      </w:tc>
    </w:tr>
  </w:tbl>
  <w:p w:rsidR="00E94341" w:rsidRPr="007544CA" w:rsidRDefault="00E94341" w:rsidP="007544CA">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E94341" w:rsidTr="007544CA">
      <w:trPr>
        <w:trHeight w:val="567"/>
      </w:trPr>
      <w:tc>
        <w:tcPr>
          <w:tcW w:w="510" w:type="dxa"/>
          <w:tcBorders>
            <w:top w:val="single" w:sz="4" w:space="0" w:color="auto"/>
          </w:tcBorders>
          <w:shd w:val="clear" w:color="auto" w:fill="auto"/>
        </w:tcPr>
        <w:p w:rsidR="00E94341" w:rsidRPr="007544CA" w:rsidRDefault="00E94341" w:rsidP="007544CA">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66344">
            <w:rPr>
              <w:rStyle w:val="PageNumber"/>
              <w:noProof/>
            </w:rPr>
            <w:t>58</w:t>
          </w:r>
          <w:r>
            <w:rPr>
              <w:rStyle w:val="PageNumber"/>
            </w:rPr>
            <w:fldChar w:fldCharType="end"/>
          </w:r>
        </w:p>
      </w:tc>
      <w:tc>
        <w:tcPr>
          <w:tcW w:w="7767" w:type="dxa"/>
          <w:tcBorders>
            <w:top w:val="single" w:sz="4" w:space="0" w:color="auto"/>
          </w:tcBorders>
          <w:shd w:val="clear" w:color="auto" w:fill="auto"/>
        </w:tcPr>
        <w:p w:rsidR="00E94341" w:rsidRDefault="00E94341" w:rsidP="007544CA">
          <w:pPr>
            <w:pStyle w:val="Footer"/>
          </w:pPr>
          <w:r>
            <w:t>TRADE &amp; ASSISTANCE REVIEW 2014-15</w:t>
          </w:r>
        </w:p>
      </w:tc>
      <w:tc>
        <w:tcPr>
          <w:tcW w:w="510" w:type="dxa"/>
          <w:tcBorders>
            <w:top w:val="single" w:sz="4" w:space="0" w:color="auto"/>
          </w:tcBorders>
          <w:shd w:val="clear" w:color="auto" w:fill="auto"/>
        </w:tcPr>
        <w:p w:rsidR="00E94341" w:rsidRDefault="00E94341" w:rsidP="007544CA">
          <w:pPr>
            <w:pStyle w:val="Footer"/>
          </w:pPr>
        </w:p>
      </w:tc>
    </w:tr>
  </w:tbl>
  <w:p w:rsidR="00E94341" w:rsidRPr="007544CA" w:rsidRDefault="00E94341" w:rsidP="007544CA">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E94341" w:rsidTr="007544CA">
      <w:trPr>
        <w:trHeight w:val="567"/>
      </w:trPr>
      <w:tc>
        <w:tcPr>
          <w:tcW w:w="510" w:type="dxa"/>
          <w:tcBorders>
            <w:top w:val="single" w:sz="4" w:space="0" w:color="auto"/>
          </w:tcBorders>
          <w:shd w:val="clear" w:color="auto" w:fill="auto"/>
        </w:tcPr>
        <w:p w:rsidR="00E94341" w:rsidRDefault="00E94341" w:rsidP="007544CA">
          <w:pPr>
            <w:pStyle w:val="Footer"/>
          </w:pPr>
        </w:p>
      </w:tc>
      <w:tc>
        <w:tcPr>
          <w:tcW w:w="7767" w:type="dxa"/>
          <w:tcBorders>
            <w:top w:val="single" w:sz="4" w:space="0" w:color="auto"/>
          </w:tcBorders>
          <w:shd w:val="clear" w:color="auto" w:fill="auto"/>
        </w:tcPr>
        <w:p w:rsidR="00E94341" w:rsidRDefault="00E94341" w:rsidP="007544CA">
          <w:pPr>
            <w:pStyle w:val="Footer"/>
            <w:jc w:val="right"/>
          </w:pPr>
          <w:r>
            <w:t>TRADE POLICY DEVELOPMENTS</w:t>
          </w:r>
        </w:p>
      </w:tc>
      <w:tc>
        <w:tcPr>
          <w:tcW w:w="510" w:type="dxa"/>
          <w:tcBorders>
            <w:top w:val="single" w:sz="4" w:space="0" w:color="auto"/>
          </w:tcBorders>
          <w:shd w:val="clear" w:color="auto" w:fill="auto"/>
        </w:tcPr>
        <w:p w:rsidR="00E94341" w:rsidRPr="007544CA" w:rsidRDefault="00E94341" w:rsidP="007544CA">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66344">
            <w:rPr>
              <w:rStyle w:val="PageNumber"/>
              <w:noProof/>
            </w:rPr>
            <w:t>59</w:t>
          </w:r>
          <w:r>
            <w:rPr>
              <w:rStyle w:val="PageNumber"/>
            </w:rPr>
            <w:fldChar w:fldCharType="end"/>
          </w:r>
        </w:p>
      </w:tc>
    </w:tr>
  </w:tbl>
  <w:p w:rsidR="00E94341" w:rsidRPr="007544CA" w:rsidRDefault="00E94341" w:rsidP="007544CA">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E94341" w:rsidTr="007544CA">
      <w:trPr>
        <w:trHeight w:val="567"/>
      </w:trPr>
      <w:tc>
        <w:tcPr>
          <w:tcW w:w="510" w:type="dxa"/>
          <w:tcBorders>
            <w:top w:val="single" w:sz="4" w:space="0" w:color="auto"/>
          </w:tcBorders>
          <w:shd w:val="clear" w:color="auto" w:fill="auto"/>
        </w:tcPr>
        <w:p w:rsidR="00E94341" w:rsidRPr="007544CA" w:rsidRDefault="00E94341" w:rsidP="007544CA">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66344">
            <w:rPr>
              <w:rStyle w:val="PageNumber"/>
              <w:noProof/>
            </w:rPr>
            <w:t>70</w:t>
          </w:r>
          <w:r>
            <w:rPr>
              <w:rStyle w:val="PageNumber"/>
            </w:rPr>
            <w:fldChar w:fldCharType="end"/>
          </w:r>
        </w:p>
      </w:tc>
      <w:tc>
        <w:tcPr>
          <w:tcW w:w="7767" w:type="dxa"/>
          <w:tcBorders>
            <w:top w:val="single" w:sz="4" w:space="0" w:color="auto"/>
          </w:tcBorders>
          <w:shd w:val="clear" w:color="auto" w:fill="auto"/>
        </w:tcPr>
        <w:p w:rsidR="00E94341" w:rsidRDefault="00E94341" w:rsidP="007544CA">
          <w:pPr>
            <w:pStyle w:val="Footer"/>
          </w:pPr>
          <w:r>
            <w:t>TRADE &amp; ASSISTANCE REVIEW 2014-15</w:t>
          </w:r>
        </w:p>
      </w:tc>
      <w:tc>
        <w:tcPr>
          <w:tcW w:w="510" w:type="dxa"/>
          <w:tcBorders>
            <w:top w:val="single" w:sz="4" w:space="0" w:color="auto"/>
          </w:tcBorders>
          <w:shd w:val="clear" w:color="auto" w:fill="auto"/>
        </w:tcPr>
        <w:p w:rsidR="00E94341" w:rsidRDefault="00E94341" w:rsidP="007544CA">
          <w:pPr>
            <w:pStyle w:val="Footer"/>
          </w:pPr>
        </w:p>
      </w:tc>
    </w:tr>
  </w:tbl>
  <w:p w:rsidR="00E94341" w:rsidRPr="007544CA" w:rsidRDefault="00E94341" w:rsidP="007544C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341" w:rsidRDefault="00E94341">
      <w:r>
        <w:separator/>
      </w:r>
    </w:p>
  </w:footnote>
  <w:footnote w:type="continuationSeparator" w:id="0">
    <w:p w:rsidR="00E94341" w:rsidRDefault="00E94341">
      <w:r>
        <w:continuationSeparator/>
      </w:r>
    </w:p>
  </w:footnote>
  <w:footnote w:id="1">
    <w:p w:rsidR="00E94341" w:rsidRDefault="00E94341">
      <w:pPr>
        <w:pStyle w:val="FootnoteText"/>
      </w:pPr>
      <w:r>
        <w:rPr>
          <w:rStyle w:val="FootnoteReference"/>
        </w:rPr>
        <w:footnoteRef/>
      </w:r>
      <w:r>
        <w:tab/>
        <w:t>However, if it costs a firm less than the payment to make the reduction in emissions (or they would have done it anyway) then this would constitute assistance (though difficult to measure). If carbon reduction policy involved a regulated limit on the carbon that could be emitted, then emission reduction payments would be considered assistance. Thus context and basic policy matters.</w:t>
      </w:r>
    </w:p>
  </w:footnote>
  <w:footnote w:id="2">
    <w:p w:rsidR="00E94341" w:rsidRDefault="00E94341">
      <w:pPr>
        <w:pStyle w:val="FootnoteText"/>
      </w:pPr>
      <w:r>
        <w:rPr>
          <w:rStyle w:val="FootnoteReference"/>
        </w:rPr>
        <w:footnoteRef/>
      </w:r>
      <w:r>
        <w:tab/>
        <w:t xml:space="preserve">Government guarantees also allow firms to access credit at a lower cost than would otherwise be the case, so confer a benefit even if the guarantee is not called on. </w:t>
      </w:r>
    </w:p>
  </w:footnote>
  <w:footnote w:id="3">
    <w:p w:rsidR="00E94341" w:rsidRDefault="00E94341">
      <w:pPr>
        <w:pStyle w:val="FootnoteText"/>
      </w:pPr>
      <w:r>
        <w:rPr>
          <w:rStyle w:val="FootnoteReference"/>
        </w:rPr>
        <w:footnoteRef/>
      </w:r>
      <w:r>
        <w:tab/>
        <w:t xml:space="preserve">The assistance estimates reported in this year’s </w:t>
      </w:r>
      <w:r w:rsidRPr="00D7231F">
        <w:rPr>
          <w:i/>
        </w:rPr>
        <w:t>Review</w:t>
      </w:r>
      <w:r>
        <w:t xml:space="preserve"> cover the period 2009</w:t>
      </w:r>
      <w:r>
        <w:noBreakHyphen/>
        <w:t>10 to 2014</w:t>
      </w:r>
      <w:r>
        <w:noBreakHyphen/>
        <w:t>15. Assistance derived from agricultural pricing and regulatory measures form part of the current series of assistance estimates, which commenced in 2006</w:t>
      </w:r>
      <w:r>
        <w:noBreakHyphen/>
        <w:t>07, but was last recorded in 2008</w:t>
      </w:r>
      <w:r>
        <w:noBreakHyphen/>
        <w:t xml:space="preserve">09 and therefore does not appear in this year’s </w:t>
      </w:r>
      <w:r w:rsidRPr="00D7231F">
        <w:rPr>
          <w:i/>
        </w:rPr>
        <w:t>Review</w:t>
      </w:r>
      <w:r>
        <w:t xml:space="preserve">. Agricultural pricing assistance is discussed in the Methodological Annex to </w:t>
      </w:r>
      <w:r w:rsidRPr="00D7231F">
        <w:rPr>
          <w:i/>
        </w:rPr>
        <w:t>Trade &amp; Assistance Review 2011</w:t>
      </w:r>
      <w:r w:rsidRPr="00D7231F">
        <w:rPr>
          <w:i/>
        </w:rPr>
        <w:noBreakHyphen/>
        <w:t>12</w:t>
      </w:r>
      <w:r>
        <w:t xml:space="preserve"> (PC </w:t>
      </w:r>
      <w:proofErr w:type="spellStart"/>
      <w:r>
        <w:t>2014b</w:t>
      </w:r>
      <w:proofErr w:type="spellEnd"/>
      <w:r>
        <w:t xml:space="preserve">). </w:t>
      </w:r>
    </w:p>
  </w:footnote>
  <w:footnote w:id="4">
    <w:p w:rsidR="00E94341" w:rsidRDefault="00E94341">
      <w:pPr>
        <w:pStyle w:val="FootnoteText"/>
      </w:pPr>
      <w:r>
        <w:rPr>
          <w:rStyle w:val="FootnoteReference"/>
        </w:rPr>
        <w:footnoteRef/>
      </w:r>
      <w:r>
        <w:tab/>
        <w:t xml:space="preserve">The Commission’s assistance estimates do not include the full government appropriation for CSIRO. Excluded are certain public research such as environmental R&amp;D, some renewable energy R&amp;D and general research towards expanding knowledge in various fields. </w:t>
      </w:r>
    </w:p>
  </w:footnote>
  <w:footnote w:id="5">
    <w:p w:rsidR="00E94341" w:rsidRDefault="00E94341" w:rsidP="00133508">
      <w:pPr>
        <w:pStyle w:val="FootnoteText"/>
      </w:pPr>
      <w:r>
        <w:rPr>
          <w:rStyle w:val="FootnoteReference"/>
        </w:rPr>
        <w:footnoteRef/>
      </w:r>
      <w:r>
        <w:tab/>
        <w:t>State and territory governments also provide substantial budgetary assistance to industry.</w:t>
      </w:r>
      <w:r w:rsidRPr="00634B34">
        <w:t xml:space="preserve"> </w:t>
      </w:r>
      <w:r>
        <w:t>The 2009</w:t>
      </w:r>
      <w:r>
        <w:noBreakHyphen/>
        <w:t xml:space="preserve">10 </w:t>
      </w:r>
      <w:r w:rsidRPr="00C25616">
        <w:rPr>
          <w:i/>
        </w:rPr>
        <w:t>Review</w:t>
      </w:r>
      <w:r>
        <w:t xml:space="preserve"> found that in 2008</w:t>
      </w:r>
      <w:r>
        <w:noBreakHyphen/>
        <w:t>09 subnational governments expended around $1.5 billion on programs and that provided grants and services to the benefit of industry (and an additional $2.6 billion in administrative wages and expenses). This equated to around $184 per person. Programs relating to primary industries and resources accounted for around 60 per cent of estimated industry assistance.</w:t>
      </w:r>
    </w:p>
  </w:footnote>
  <w:footnote w:id="6">
    <w:p w:rsidR="00E94341" w:rsidRDefault="00E94341">
      <w:pPr>
        <w:pStyle w:val="FootnoteText"/>
      </w:pPr>
      <w:r>
        <w:rPr>
          <w:rStyle w:val="FootnoteReference"/>
        </w:rPr>
        <w:footnoteRef/>
      </w:r>
      <w:r>
        <w:tab/>
        <w:t>The 2013</w:t>
      </w:r>
      <w:r>
        <w:noBreakHyphen/>
        <w:t xml:space="preserve">14 estimate, published in </w:t>
      </w:r>
      <w:r w:rsidRPr="00B33C02">
        <w:rPr>
          <w:i/>
        </w:rPr>
        <w:t>Trade &amp; Assistance Review 2013</w:t>
      </w:r>
      <w:r w:rsidRPr="00B33C02">
        <w:rPr>
          <w:i/>
        </w:rPr>
        <w:noBreakHyphen/>
        <w:t>14</w:t>
      </w:r>
      <w:r>
        <w:t xml:space="preserve">, has been significantly revised downwards, from $9.1 billion to $7.9 billion. This reflects a $1.2 billion revision by Treasury of the small business (simplified depreciation rules) tax concession. </w:t>
      </w:r>
    </w:p>
  </w:footnote>
  <w:footnote w:id="7">
    <w:p w:rsidR="00E94341" w:rsidRDefault="00E94341">
      <w:pPr>
        <w:pStyle w:val="FootnoteText"/>
      </w:pPr>
      <w:r>
        <w:rPr>
          <w:rStyle w:val="FootnoteReference"/>
        </w:rPr>
        <w:footnoteRef/>
      </w:r>
      <w:r>
        <w:tab/>
        <w:t>The Small Business Simplified Depreciation Rules scheme is an accelerated asset write-off scheme enabling s</w:t>
      </w:r>
      <w:r w:rsidRPr="00C1159B">
        <w:t>mall business entities with an aggregated annual turnover of less than $2</w:t>
      </w:r>
      <w:r>
        <w:t> </w:t>
      </w:r>
      <w:r w:rsidRPr="00C1159B">
        <w:t>million to access concessional depreciation arrangements for business assets.</w:t>
      </w:r>
      <w:r>
        <w:t xml:space="preserve"> </w:t>
      </w:r>
    </w:p>
  </w:footnote>
  <w:footnote w:id="8">
    <w:p w:rsidR="00E94341" w:rsidRDefault="00E94341" w:rsidP="00133508">
      <w:pPr>
        <w:pStyle w:val="FootnoteText"/>
      </w:pPr>
      <w:r>
        <w:rPr>
          <w:rStyle w:val="FootnoteReference"/>
        </w:rPr>
        <w:footnoteRef/>
      </w:r>
      <w:r>
        <w:tab/>
        <w:t>Up to 2009-</w:t>
      </w:r>
      <w:r w:rsidRPr="00C5529B">
        <w:t xml:space="preserve">10, Austrade provided the Commission with information on the industry incidence of Austrade appropriation funding. This information indicated that around two thirds of Austrade funding was directed towards the services sector, 20 per cent to manufacturing and the remainder split equally between primary production and mining. </w:t>
      </w:r>
      <w:r>
        <w:t xml:space="preserve">From 2010-11 </w:t>
      </w:r>
      <w:r w:rsidRPr="00C5529B">
        <w:t>Austrade</w:t>
      </w:r>
      <w:r>
        <w:t xml:space="preserve"> has</w:t>
      </w:r>
      <w:r w:rsidRPr="00C5529B">
        <w:t xml:space="preserve"> allocated its resources </w:t>
      </w:r>
      <w:r>
        <w:t>on</w:t>
      </w:r>
      <w:r w:rsidRPr="00C5529B">
        <w:t xml:space="preserve"> a market or geography basis that does not support the provision of information according to industry.</w:t>
      </w:r>
      <w:r>
        <w:t xml:space="preserve"> </w:t>
      </w:r>
    </w:p>
  </w:footnote>
  <w:footnote w:id="9">
    <w:p w:rsidR="00E94341" w:rsidRDefault="00E94341" w:rsidP="00133508">
      <w:pPr>
        <w:pStyle w:val="FootnoteText"/>
      </w:pPr>
      <w:r>
        <w:rPr>
          <w:rStyle w:val="FootnoteReference"/>
        </w:rPr>
        <w:footnoteRef/>
      </w:r>
      <w:r>
        <w:tab/>
        <w:t>The TCF Corporate Wear program allows businesses that employ staff who wear non-compulsory uniforms to avoid paying Fringe Benefits Tax on any subsides they make towards the uniform. Eligible uniforms are not confined to Australian production and therefore is not treated as assistance to the domestic TCF industry.</w:t>
      </w:r>
    </w:p>
  </w:footnote>
  <w:footnote w:id="10">
    <w:p w:rsidR="00E94341" w:rsidRDefault="00E94341" w:rsidP="00133508">
      <w:pPr>
        <w:pStyle w:val="FootnoteText"/>
      </w:pPr>
      <w:r>
        <w:rPr>
          <w:rStyle w:val="FootnoteReference"/>
        </w:rPr>
        <w:footnoteRef/>
      </w:r>
      <w:r>
        <w:tab/>
        <w:t>Australian Government funding under the Exceptional Circumstances program (both relief payments and interest rate subsidies) fell from a peak of $779 million in 2008</w:t>
      </w:r>
      <w:r>
        <w:noBreakHyphen/>
        <w:t>09 to around $1.6 million in 2012</w:t>
      </w:r>
      <w:r>
        <w:noBreakHyphen/>
        <w:t xml:space="preserve">13. </w:t>
      </w:r>
      <w:r w:rsidRPr="00CD75E5">
        <w:t>In February 2014, the Australian Government announced a $320 million drought assistance package including, among other things, $280 million towards drought concessional loans and ‘more generous’ criteria for accessing income support through the Farm Household Allowance (</w:t>
      </w:r>
      <w:r>
        <w:t>PC 2015</w:t>
      </w:r>
      <w:r w:rsidRPr="00CD75E5">
        <w:t>).</w:t>
      </w:r>
      <w:r>
        <w:t xml:space="preserve"> </w:t>
      </w:r>
    </w:p>
  </w:footnote>
  <w:footnote w:id="11">
    <w:p w:rsidR="00E94341" w:rsidRDefault="00E94341" w:rsidP="00133508">
      <w:pPr>
        <w:pStyle w:val="FootnoteText"/>
      </w:pPr>
      <w:r>
        <w:rPr>
          <w:rStyle w:val="FootnoteReference"/>
        </w:rPr>
        <w:footnoteRef/>
      </w:r>
      <w:r>
        <w:tab/>
        <w:t xml:space="preserve">In the </w:t>
      </w:r>
      <w:proofErr w:type="spellStart"/>
      <w:r>
        <w:t>1980s</w:t>
      </w:r>
      <w:proofErr w:type="spellEnd"/>
      <w:r>
        <w:t>, tariffs on motor vehicles were 45 per cent and the highest estimated tariff rate for any one textiles, leather, clothing and footwear line item (inclusive of the effect of tariff quotas) was 125 per cent. In 1984</w:t>
      </w:r>
      <w:r>
        <w:noBreakHyphen/>
        <w:t xml:space="preserve">85 the effective rates of assistance for the </w:t>
      </w:r>
      <w:r w:rsidRPr="00991F45">
        <w:rPr>
          <w:i/>
        </w:rPr>
        <w:t>Motor vehicles and parts</w:t>
      </w:r>
      <w:r>
        <w:t xml:space="preserve"> industry and </w:t>
      </w:r>
      <w:r w:rsidRPr="00991F45">
        <w:rPr>
          <w:i/>
        </w:rPr>
        <w:t>Textiles, leather, clothing and footwear</w:t>
      </w:r>
      <w:r>
        <w:t xml:space="preserve"> industry was 140 per cent and 157 per cent respectively (PC 2000). </w:t>
      </w:r>
    </w:p>
  </w:footnote>
  <w:footnote w:id="12">
    <w:p w:rsidR="00E94341" w:rsidRDefault="00E94341" w:rsidP="00133508">
      <w:pPr>
        <w:pStyle w:val="FootnoteText"/>
      </w:pPr>
      <w:r>
        <w:rPr>
          <w:rStyle w:val="FootnoteReference"/>
        </w:rPr>
        <w:footnoteRef/>
      </w:r>
      <w:r>
        <w:tab/>
        <w:t>There is no reconciliation table in the White Paper showing the breakdown of the $4 billion by measure and by year and whether it involves expenditure, tax concessions, or regulatory cost reduction.</w:t>
      </w:r>
    </w:p>
  </w:footnote>
  <w:footnote w:id="13">
    <w:p w:rsidR="00E94341" w:rsidRDefault="00E94341">
      <w:pPr>
        <w:pStyle w:val="FootnoteText"/>
      </w:pPr>
      <w:r>
        <w:rPr>
          <w:rStyle w:val="FootnoteReference"/>
        </w:rPr>
        <w:footnoteRef/>
      </w:r>
      <w:r>
        <w:tab/>
        <w:t>For example, if the recipient could borrow on the market at 5.5 per cent per annum and the Government offers a concessional loan at 4 per cent and the amount borrowed is $150,000 then the assistance is (5.5 - 4) x 150000 = $2250. In principle, a government can provide equivalent support (in present value terms) via a grant, direct (concessional) lending, or a government guarantee of a commercially provided loan (OECD 2013, box 2, pp. 26-27). While the recipient receives the same assistance, the budgetary accounting differs markedly between the three options (in respect of outlays, revenue, contingent assets, and contingent liabilities).</w:t>
      </w:r>
    </w:p>
  </w:footnote>
  <w:footnote w:id="14">
    <w:p w:rsidR="00E94341" w:rsidRDefault="00E94341">
      <w:pPr>
        <w:pStyle w:val="FootnoteText"/>
      </w:pPr>
      <w:r>
        <w:rPr>
          <w:rStyle w:val="FootnoteReference"/>
        </w:rPr>
        <w:footnoteRef/>
      </w:r>
      <w:r>
        <w:tab/>
        <w:t xml:space="preserve">Whether payments, such as for Direct Action emission reductions, or exemption from the RET constitutes assistance depends on the allocation of property rights over carbon emissions. If firms do not have an obligation to reduce emissions (they ‘own’ the right to emit carbon) then such payments and exemptions would not be considered assistance. Rather, the government is purchasing a desired public good outcome. But if producers have legal limits on their carbon emissions (as under a cap and trade), then payments to reduce emissions to meet these limits would be regarded as assistance. </w:t>
      </w:r>
    </w:p>
  </w:footnote>
  <w:footnote w:id="15">
    <w:p w:rsidR="00E94341" w:rsidRDefault="00E94341" w:rsidP="00133508">
      <w:pPr>
        <w:pStyle w:val="FootnoteText"/>
      </w:pPr>
      <w:r>
        <w:rPr>
          <w:rStyle w:val="FootnoteReference"/>
        </w:rPr>
        <w:footnoteRef/>
      </w:r>
      <w:r>
        <w:tab/>
      </w:r>
      <w:r w:rsidRPr="000E0A54">
        <w:t xml:space="preserve">The RET creates demand for renewable energy by requiring certain entities to surrender a set number of certificates </w:t>
      </w:r>
      <w:r>
        <w:t>—</w:t>
      </w:r>
      <w:r w:rsidRPr="000E0A54">
        <w:t xml:space="preserve"> each equal to one megawatt hour (MWh) of renewable energy generation for compliance purposes </w:t>
      </w:r>
      <w:r>
        <w:t>—</w:t>
      </w:r>
      <w:r w:rsidRPr="000E0A54">
        <w:t xml:space="preserve"> each year. If an entity does not surrender a sufficient number of certificates, it must pay an administrative penalty (a shortfall charge). The scheme also creates a number of exemptions from this liability </w:t>
      </w:r>
      <w:r>
        <w:t>—</w:t>
      </w:r>
      <w:r w:rsidRPr="000E0A54">
        <w:t xml:space="preserve"> for </w:t>
      </w:r>
      <w:proofErr w:type="spellStart"/>
      <w:r w:rsidRPr="000E0A54">
        <w:t>EITE</w:t>
      </w:r>
      <w:proofErr w:type="spellEnd"/>
      <w:r w:rsidRPr="000E0A54">
        <w:t xml:space="preserve"> businesses and self-generators.</w:t>
      </w:r>
    </w:p>
  </w:footnote>
  <w:footnote w:id="16">
    <w:p w:rsidR="00E94341" w:rsidRDefault="00E94341" w:rsidP="00133508">
      <w:pPr>
        <w:pStyle w:val="FootnoteText"/>
      </w:pPr>
      <w:r>
        <w:rPr>
          <w:rStyle w:val="FootnoteReference"/>
        </w:rPr>
        <w:footnoteRef/>
      </w:r>
      <w:r>
        <w:tab/>
        <w:t>Until the full exemption was announced the Commission was not aware of the data on partial exemption. Its treatment in the industry assistance estimates will be considered ahead of the 2015</w:t>
      </w:r>
      <w:r>
        <w:noBreakHyphen/>
        <w:t xml:space="preserve">16 </w:t>
      </w:r>
      <w:r w:rsidRPr="00D355D6">
        <w:rPr>
          <w:i/>
        </w:rPr>
        <w:t>Trade &amp; Assistance Review</w:t>
      </w:r>
      <w:r>
        <w:t xml:space="preserve"> when the 2016 data reveal the full impact of the exemption, including examination of which entities (industries) receive the bulk of the exemption value.</w:t>
      </w:r>
    </w:p>
  </w:footnote>
  <w:footnote w:id="17">
    <w:p w:rsidR="00E94341" w:rsidRDefault="00E94341" w:rsidP="00133508">
      <w:pPr>
        <w:pStyle w:val="FootnoteText"/>
      </w:pPr>
      <w:r>
        <w:rPr>
          <w:rStyle w:val="FootnoteReference"/>
        </w:rPr>
        <w:footnoteRef/>
      </w:r>
      <w:r>
        <w:tab/>
        <w:t xml:space="preserve">The five priority areas are: Oil, gas and energy resources; Mining equipment, technology and services; Food and agribusiness, Medical Technologies and pharmaceuticals and Advanced Manufacturing. </w:t>
      </w:r>
    </w:p>
  </w:footnote>
  <w:footnote w:id="18">
    <w:p w:rsidR="00E94341" w:rsidRDefault="00E94341" w:rsidP="00133508">
      <w:pPr>
        <w:pStyle w:val="FootnoteText"/>
      </w:pPr>
      <w:r>
        <w:rPr>
          <w:rStyle w:val="FootnoteReference"/>
        </w:rPr>
        <w:footnoteRef/>
      </w:r>
      <w:r>
        <w:tab/>
        <w:t>Existing programs include the Entrepreneurs’ Programme, the Small Business and Jobs Package, Industry Growth centres, the R&amp;D Tax Incentive, Cooperative Research Centres, the Manufacturing Transition Programme and others.</w:t>
      </w:r>
    </w:p>
  </w:footnote>
  <w:footnote w:id="19">
    <w:p w:rsidR="00E94341" w:rsidRDefault="00E94341" w:rsidP="00133508">
      <w:pPr>
        <w:pStyle w:val="FootnoteText"/>
      </w:pPr>
      <w:r>
        <w:rPr>
          <w:rStyle w:val="FootnoteReference"/>
        </w:rPr>
        <w:footnoteRef/>
      </w:r>
      <w:r>
        <w:tab/>
        <w:t>T</w:t>
      </w:r>
      <w:r>
        <w:rPr>
          <w:lang w:val="en-US"/>
        </w:rPr>
        <w:t>he WTO General Agreement on Trade in Services (GATS) commenced in 1995. All members of the WTO are signatories. Members have offered  to further liberalize services trade since 2001 in the context of the Doha round. Since these offers, unilateral and bilateral services liberalization by various countries and in certain sectors means that the draft Doha position is somewhat ‘behind’ the current degree of openness in services trade (</w:t>
      </w:r>
      <w:proofErr w:type="spellStart"/>
      <w:r>
        <w:rPr>
          <w:lang w:val="en-US"/>
        </w:rPr>
        <w:t>Gootiiz</w:t>
      </w:r>
      <w:proofErr w:type="spellEnd"/>
      <w:r>
        <w:rPr>
          <w:lang w:val="en-US"/>
        </w:rPr>
        <w:t xml:space="preserve"> and </w:t>
      </w:r>
      <w:proofErr w:type="spellStart"/>
      <w:r>
        <w:rPr>
          <w:lang w:val="en-US"/>
        </w:rPr>
        <w:t>Mattoo</w:t>
      </w:r>
      <w:proofErr w:type="spellEnd"/>
      <w:r>
        <w:rPr>
          <w:lang w:val="en-US"/>
        </w:rPr>
        <w:t> 2009).</w:t>
      </w:r>
    </w:p>
  </w:footnote>
  <w:footnote w:id="20">
    <w:p w:rsidR="00E94341" w:rsidRDefault="00E94341">
      <w:pPr>
        <w:pStyle w:val="FootnoteText"/>
      </w:pPr>
      <w:r>
        <w:rPr>
          <w:rStyle w:val="FootnoteReference"/>
        </w:rPr>
        <w:footnoteRef/>
      </w:r>
      <w:r>
        <w:tab/>
        <w:t>One estimate of the legal costs for the first procedural hearing stage (as at June 2015) was $50 million (Martin 2015). Further costs have not been made public. In the 2016</w:t>
      </w:r>
      <w:r>
        <w:noBreakHyphen/>
        <w:t xml:space="preserve">17 Budget Paper </w:t>
      </w:r>
      <w:proofErr w:type="spellStart"/>
      <w:r>
        <w:t>No.1</w:t>
      </w:r>
      <w:proofErr w:type="spellEnd"/>
      <w:r>
        <w:t xml:space="preserve"> international litigation related to plain packaging is listed the a Statement of Risks (Contingent liabilities – unquantified).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E94341" w:rsidTr="007544CA">
      <w:trPr>
        <w:trHeight w:val="300"/>
      </w:trPr>
      <w:tc>
        <w:tcPr>
          <w:tcW w:w="2154" w:type="dxa"/>
          <w:tcBorders>
            <w:top w:val="single" w:sz="24" w:space="0" w:color="auto"/>
          </w:tcBorders>
          <w:shd w:val="clear" w:color="auto" w:fill="auto"/>
        </w:tcPr>
        <w:p w:rsidR="00E94341" w:rsidRDefault="00E94341" w:rsidP="007544CA">
          <w:pPr>
            <w:pStyle w:val="HeaderEven"/>
          </w:pPr>
        </w:p>
      </w:tc>
      <w:tc>
        <w:tcPr>
          <w:tcW w:w="6633" w:type="dxa"/>
          <w:tcBorders>
            <w:top w:val="single" w:sz="6" w:space="0" w:color="auto"/>
          </w:tcBorders>
          <w:shd w:val="clear" w:color="auto" w:fill="auto"/>
        </w:tcPr>
        <w:p w:rsidR="00E94341" w:rsidRDefault="00E94341" w:rsidP="007544CA">
          <w:pPr>
            <w:pStyle w:val="HeaderEven"/>
          </w:pPr>
        </w:p>
      </w:tc>
    </w:tr>
  </w:tbl>
  <w:p w:rsidR="00E94341" w:rsidRPr="007544CA" w:rsidRDefault="00E94341" w:rsidP="007544CA">
    <w:pPr>
      <w:pStyle w:val="HeaderEn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E94341" w:rsidTr="007544CA">
      <w:trPr>
        <w:trHeight w:val="300"/>
      </w:trPr>
      <w:tc>
        <w:tcPr>
          <w:tcW w:w="6633" w:type="dxa"/>
          <w:tcBorders>
            <w:top w:val="single" w:sz="6" w:space="0" w:color="auto"/>
          </w:tcBorders>
          <w:shd w:val="clear" w:color="auto" w:fill="auto"/>
        </w:tcPr>
        <w:p w:rsidR="00E94341" w:rsidRDefault="00E94341" w:rsidP="007544CA">
          <w:pPr>
            <w:pStyle w:val="HeaderOdd"/>
          </w:pPr>
        </w:p>
      </w:tc>
      <w:tc>
        <w:tcPr>
          <w:tcW w:w="2154" w:type="dxa"/>
          <w:tcBorders>
            <w:top w:val="single" w:sz="24" w:space="0" w:color="auto"/>
          </w:tcBorders>
          <w:shd w:val="clear" w:color="auto" w:fill="auto"/>
        </w:tcPr>
        <w:p w:rsidR="00E94341" w:rsidRDefault="00E94341" w:rsidP="007544CA">
          <w:pPr>
            <w:pStyle w:val="HeaderOdd"/>
          </w:pPr>
        </w:p>
      </w:tc>
    </w:tr>
  </w:tbl>
  <w:p w:rsidR="00E94341" w:rsidRPr="007544CA" w:rsidRDefault="00E94341" w:rsidP="007544CA">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E94341" w:rsidTr="007544CA">
      <w:trPr>
        <w:trHeight w:val="300"/>
      </w:trPr>
      <w:tc>
        <w:tcPr>
          <w:tcW w:w="2154" w:type="dxa"/>
          <w:tcBorders>
            <w:top w:val="single" w:sz="24" w:space="0" w:color="auto"/>
          </w:tcBorders>
          <w:shd w:val="clear" w:color="auto" w:fill="auto"/>
        </w:tcPr>
        <w:p w:rsidR="00E94341" w:rsidRDefault="00E94341" w:rsidP="007544CA">
          <w:pPr>
            <w:pStyle w:val="HeaderEven"/>
          </w:pPr>
        </w:p>
      </w:tc>
      <w:tc>
        <w:tcPr>
          <w:tcW w:w="6633" w:type="dxa"/>
          <w:tcBorders>
            <w:top w:val="single" w:sz="6" w:space="0" w:color="auto"/>
          </w:tcBorders>
          <w:shd w:val="clear" w:color="auto" w:fill="auto"/>
        </w:tcPr>
        <w:p w:rsidR="00E94341" w:rsidRDefault="00E94341" w:rsidP="007544CA">
          <w:pPr>
            <w:pStyle w:val="HeaderEven"/>
          </w:pPr>
        </w:p>
      </w:tc>
    </w:tr>
  </w:tbl>
  <w:p w:rsidR="00E94341" w:rsidRPr="007544CA" w:rsidRDefault="00E94341" w:rsidP="007544CA">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E94341" w:rsidTr="007544CA">
      <w:trPr>
        <w:trHeight w:val="300"/>
      </w:trPr>
      <w:tc>
        <w:tcPr>
          <w:tcW w:w="6633" w:type="dxa"/>
          <w:tcBorders>
            <w:top w:val="single" w:sz="6" w:space="0" w:color="auto"/>
          </w:tcBorders>
          <w:shd w:val="clear" w:color="auto" w:fill="auto"/>
        </w:tcPr>
        <w:p w:rsidR="00E94341" w:rsidRDefault="00E94341" w:rsidP="007544CA">
          <w:pPr>
            <w:pStyle w:val="HeaderOdd"/>
          </w:pPr>
        </w:p>
      </w:tc>
      <w:tc>
        <w:tcPr>
          <w:tcW w:w="2154" w:type="dxa"/>
          <w:tcBorders>
            <w:top w:val="single" w:sz="24" w:space="0" w:color="auto"/>
          </w:tcBorders>
          <w:shd w:val="clear" w:color="auto" w:fill="auto"/>
        </w:tcPr>
        <w:p w:rsidR="00E94341" w:rsidRDefault="00E94341" w:rsidP="007544CA">
          <w:pPr>
            <w:pStyle w:val="HeaderOdd"/>
          </w:pPr>
        </w:p>
      </w:tc>
    </w:tr>
  </w:tbl>
  <w:p w:rsidR="00E94341" w:rsidRPr="007544CA" w:rsidRDefault="00E94341" w:rsidP="007544CA">
    <w:pPr>
      <w:pStyle w:val="HeaderEnd"/>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341" w:rsidRPr="007544CA" w:rsidRDefault="00E94341" w:rsidP="007544CA">
    <w:pPr>
      <w:pStyle w:val="Header"/>
      <w:spacing w:line="20" w:lineRule="exac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341" w:rsidRPr="007544CA" w:rsidRDefault="00E94341" w:rsidP="007544CA">
    <w:pPr>
      <w:pStyle w:val="Header"/>
      <w:spacing w:line="20" w:lineRule="exac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341" w:rsidRDefault="00E94341">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E94341" w:rsidTr="007544CA">
      <w:trPr>
        <w:trHeight w:val="300"/>
      </w:trPr>
      <w:tc>
        <w:tcPr>
          <w:tcW w:w="2154" w:type="dxa"/>
          <w:tcBorders>
            <w:top w:val="single" w:sz="24" w:space="0" w:color="auto"/>
          </w:tcBorders>
          <w:shd w:val="clear" w:color="auto" w:fill="auto"/>
        </w:tcPr>
        <w:p w:rsidR="00E94341" w:rsidRDefault="00E94341" w:rsidP="007544CA">
          <w:pPr>
            <w:pStyle w:val="HeaderEven"/>
          </w:pPr>
        </w:p>
      </w:tc>
      <w:tc>
        <w:tcPr>
          <w:tcW w:w="6633" w:type="dxa"/>
          <w:tcBorders>
            <w:top w:val="single" w:sz="6" w:space="0" w:color="auto"/>
          </w:tcBorders>
          <w:shd w:val="clear" w:color="auto" w:fill="auto"/>
        </w:tcPr>
        <w:p w:rsidR="00E94341" w:rsidRDefault="00E94341" w:rsidP="007544CA">
          <w:pPr>
            <w:pStyle w:val="HeaderEven"/>
          </w:pPr>
        </w:p>
      </w:tc>
    </w:tr>
  </w:tbl>
  <w:p w:rsidR="00E94341" w:rsidRPr="007544CA" w:rsidRDefault="00E94341" w:rsidP="007544CA">
    <w:pPr>
      <w:pStyle w:val="HeaderEnd"/>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E94341" w:rsidTr="007544CA">
      <w:trPr>
        <w:trHeight w:val="300"/>
      </w:trPr>
      <w:tc>
        <w:tcPr>
          <w:tcW w:w="6633" w:type="dxa"/>
          <w:tcBorders>
            <w:top w:val="single" w:sz="6" w:space="0" w:color="auto"/>
          </w:tcBorders>
          <w:shd w:val="clear" w:color="auto" w:fill="auto"/>
        </w:tcPr>
        <w:p w:rsidR="00E94341" w:rsidRDefault="00E94341" w:rsidP="007544CA">
          <w:pPr>
            <w:pStyle w:val="HeaderOdd"/>
          </w:pPr>
        </w:p>
      </w:tc>
      <w:tc>
        <w:tcPr>
          <w:tcW w:w="2154" w:type="dxa"/>
          <w:tcBorders>
            <w:top w:val="single" w:sz="24" w:space="0" w:color="auto"/>
          </w:tcBorders>
          <w:shd w:val="clear" w:color="auto" w:fill="auto"/>
        </w:tcPr>
        <w:p w:rsidR="00E94341" w:rsidRDefault="00E94341" w:rsidP="007544CA">
          <w:pPr>
            <w:pStyle w:val="HeaderOdd"/>
          </w:pPr>
        </w:p>
      </w:tc>
    </w:tr>
  </w:tbl>
  <w:p w:rsidR="00E94341" w:rsidRPr="007544CA" w:rsidRDefault="00E94341" w:rsidP="007544CA">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E94341" w:rsidTr="007544CA">
      <w:trPr>
        <w:trHeight w:val="300"/>
      </w:trPr>
      <w:tc>
        <w:tcPr>
          <w:tcW w:w="6633" w:type="dxa"/>
          <w:tcBorders>
            <w:top w:val="single" w:sz="6" w:space="0" w:color="auto"/>
          </w:tcBorders>
          <w:shd w:val="clear" w:color="auto" w:fill="auto"/>
        </w:tcPr>
        <w:p w:rsidR="00E94341" w:rsidRDefault="00E94341" w:rsidP="007544CA">
          <w:pPr>
            <w:pStyle w:val="HeaderOdd"/>
          </w:pPr>
        </w:p>
      </w:tc>
      <w:tc>
        <w:tcPr>
          <w:tcW w:w="2154" w:type="dxa"/>
          <w:tcBorders>
            <w:top w:val="single" w:sz="24" w:space="0" w:color="auto"/>
          </w:tcBorders>
          <w:shd w:val="clear" w:color="auto" w:fill="auto"/>
        </w:tcPr>
        <w:p w:rsidR="00E94341" w:rsidRDefault="00E94341" w:rsidP="007544CA">
          <w:pPr>
            <w:pStyle w:val="HeaderOdd"/>
          </w:pPr>
        </w:p>
      </w:tc>
    </w:tr>
  </w:tbl>
  <w:p w:rsidR="00E94341" w:rsidRPr="007544CA" w:rsidRDefault="00E94341" w:rsidP="007544CA">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E94341" w:rsidTr="007544CA">
      <w:trPr>
        <w:trHeight w:val="300"/>
      </w:trPr>
      <w:tc>
        <w:tcPr>
          <w:tcW w:w="2154" w:type="dxa"/>
          <w:tcBorders>
            <w:top w:val="single" w:sz="24" w:space="0" w:color="auto"/>
          </w:tcBorders>
          <w:shd w:val="clear" w:color="auto" w:fill="auto"/>
        </w:tcPr>
        <w:p w:rsidR="00E94341" w:rsidRDefault="00E94341" w:rsidP="007544CA">
          <w:pPr>
            <w:pStyle w:val="HeaderEven"/>
          </w:pPr>
        </w:p>
      </w:tc>
      <w:tc>
        <w:tcPr>
          <w:tcW w:w="6633" w:type="dxa"/>
          <w:tcBorders>
            <w:top w:val="single" w:sz="6" w:space="0" w:color="auto"/>
          </w:tcBorders>
          <w:shd w:val="clear" w:color="auto" w:fill="auto"/>
        </w:tcPr>
        <w:p w:rsidR="00E94341" w:rsidRDefault="00E94341" w:rsidP="007544CA">
          <w:pPr>
            <w:pStyle w:val="HeaderEven"/>
          </w:pPr>
        </w:p>
      </w:tc>
    </w:tr>
  </w:tbl>
  <w:p w:rsidR="00E94341" w:rsidRPr="007544CA" w:rsidRDefault="00E94341" w:rsidP="007544CA">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E94341" w:rsidTr="007544CA">
      <w:trPr>
        <w:trHeight w:val="300"/>
      </w:trPr>
      <w:tc>
        <w:tcPr>
          <w:tcW w:w="6633" w:type="dxa"/>
          <w:tcBorders>
            <w:top w:val="single" w:sz="6" w:space="0" w:color="auto"/>
          </w:tcBorders>
          <w:shd w:val="clear" w:color="auto" w:fill="auto"/>
        </w:tcPr>
        <w:p w:rsidR="00E94341" w:rsidRDefault="00E94341" w:rsidP="007544CA">
          <w:pPr>
            <w:pStyle w:val="HeaderOdd"/>
          </w:pPr>
        </w:p>
      </w:tc>
      <w:tc>
        <w:tcPr>
          <w:tcW w:w="2154" w:type="dxa"/>
          <w:tcBorders>
            <w:top w:val="single" w:sz="24" w:space="0" w:color="auto"/>
          </w:tcBorders>
          <w:shd w:val="clear" w:color="auto" w:fill="auto"/>
        </w:tcPr>
        <w:p w:rsidR="00E94341" w:rsidRDefault="00E94341" w:rsidP="007544CA">
          <w:pPr>
            <w:pStyle w:val="HeaderOdd"/>
          </w:pPr>
        </w:p>
      </w:tc>
    </w:tr>
  </w:tbl>
  <w:p w:rsidR="00E94341" w:rsidRPr="007544CA" w:rsidRDefault="00E94341" w:rsidP="007544CA">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E94341" w:rsidTr="007544CA">
      <w:trPr>
        <w:trHeight w:val="300"/>
      </w:trPr>
      <w:tc>
        <w:tcPr>
          <w:tcW w:w="2154" w:type="dxa"/>
          <w:tcBorders>
            <w:top w:val="single" w:sz="24" w:space="0" w:color="auto"/>
          </w:tcBorders>
          <w:shd w:val="clear" w:color="auto" w:fill="auto"/>
        </w:tcPr>
        <w:p w:rsidR="00E94341" w:rsidRDefault="00E94341" w:rsidP="007544CA">
          <w:pPr>
            <w:pStyle w:val="HeaderEven"/>
          </w:pPr>
        </w:p>
      </w:tc>
      <w:tc>
        <w:tcPr>
          <w:tcW w:w="6633" w:type="dxa"/>
          <w:tcBorders>
            <w:top w:val="single" w:sz="6" w:space="0" w:color="auto"/>
          </w:tcBorders>
          <w:shd w:val="clear" w:color="auto" w:fill="auto"/>
        </w:tcPr>
        <w:p w:rsidR="00E94341" w:rsidRDefault="00E94341" w:rsidP="007544CA">
          <w:pPr>
            <w:pStyle w:val="HeaderEven"/>
          </w:pPr>
        </w:p>
      </w:tc>
    </w:tr>
  </w:tbl>
  <w:p w:rsidR="00E94341" w:rsidRPr="007544CA" w:rsidRDefault="00E94341" w:rsidP="007544CA">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E94341" w:rsidTr="007544CA">
      <w:trPr>
        <w:trHeight w:val="300"/>
      </w:trPr>
      <w:tc>
        <w:tcPr>
          <w:tcW w:w="6633" w:type="dxa"/>
          <w:tcBorders>
            <w:top w:val="single" w:sz="6" w:space="0" w:color="auto"/>
          </w:tcBorders>
          <w:shd w:val="clear" w:color="auto" w:fill="auto"/>
        </w:tcPr>
        <w:p w:rsidR="00E94341" w:rsidRDefault="00E94341" w:rsidP="007544CA">
          <w:pPr>
            <w:pStyle w:val="HeaderOdd"/>
          </w:pPr>
        </w:p>
      </w:tc>
      <w:tc>
        <w:tcPr>
          <w:tcW w:w="2154" w:type="dxa"/>
          <w:tcBorders>
            <w:top w:val="single" w:sz="24" w:space="0" w:color="auto"/>
          </w:tcBorders>
          <w:shd w:val="clear" w:color="auto" w:fill="auto"/>
        </w:tcPr>
        <w:p w:rsidR="00E94341" w:rsidRDefault="00E94341" w:rsidP="007544CA">
          <w:pPr>
            <w:pStyle w:val="HeaderOdd"/>
          </w:pPr>
        </w:p>
      </w:tc>
    </w:tr>
  </w:tbl>
  <w:p w:rsidR="00E94341" w:rsidRPr="007544CA" w:rsidRDefault="00E94341" w:rsidP="007544CA">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E94341" w:rsidTr="007544CA">
      <w:trPr>
        <w:trHeight w:val="300"/>
      </w:trPr>
      <w:tc>
        <w:tcPr>
          <w:tcW w:w="2154" w:type="dxa"/>
          <w:tcBorders>
            <w:top w:val="single" w:sz="24" w:space="0" w:color="auto"/>
          </w:tcBorders>
          <w:shd w:val="clear" w:color="auto" w:fill="auto"/>
        </w:tcPr>
        <w:p w:rsidR="00E94341" w:rsidRDefault="00E94341" w:rsidP="007544CA">
          <w:pPr>
            <w:pStyle w:val="HeaderEven"/>
          </w:pPr>
        </w:p>
      </w:tc>
      <w:tc>
        <w:tcPr>
          <w:tcW w:w="6633" w:type="dxa"/>
          <w:tcBorders>
            <w:top w:val="single" w:sz="6" w:space="0" w:color="auto"/>
          </w:tcBorders>
          <w:shd w:val="clear" w:color="auto" w:fill="auto"/>
        </w:tcPr>
        <w:p w:rsidR="00E94341" w:rsidRDefault="00E94341" w:rsidP="007544CA">
          <w:pPr>
            <w:pStyle w:val="HeaderEven"/>
          </w:pPr>
        </w:p>
      </w:tc>
    </w:tr>
  </w:tbl>
  <w:p w:rsidR="00E94341" w:rsidRPr="007544CA" w:rsidRDefault="00E94341" w:rsidP="007544CA">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E94341" w:rsidTr="007544CA">
      <w:trPr>
        <w:trHeight w:val="300"/>
      </w:trPr>
      <w:tc>
        <w:tcPr>
          <w:tcW w:w="6633" w:type="dxa"/>
          <w:tcBorders>
            <w:top w:val="single" w:sz="6" w:space="0" w:color="auto"/>
          </w:tcBorders>
          <w:shd w:val="clear" w:color="auto" w:fill="auto"/>
        </w:tcPr>
        <w:p w:rsidR="00E94341" w:rsidRDefault="00E94341" w:rsidP="007544CA">
          <w:pPr>
            <w:pStyle w:val="HeaderOdd"/>
          </w:pPr>
        </w:p>
      </w:tc>
      <w:tc>
        <w:tcPr>
          <w:tcW w:w="2154" w:type="dxa"/>
          <w:tcBorders>
            <w:top w:val="single" w:sz="24" w:space="0" w:color="auto"/>
          </w:tcBorders>
          <w:shd w:val="clear" w:color="auto" w:fill="auto"/>
        </w:tcPr>
        <w:p w:rsidR="00E94341" w:rsidRDefault="00E94341" w:rsidP="007544CA">
          <w:pPr>
            <w:pStyle w:val="HeaderOdd"/>
          </w:pPr>
        </w:p>
      </w:tc>
    </w:tr>
  </w:tbl>
  <w:p w:rsidR="00E94341" w:rsidRPr="007544CA" w:rsidRDefault="00E94341" w:rsidP="007544CA">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E94341" w:rsidTr="007544CA">
      <w:trPr>
        <w:trHeight w:val="300"/>
      </w:trPr>
      <w:tc>
        <w:tcPr>
          <w:tcW w:w="2154" w:type="dxa"/>
          <w:tcBorders>
            <w:top w:val="single" w:sz="24" w:space="0" w:color="auto"/>
          </w:tcBorders>
          <w:shd w:val="clear" w:color="auto" w:fill="auto"/>
        </w:tcPr>
        <w:p w:rsidR="00E94341" w:rsidRDefault="00E94341" w:rsidP="007544CA">
          <w:pPr>
            <w:pStyle w:val="HeaderEven"/>
          </w:pPr>
        </w:p>
      </w:tc>
      <w:tc>
        <w:tcPr>
          <w:tcW w:w="6633" w:type="dxa"/>
          <w:tcBorders>
            <w:top w:val="single" w:sz="6" w:space="0" w:color="auto"/>
          </w:tcBorders>
          <w:shd w:val="clear" w:color="auto" w:fill="auto"/>
        </w:tcPr>
        <w:p w:rsidR="00E94341" w:rsidRDefault="00E94341" w:rsidP="007544CA">
          <w:pPr>
            <w:pStyle w:val="HeaderEven"/>
          </w:pPr>
        </w:p>
      </w:tc>
    </w:tr>
  </w:tbl>
  <w:p w:rsidR="00E94341" w:rsidRPr="007544CA" w:rsidRDefault="00E94341" w:rsidP="007544CA">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A6B5B75"/>
    <w:multiLevelType w:val="hybridMultilevel"/>
    <w:tmpl w:val="84DC63D6"/>
    <w:lvl w:ilvl="0" w:tplc="E94817C6">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E6160BA"/>
    <w:multiLevelType w:val="hybridMultilevel"/>
    <w:tmpl w:val="8B6E8CA6"/>
    <w:lvl w:ilvl="0" w:tplc="9BA822BA">
      <w:start w:val="9457"/>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nsid w:val="179D2A83"/>
    <w:multiLevelType w:val="hybridMultilevel"/>
    <w:tmpl w:val="4C6C2040"/>
    <w:lvl w:ilvl="0" w:tplc="E71CB5DC">
      <w:start w:val="3"/>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A556FA4"/>
    <w:multiLevelType w:val="hybridMultilevel"/>
    <w:tmpl w:val="923C6E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6">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7">
    <w:nsid w:val="2BE946C4"/>
    <w:multiLevelType w:val="hybridMultilevel"/>
    <w:tmpl w:val="0B3C82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9">
    <w:nsid w:val="4BC17693"/>
    <w:multiLevelType w:val="hybridMultilevel"/>
    <w:tmpl w:val="68C601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03F4264"/>
    <w:multiLevelType w:val="hybridMultilevel"/>
    <w:tmpl w:val="CE9A9146"/>
    <w:lvl w:ilvl="0" w:tplc="9442418A">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15866D9"/>
    <w:multiLevelType w:val="hybridMultilevel"/>
    <w:tmpl w:val="50D6A0EA"/>
    <w:lvl w:ilvl="0" w:tplc="E71CB5DC">
      <w:start w:val="3"/>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7">
    <w:nsid w:val="602F4192"/>
    <w:multiLevelType w:val="hybridMultilevel"/>
    <w:tmpl w:val="85B4DA10"/>
    <w:lvl w:ilvl="0" w:tplc="83B42B82">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3D822A9"/>
    <w:multiLevelType w:val="hybridMultilevel"/>
    <w:tmpl w:val="AD983D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1">
    <w:nsid w:val="6B740744"/>
    <w:multiLevelType w:val="singleLevel"/>
    <w:tmpl w:val="B4744B66"/>
    <w:lvl w:ilvl="0">
      <w:start w:val="1"/>
      <w:numFmt w:val="decimal"/>
      <w:lvlText w:val="%1."/>
      <w:legacy w:legacy="1" w:legacySpace="0" w:legacyIndent="340"/>
      <w:lvlJc w:val="left"/>
      <w:pPr>
        <w:ind w:left="340" w:hanging="340"/>
      </w:pPr>
    </w:lvl>
  </w:abstractNum>
  <w:abstractNum w:abstractNumId="32">
    <w:nsid w:val="6C7A58E8"/>
    <w:multiLevelType w:val="hybridMultilevel"/>
    <w:tmpl w:val="3E849E0C"/>
    <w:lvl w:ilvl="0" w:tplc="5A2A56DA">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6F211110"/>
    <w:multiLevelType w:val="hybridMultilevel"/>
    <w:tmpl w:val="8A705FC8"/>
    <w:lvl w:ilvl="0" w:tplc="6FC6905A">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FA13334"/>
    <w:multiLevelType w:val="hybridMultilevel"/>
    <w:tmpl w:val="6A0A6456"/>
    <w:lvl w:ilvl="0" w:tplc="F67EF55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72113FFB"/>
    <w:multiLevelType w:val="hybridMultilevel"/>
    <w:tmpl w:val="9DF2BA58"/>
    <w:lvl w:ilvl="0" w:tplc="F2705E28">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42B79CC"/>
    <w:multiLevelType w:val="hybridMultilevel"/>
    <w:tmpl w:val="61126B1A"/>
    <w:lvl w:ilvl="0" w:tplc="A322DBE4">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8">
    <w:nsid w:val="7BCE6E86"/>
    <w:multiLevelType w:val="hybridMultilevel"/>
    <w:tmpl w:val="74DA5C96"/>
    <w:lvl w:ilvl="0" w:tplc="6FC6905A">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0">
    <w:nsid w:val="7C5A5DF3"/>
    <w:multiLevelType w:val="hybridMultilevel"/>
    <w:tmpl w:val="36942A26"/>
    <w:lvl w:ilvl="0" w:tplc="73D2E1FC">
      <w:start w:val="1"/>
      <w:numFmt w:val="bullet"/>
      <w:lvlText w:val="-"/>
      <w:lvlJc w:val="left"/>
      <w:pPr>
        <w:ind w:left="720" w:hanging="360"/>
      </w:pPr>
      <w:rPr>
        <w:rFonts w:ascii="Arial" w:eastAsia="Times New Roman" w:hAnsi="Arial" w:cs="Arial" w:hint="default"/>
        <w:i/>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4"/>
  </w:num>
  <w:num w:numId="3">
    <w:abstractNumId w:val="23"/>
  </w:num>
  <w:num w:numId="4">
    <w:abstractNumId w:val="5"/>
  </w:num>
  <w:num w:numId="5">
    <w:abstractNumId w:val="30"/>
  </w:num>
  <w:num w:numId="6">
    <w:abstractNumId w:val="25"/>
  </w:num>
  <w:num w:numId="7">
    <w:abstractNumId w:val="11"/>
  </w:num>
  <w:num w:numId="8">
    <w:abstractNumId w:val="24"/>
  </w:num>
  <w:num w:numId="9">
    <w:abstractNumId w:val="10"/>
  </w:num>
  <w:num w:numId="10">
    <w:abstractNumId w:val="8"/>
  </w:num>
  <w:num w:numId="11">
    <w:abstractNumId w:val="15"/>
  </w:num>
  <w:num w:numId="12">
    <w:abstractNumId w:val="16"/>
  </w:num>
  <w:num w:numId="13">
    <w:abstractNumId w:val="6"/>
  </w:num>
  <w:num w:numId="14">
    <w:abstractNumId w:val="26"/>
  </w:num>
  <w:num w:numId="15">
    <w:abstractNumId w:val="37"/>
  </w:num>
  <w:num w:numId="16">
    <w:abstractNumId w:val="20"/>
  </w:num>
  <w:num w:numId="17">
    <w:abstractNumId w:val="39"/>
  </w:num>
  <w:num w:numId="18">
    <w:abstractNumId w:val="0"/>
  </w:num>
  <w:num w:numId="19">
    <w:abstractNumId w:val="3"/>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28"/>
  </w:num>
  <w:num w:numId="21">
    <w:abstractNumId w:val="12"/>
  </w:num>
  <w:num w:numId="22">
    <w:abstractNumId w:val="9"/>
  </w:num>
  <w:num w:numId="23">
    <w:abstractNumId w:val="3"/>
    <w:lvlOverride w:ilvl="0">
      <w:lvl w:ilvl="0">
        <w:numFmt w:val="bullet"/>
        <w:lvlText w:val="•"/>
        <w:legacy w:legacy="1" w:legacySpace="0" w:legacyIndent="0"/>
        <w:lvlJc w:val="left"/>
        <w:rPr>
          <w:rFonts w:ascii="Arial" w:hAnsi="Arial" w:cs="Arial" w:hint="default"/>
          <w:sz w:val="16"/>
        </w:rPr>
      </w:lvl>
    </w:lvlOverride>
  </w:num>
  <w:num w:numId="24">
    <w:abstractNumId w:val="3"/>
    <w:lvlOverride w:ilvl="0">
      <w:lvl w:ilvl="0">
        <w:numFmt w:val="bullet"/>
        <w:lvlText w:val="•"/>
        <w:legacy w:legacy="1" w:legacySpace="0" w:legacyIndent="0"/>
        <w:lvlJc w:val="left"/>
        <w:rPr>
          <w:rFonts w:ascii="Arial" w:hAnsi="Arial" w:cs="Arial" w:hint="default"/>
          <w:sz w:val="20"/>
        </w:rPr>
      </w:lvl>
    </w:lvlOverride>
  </w:num>
  <w:num w:numId="25">
    <w:abstractNumId w:val="2"/>
  </w:num>
  <w:num w:numId="26">
    <w:abstractNumId w:val="1"/>
  </w:num>
  <w:num w:numId="27">
    <w:abstractNumId w:val="31"/>
  </w:num>
  <w:num w:numId="28">
    <w:abstractNumId w:val="34"/>
  </w:num>
  <w:num w:numId="29">
    <w:abstractNumId w:val="27"/>
  </w:num>
  <w:num w:numId="30">
    <w:abstractNumId w:val="36"/>
  </w:num>
  <w:num w:numId="31">
    <w:abstractNumId w:val="17"/>
  </w:num>
  <w:num w:numId="32">
    <w:abstractNumId w:val="35"/>
  </w:num>
  <w:num w:numId="33">
    <w:abstractNumId w:val="7"/>
  </w:num>
  <w:num w:numId="34">
    <w:abstractNumId w:val="21"/>
  </w:num>
  <w:num w:numId="35">
    <w:abstractNumId w:val="38"/>
  </w:num>
  <w:num w:numId="36">
    <w:abstractNumId w:val="33"/>
  </w:num>
  <w:num w:numId="37">
    <w:abstractNumId w:val="19"/>
  </w:num>
  <w:num w:numId="38">
    <w:abstractNumId w:val="14"/>
  </w:num>
  <w:num w:numId="39">
    <w:abstractNumId w:val="40"/>
  </w:num>
  <w:num w:numId="40">
    <w:abstractNumId w:val="32"/>
  </w:num>
  <w:num w:numId="41">
    <w:abstractNumId w:val="29"/>
  </w:num>
  <w:num w:numId="42">
    <w:abstractNumId w:val="22"/>
  </w:num>
  <w:num w:numId="43">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7544CA"/>
    <w:rsid w:val="000227D5"/>
    <w:rsid w:val="000245AA"/>
    <w:rsid w:val="0003664B"/>
    <w:rsid w:val="0004111F"/>
    <w:rsid w:val="00055077"/>
    <w:rsid w:val="000565B3"/>
    <w:rsid w:val="0007150B"/>
    <w:rsid w:val="000938F5"/>
    <w:rsid w:val="00095663"/>
    <w:rsid w:val="00096E55"/>
    <w:rsid w:val="0009783E"/>
    <w:rsid w:val="000B1022"/>
    <w:rsid w:val="000B601B"/>
    <w:rsid w:val="000C207E"/>
    <w:rsid w:val="000D41E9"/>
    <w:rsid w:val="000F0035"/>
    <w:rsid w:val="000F04E7"/>
    <w:rsid w:val="000F060A"/>
    <w:rsid w:val="000F420B"/>
    <w:rsid w:val="00110116"/>
    <w:rsid w:val="00120072"/>
    <w:rsid w:val="00126EB8"/>
    <w:rsid w:val="001274D4"/>
    <w:rsid w:val="00133508"/>
    <w:rsid w:val="001363AA"/>
    <w:rsid w:val="0013739A"/>
    <w:rsid w:val="00142165"/>
    <w:rsid w:val="00162434"/>
    <w:rsid w:val="00183E82"/>
    <w:rsid w:val="001878BB"/>
    <w:rsid w:val="00191AE0"/>
    <w:rsid w:val="0019293B"/>
    <w:rsid w:val="0019426B"/>
    <w:rsid w:val="001A47C2"/>
    <w:rsid w:val="001A6A4B"/>
    <w:rsid w:val="001C0865"/>
    <w:rsid w:val="001C0AED"/>
    <w:rsid w:val="001C3ABA"/>
    <w:rsid w:val="001C5111"/>
    <w:rsid w:val="001E7BE8"/>
    <w:rsid w:val="001F0248"/>
    <w:rsid w:val="001F3EB3"/>
    <w:rsid w:val="001F4F86"/>
    <w:rsid w:val="00202C2C"/>
    <w:rsid w:val="00203050"/>
    <w:rsid w:val="002135AB"/>
    <w:rsid w:val="002144BE"/>
    <w:rsid w:val="00223579"/>
    <w:rsid w:val="00242279"/>
    <w:rsid w:val="00243997"/>
    <w:rsid w:val="0024516C"/>
    <w:rsid w:val="00245C82"/>
    <w:rsid w:val="002724BA"/>
    <w:rsid w:val="00291B40"/>
    <w:rsid w:val="002B4008"/>
    <w:rsid w:val="002C439F"/>
    <w:rsid w:val="002D0C42"/>
    <w:rsid w:val="002D0E8E"/>
    <w:rsid w:val="002F4E9A"/>
    <w:rsid w:val="00301189"/>
    <w:rsid w:val="00301E4A"/>
    <w:rsid w:val="003168B8"/>
    <w:rsid w:val="00322D64"/>
    <w:rsid w:val="00323E09"/>
    <w:rsid w:val="00333932"/>
    <w:rsid w:val="003518AA"/>
    <w:rsid w:val="00352165"/>
    <w:rsid w:val="00353182"/>
    <w:rsid w:val="003565D9"/>
    <w:rsid w:val="003602E1"/>
    <w:rsid w:val="00366344"/>
    <w:rsid w:val="0037026F"/>
    <w:rsid w:val="00371240"/>
    <w:rsid w:val="00374731"/>
    <w:rsid w:val="00376E59"/>
    <w:rsid w:val="00377EC1"/>
    <w:rsid w:val="00380340"/>
    <w:rsid w:val="003919F9"/>
    <w:rsid w:val="003920CF"/>
    <w:rsid w:val="003B23C2"/>
    <w:rsid w:val="003C38B5"/>
    <w:rsid w:val="003C5D99"/>
    <w:rsid w:val="003D1087"/>
    <w:rsid w:val="003E2F59"/>
    <w:rsid w:val="003E746B"/>
    <w:rsid w:val="003F0789"/>
    <w:rsid w:val="00401882"/>
    <w:rsid w:val="004100C8"/>
    <w:rsid w:val="00411DBD"/>
    <w:rsid w:val="00412ACE"/>
    <w:rsid w:val="004145D2"/>
    <w:rsid w:val="00426CB4"/>
    <w:rsid w:val="00431249"/>
    <w:rsid w:val="00434C19"/>
    <w:rsid w:val="00450810"/>
    <w:rsid w:val="00462C59"/>
    <w:rsid w:val="00470737"/>
    <w:rsid w:val="00477144"/>
    <w:rsid w:val="00491380"/>
    <w:rsid w:val="0049459F"/>
    <w:rsid w:val="004A38DD"/>
    <w:rsid w:val="004B43AE"/>
    <w:rsid w:val="004C10BC"/>
    <w:rsid w:val="004C30ED"/>
    <w:rsid w:val="004D5675"/>
    <w:rsid w:val="00517795"/>
    <w:rsid w:val="00523639"/>
    <w:rsid w:val="00531FE5"/>
    <w:rsid w:val="005402FA"/>
    <w:rsid w:val="005729BD"/>
    <w:rsid w:val="00575350"/>
    <w:rsid w:val="00580154"/>
    <w:rsid w:val="00583C39"/>
    <w:rsid w:val="00586A90"/>
    <w:rsid w:val="00587F28"/>
    <w:rsid w:val="005909CF"/>
    <w:rsid w:val="00591E71"/>
    <w:rsid w:val="005A0D41"/>
    <w:rsid w:val="005D329F"/>
    <w:rsid w:val="005F48ED"/>
    <w:rsid w:val="00606E78"/>
    <w:rsid w:val="00607BF1"/>
    <w:rsid w:val="00630D4D"/>
    <w:rsid w:val="00632A74"/>
    <w:rsid w:val="00654D42"/>
    <w:rsid w:val="00666E02"/>
    <w:rsid w:val="006A4655"/>
    <w:rsid w:val="006B2B3C"/>
    <w:rsid w:val="006C1D81"/>
    <w:rsid w:val="006C7038"/>
    <w:rsid w:val="006E73EF"/>
    <w:rsid w:val="007079C9"/>
    <w:rsid w:val="00714D4D"/>
    <w:rsid w:val="007266D3"/>
    <w:rsid w:val="00732029"/>
    <w:rsid w:val="007544CA"/>
    <w:rsid w:val="007604BB"/>
    <w:rsid w:val="00772909"/>
    <w:rsid w:val="00785232"/>
    <w:rsid w:val="0079701E"/>
    <w:rsid w:val="007A21EB"/>
    <w:rsid w:val="007B1A93"/>
    <w:rsid w:val="007C36C9"/>
    <w:rsid w:val="007D6401"/>
    <w:rsid w:val="007E01E4"/>
    <w:rsid w:val="007E7A12"/>
    <w:rsid w:val="007F7107"/>
    <w:rsid w:val="00800D4C"/>
    <w:rsid w:val="0081030F"/>
    <w:rsid w:val="00812F4A"/>
    <w:rsid w:val="0082087D"/>
    <w:rsid w:val="00835771"/>
    <w:rsid w:val="00842933"/>
    <w:rsid w:val="0086082C"/>
    <w:rsid w:val="00864ADC"/>
    <w:rsid w:val="00880153"/>
    <w:rsid w:val="00880F97"/>
    <w:rsid w:val="0088133A"/>
    <w:rsid w:val="0089285E"/>
    <w:rsid w:val="0089436C"/>
    <w:rsid w:val="008D365C"/>
    <w:rsid w:val="008D7622"/>
    <w:rsid w:val="009021A6"/>
    <w:rsid w:val="009030BF"/>
    <w:rsid w:val="00903B52"/>
    <w:rsid w:val="0091032F"/>
    <w:rsid w:val="00914368"/>
    <w:rsid w:val="00931076"/>
    <w:rsid w:val="009345D9"/>
    <w:rsid w:val="00934B15"/>
    <w:rsid w:val="00940C87"/>
    <w:rsid w:val="00942B62"/>
    <w:rsid w:val="0095323B"/>
    <w:rsid w:val="009540BA"/>
    <w:rsid w:val="00956A0C"/>
    <w:rsid w:val="00956BD9"/>
    <w:rsid w:val="00962489"/>
    <w:rsid w:val="0096472F"/>
    <w:rsid w:val="00967CD3"/>
    <w:rsid w:val="00990C2C"/>
    <w:rsid w:val="009A5171"/>
    <w:rsid w:val="009E08E1"/>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A49A0"/>
    <w:rsid w:val="00AA6710"/>
    <w:rsid w:val="00AB0681"/>
    <w:rsid w:val="00AC3A15"/>
    <w:rsid w:val="00AD520B"/>
    <w:rsid w:val="00AE3BCC"/>
    <w:rsid w:val="00B425C3"/>
    <w:rsid w:val="00B440AD"/>
    <w:rsid w:val="00B479BB"/>
    <w:rsid w:val="00B53E7E"/>
    <w:rsid w:val="00B6342E"/>
    <w:rsid w:val="00B7113F"/>
    <w:rsid w:val="00BA2BCF"/>
    <w:rsid w:val="00BA5B14"/>
    <w:rsid w:val="00BA73B6"/>
    <w:rsid w:val="00BA7E27"/>
    <w:rsid w:val="00BB2603"/>
    <w:rsid w:val="00BB4FCD"/>
    <w:rsid w:val="00BC04E9"/>
    <w:rsid w:val="00BD13EA"/>
    <w:rsid w:val="00BE3808"/>
    <w:rsid w:val="00BF46F9"/>
    <w:rsid w:val="00C03B88"/>
    <w:rsid w:val="00C062E9"/>
    <w:rsid w:val="00C07B64"/>
    <w:rsid w:val="00C13721"/>
    <w:rsid w:val="00C14FE4"/>
    <w:rsid w:val="00C3066D"/>
    <w:rsid w:val="00C52416"/>
    <w:rsid w:val="00C543F4"/>
    <w:rsid w:val="00C6291C"/>
    <w:rsid w:val="00C633CB"/>
    <w:rsid w:val="00C664CD"/>
    <w:rsid w:val="00C736B7"/>
    <w:rsid w:val="00C81D4A"/>
    <w:rsid w:val="00C8762C"/>
    <w:rsid w:val="00CA00F9"/>
    <w:rsid w:val="00CA2961"/>
    <w:rsid w:val="00CB50D7"/>
    <w:rsid w:val="00CB7177"/>
    <w:rsid w:val="00CB7CED"/>
    <w:rsid w:val="00CC070F"/>
    <w:rsid w:val="00CC1998"/>
    <w:rsid w:val="00CC4946"/>
    <w:rsid w:val="00CC64A1"/>
    <w:rsid w:val="00CF3B11"/>
    <w:rsid w:val="00D270A4"/>
    <w:rsid w:val="00D31FE9"/>
    <w:rsid w:val="00D34E1B"/>
    <w:rsid w:val="00D376BA"/>
    <w:rsid w:val="00D434A0"/>
    <w:rsid w:val="00D45634"/>
    <w:rsid w:val="00D5568A"/>
    <w:rsid w:val="00D63D73"/>
    <w:rsid w:val="00D64452"/>
    <w:rsid w:val="00D66E1E"/>
    <w:rsid w:val="00D70696"/>
    <w:rsid w:val="00D75722"/>
    <w:rsid w:val="00D80CF5"/>
    <w:rsid w:val="00DA5BBA"/>
    <w:rsid w:val="00DB26D2"/>
    <w:rsid w:val="00DB67C9"/>
    <w:rsid w:val="00DC0C95"/>
    <w:rsid w:val="00DC4F0B"/>
    <w:rsid w:val="00DD6580"/>
    <w:rsid w:val="00DE10FB"/>
    <w:rsid w:val="00E01D7F"/>
    <w:rsid w:val="00E05C03"/>
    <w:rsid w:val="00E17C72"/>
    <w:rsid w:val="00E21FC6"/>
    <w:rsid w:val="00E431A9"/>
    <w:rsid w:val="00E62C1D"/>
    <w:rsid w:val="00E669E2"/>
    <w:rsid w:val="00E76135"/>
    <w:rsid w:val="00E82F4F"/>
    <w:rsid w:val="00E864DF"/>
    <w:rsid w:val="00E94341"/>
    <w:rsid w:val="00EB2CC3"/>
    <w:rsid w:val="00EC2844"/>
    <w:rsid w:val="00EC5500"/>
    <w:rsid w:val="00ED18F8"/>
    <w:rsid w:val="00EE6EDA"/>
    <w:rsid w:val="00EE778E"/>
    <w:rsid w:val="00EF6719"/>
    <w:rsid w:val="00EF6C6C"/>
    <w:rsid w:val="00F056FC"/>
    <w:rsid w:val="00F0632F"/>
    <w:rsid w:val="00F069AE"/>
    <w:rsid w:val="00F10476"/>
    <w:rsid w:val="00F135D8"/>
    <w:rsid w:val="00F31299"/>
    <w:rsid w:val="00F3534A"/>
    <w:rsid w:val="00F35BFB"/>
    <w:rsid w:val="00F36ACC"/>
    <w:rsid w:val="00F51609"/>
    <w:rsid w:val="00F55C25"/>
    <w:rsid w:val="00F73727"/>
    <w:rsid w:val="00F74259"/>
    <w:rsid w:val="00F766A7"/>
    <w:rsid w:val="00F81006"/>
    <w:rsid w:val="00F85325"/>
    <w:rsid w:val="00FD22B1"/>
    <w:rsid w:val="00FD3172"/>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new legislation style,new legislation style1,new legislation style Ch"/>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1 Char,new legislation style Char,new legislation style1 Char,new legislation style Ch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ListBulletChar">
    <w:name w:val="List Bullet Char"/>
    <w:basedOn w:val="BodyTextChar"/>
    <w:link w:val="ListBullet"/>
    <w:rsid w:val="007544CA"/>
    <w:rPr>
      <w:sz w:val="24"/>
    </w:rPr>
  </w:style>
  <w:style w:type="character" w:customStyle="1" w:styleId="FigureChar">
    <w:name w:val="Figure Char"/>
    <w:basedOn w:val="DefaultParagraphFont"/>
    <w:link w:val="Figure"/>
    <w:rsid w:val="007544CA"/>
    <w:rPr>
      <w:sz w:val="24"/>
    </w:rPr>
  </w:style>
  <w:style w:type="paragraph" w:styleId="ListParagraph">
    <w:name w:val="List Paragraph"/>
    <w:basedOn w:val="Normal"/>
    <w:uiPriority w:val="34"/>
    <w:rsid w:val="007544CA"/>
    <w:pPr>
      <w:ind w:left="720"/>
      <w:contextualSpacing/>
    </w:pPr>
  </w:style>
  <w:style w:type="paragraph" w:styleId="CommentSubject">
    <w:name w:val="annotation subject"/>
    <w:basedOn w:val="CommentText"/>
    <w:next w:val="CommentText"/>
    <w:link w:val="CommentSubjectChar"/>
    <w:rsid w:val="007544C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7544CA"/>
    <w:rPr>
      <w:szCs w:val="24"/>
    </w:rPr>
  </w:style>
  <w:style w:type="character" w:customStyle="1" w:styleId="CommentSubjectChar">
    <w:name w:val="Comment Subject Char"/>
    <w:basedOn w:val="CommentTextChar"/>
    <w:link w:val="CommentSubject"/>
    <w:rsid w:val="007544CA"/>
    <w:rPr>
      <w:b/>
      <w:bCs/>
      <w:szCs w:val="24"/>
    </w:rPr>
  </w:style>
  <w:style w:type="character" w:styleId="Hyperlink">
    <w:name w:val="Hyperlink"/>
    <w:basedOn w:val="DefaultParagraphFont"/>
    <w:rsid w:val="007544CA"/>
    <w:rPr>
      <w:color w:val="78A22F" w:themeColor="hyperlink"/>
      <w:u w:val="single"/>
    </w:rPr>
  </w:style>
  <w:style w:type="paragraph" w:styleId="Revision">
    <w:name w:val="Revision"/>
    <w:hidden/>
    <w:uiPriority w:val="99"/>
    <w:semiHidden/>
    <w:rsid w:val="007544CA"/>
    <w:rPr>
      <w:sz w:val="24"/>
      <w:szCs w:val="24"/>
    </w:rPr>
  </w:style>
  <w:style w:type="character" w:customStyle="1" w:styleId="BoxListBulletChar">
    <w:name w:val="Box List Bullet Char"/>
    <w:link w:val="BoxListBullet"/>
    <w:locked/>
    <w:rsid w:val="007544CA"/>
    <w:rPr>
      <w:rFonts w:ascii="Arial" w:hAnsi="Arial"/>
    </w:rPr>
  </w:style>
  <w:style w:type="character" w:customStyle="1" w:styleId="BoxChar">
    <w:name w:val="Box Char"/>
    <w:link w:val="Box"/>
    <w:locked/>
    <w:rsid w:val="007544CA"/>
    <w:rPr>
      <w:rFonts w:ascii="Arial" w:hAnsi="Arial"/>
    </w:rPr>
  </w:style>
  <w:style w:type="paragraph" w:styleId="NormalWeb">
    <w:name w:val="Normal (Web)"/>
    <w:basedOn w:val="Normal"/>
    <w:uiPriority w:val="99"/>
    <w:unhideWhenUsed/>
    <w:rsid w:val="007544CA"/>
    <w:pPr>
      <w:spacing w:before="100" w:beforeAutospacing="1" w:after="100" w:afterAutospacing="1"/>
    </w:pPr>
    <w:rPr>
      <w:rFonts w:eastAsiaTheme="minorEastAsia"/>
    </w:rPr>
  </w:style>
  <w:style w:type="character" w:customStyle="1" w:styleId="ReferenceChar">
    <w:name w:val="Reference Char"/>
    <w:basedOn w:val="DefaultParagraphFont"/>
    <w:link w:val="Reference"/>
    <w:locked/>
    <w:rsid w:val="007544CA"/>
    <w:rPr>
      <w:sz w:val="24"/>
    </w:rPr>
  </w:style>
  <w:style w:type="character" w:customStyle="1" w:styleId="FootnoteTextChar">
    <w:name w:val="Footnote Text Char"/>
    <w:basedOn w:val="DefaultParagraphFont"/>
    <w:link w:val="FootnoteText"/>
    <w:rsid w:val="007544CA"/>
  </w:style>
  <w:style w:type="character" w:styleId="FollowedHyperlink">
    <w:name w:val="FollowedHyperlink"/>
    <w:basedOn w:val="DefaultParagraphFont"/>
    <w:rsid w:val="007544CA"/>
    <w:rPr>
      <w:color w:val="387DD2" w:themeColor="followedHyperlink"/>
      <w:u w:val="single"/>
    </w:rPr>
  </w:style>
  <w:style w:type="character" w:customStyle="1" w:styleId="Heading3Char">
    <w:name w:val="Heading 3 Char"/>
    <w:basedOn w:val="DefaultParagraphFont"/>
    <w:link w:val="Heading3"/>
    <w:rsid w:val="007544CA"/>
    <w:rPr>
      <w:rFonts w:ascii="Arial" w:hAnsi="Arial"/>
      <w:b/>
      <w:sz w:val="26"/>
    </w:rPr>
  </w:style>
  <w:style w:type="character" w:customStyle="1" w:styleId="Heading4Char">
    <w:name w:val="Heading 4 Char"/>
    <w:basedOn w:val="DefaultParagraphFont"/>
    <w:link w:val="Heading4"/>
    <w:rsid w:val="007544CA"/>
    <w:rPr>
      <w:rFonts w:ascii="Arial" w:hAnsi="Arial"/>
      <w:sz w:val="24"/>
    </w:rPr>
  </w:style>
  <w:style w:type="paragraph" w:customStyle="1" w:styleId="Default">
    <w:name w:val="Default"/>
    <w:rsid w:val="007544CA"/>
    <w:pPr>
      <w:autoSpaceDE w:val="0"/>
      <w:autoSpaceDN w:val="0"/>
      <w:adjustRightInd w:val="0"/>
    </w:pPr>
    <w:rPr>
      <w:rFonts w:ascii="Arial" w:hAnsi="Arial" w:cs="Arial"/>
      <w:color w:val="000000"/>
      <w:sz w:val="24"/>
      <w:szCs w:val="24"/>
    </w:rPr>
  </w:style>
  <w:style w:type="paragraph" w:customStyle="1" w:styleId="Spacebefore">
    <w:name w:val="Space before"/>
    <w:basedOn w:val="BodyText"/>
    <w:rsid w:val="007544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new legislation style,new legislation style1,new legislation style Ch"/>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1 Char,new legislation style Char,new legislation style1 Char,new legislation style Ch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ListBulletChar">
    <w:name w:val="List Bullet Char"/>
    <w:basedOn w:val="BodyTextChar"/>
    <w:link w:val="ListBullet"/>
    <w:rsid w:val="007544CA"/>
    <w:rPr>
      <w:sz w:val="24"/>
    </w:rPr>
  </w:style>
  <w:style w:type="character" w:customStyle="1" w:styleId="FigureChar">
    <w:name w:val="Figure Char"/>
    <w:basedOn w:val="DefaultParagraphFont"/>
    <w:link w:val="Figure"/>
    <w:rsid w:val="007544CA"/>
    <w:rPr>
      <w:sz w:val="24"/>
    </w:rPr>
  </w:style>
  <w:style w:type="paragraph" w:styleId="ListParagraph">
    <w:name w:val="List Paragraph"/>
    <w:basedOn w:val="Normal"/>
    <w:uiPriority w:val="34"/>
    <w:rsid w:val="007544CA"/>
    <w:pPr>
      <w:ind w:left="720"/>
      <w:contextualSpacing/>
    </w:pPr>
  </w:style>
  <w:style w:type="paragraph" w:styleId="CommentSubject">
    <w:name w:val="annotation subject"/>
    <w:basedOn w:val="CommentText"/>
    <w:next w:val="CommentText"/>
    <w:link w:val="CommentSubjectChar"/>
    <w:rsid w:val="007544C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7544CA"/>
    <w:rPr>
      <w:szCs w:val="24"/>
    </w:rPr>
  </w:style>
  <w:style w:type="character" w:customStyle="1" w:styleId="CommentSubjectChar">
    <w:name w:val="Comment Subject Char"/>
    <w:basedOn w:val="CommentTextChar"/>
    <w:link w:val="CommentSubject"/>
    <w:rsid w:val="007544CA"/>
    <w:rPr>
      <w:b/>
      <w:bCs/>
      <w:szCs w:val="24"/>
    </w:rPr>
  </w:style>
  <w:style w:type="character" w:styleId="Hyperlink">
    <w:name w:val="Hyperlink"/>
    <w:basedOn w:val="DefaultParagraphFont"/>
    <w:rsid w:val="007544CA"/>
    <w:rPr>
      <w:color w:val="78A22F" w:themeColor="hyperlink"/>
      <w:u w:val="single"/>
    </w:rPr>
  </w:style>
  <w:style w:type="paragraph" w:styleId="Revision">
    <w:name w:val="Revision"/>
    <w:hidden/>
    <w:uiPriority w:val="99"/>
    <w:semiHidden/>
    <w:rsid w:val="007544CA"/>
    <w:rPr>
      <w:sz w:val="24"/>
      <w:szCs w:val="24"/>
    </w:rPr>
  </w:style>
  <w:style w:type="character" w:customStyle="1" w:styleId="BoxListBulletChar">
    <w:name w:val="Box List Bullet Char"/>
    <w:link w:val="BoxListBullet"/>
    <w:locked/>
    <w:rsid w:val="007544CA"/>
    <w:rPr>
      <w:rFonts w:ascii="Arial" w:hAnsi="Arial"/>
    </w:rPr>
  </w:style>
  <w:style w:type="character" w:customStyle="1" w:styleId="BoxChar">
    <w:name w:val="Box Char"/>
    <w:link w:val="Box"/>
    <w:locked/>
    <w:rsid w:val="007544CA"/>
    <w:rPr>
      <w:rFonts w:ascii="Arial" w:hAnsi="Arial"/>
    </w:rPr>
  </w:style>
  <w:style w:type="paragraph" w:styleId="NormalWeb">
    <w:name w:val="Normal (Web)"/>
    <w:basedOn w:val="Normal"/>
    <w:uiPriority w:val="99"/>
    <w:unhideWhenUsed/>
    <w:rsid w:val="007544CA"/>
    <w:pPr>
      <w:spacing w:before="100" w:beforeAutospacing="1" w:after="100" w:afterAutospacing="1"/>
    </w:pPr>
    <w:rPr>
      <w:rFonts w:eastAsiaTheme="minorEastAsia"/>
    </w:rPr>
  </w:style>
  <w:style w:type="character" w:customStyle="1" w:styleId="ReferenceChar">
    <w:name w:val="Reference Char"/>
    <w:basedOn w:val="DefaultParagraphFont"/>
    <w:link w:val="Reference"/>
    <w:locked/>
    <w:rsid w:val="007544CA"/>
    <w:rPr>
      <w:sz w:val="24"/>
    </w:rPr>
  </w:style>
  <w:style w:type="character" w:customStyle="1" w:styleId="FootnoteTextChar">
    <w:name w:val="Footnote Text Char"/>
    <w:basedOn w:val="DefaultParagraphFont"/>
    <w:link w:val="FootnoteText"/>
    <w:rsid w:val="007544CA"/>
  </w:style>
  <w:style w:type="character" w:styleId="FollowedHyperlink">
    <w:name w:val="FollowedHyperlink"/>
    <w:basedOn w:val="DefaultParagraphFont"/>
    <w:rsid w:val="007544CA"/>
    <w:rPr>
      <w:color w:val="387DD2" w:themeColor="followedHyperlink"/>
      <w:u w:val="single"/>
    </w:rPr>
  </w:style>
  <w:style w:type="character" w:customStyle="1" w:styleId="Heading3Char">
    <w:name w:val="Heading 3 Char"/>
    <w:basedOn w:val="DefaultParagraphFont"/>
    <w:link w:val="Heading3"/>
    <w:rsid w:val="007544CA"/>
    <w:rPr>
      <w:rFonts w:ascii="Arial" w:hAnsi="Arial"/>
      <w:b/>
      <w:sz w:val="26"/>
    </w:rPr>
  </w:style>
  <w:style w:type="character" w:customStyle="1" w:styleId="Heading4Char">
    <w:name w:val="Heading 4 Char"/>
    <w:basedOn w:val="DefaultParagraphFont"/>
    <w:link w:val="Heading4"/>
    <w:rsid w:val="007544CA"/>
    <w:rPr>
      <w:rFonts w:ascii="Arial" w:hAnsi="Arial"/>
      <w:sz w:val="24"/>
    </w:rPr>
  </w:style>
  <w:style w:type="paragraph" w:customStyle="1" w:styleId="Default">
    <w:name w:val="Default"/>
    <w:rsid w:val="007544CA"/>
    <w:pPr>
      <w:autoSpaceDE w:val="0"/>
      <w:autoSpaceDN w:val="0"/>
      <w:adjustRightInd w:val="0"/>
    </w:pPr>
    <w:rPr>
      <w:rFonts w:ascii="Arial" w:hAnsi="Arial" w:cs="Arial"/>
      <w:color w:val="000000"/>
      <w:sz w:val="24"/>
      <w:szCs w:val="24"/>
    </w:rPr>
  </w:style>
  <w:style w:type="paragraph" w:customStyle="1" w:styleId="Spacebefore">
    <w:name w:val="Space before"/>
    <w:basedOn w:val="BodyText"/>
    <w:rsid w:val="007544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6.emf"/><Relationship Id="rId26" Type="http://schemas.openxmlformats.org/officeDocument/2006/relationships/header" Target="header3.xml"/><Relationship Id="rId39" Type="http://schemas.openxmlformats.org/officeDocument/2006/relationships/footer" Target="footer7.xml"/><Relationship Id="rId21" Type="http://schemas.openxmlformats.org/officeDocument/2006/relationships/image" Target="media/image9.emf"/><Relationship Id="rId34" Type="http://schemas.openxmlformats.org/officeDocument/2006/relationships/image" Target="media/image14.emf"/><Relationship Id="rId42" Type="http://schemas.openxmlformats.org/officeDocument/2006/relationships/header" Target="header10.xml"/><Relationship Id="rId47" Type="http://schemas.openxmlformats.org/officeDocument/2006/relationships/header" Target="header12.xml"/><Relationship Id="rId50" Type="http://schemas.openxmlformats.org/officeDocument/2006/relationships/header" Target="header13.xml"/><Relationship Id="rId55" Type="http://schemas.openxmlformats.org/officeDocument/2006/relationships/footer" Target="footer15.xml"/><Relationship Id="rId63" Type="http://schemas.openxmlformats.org/officeDocument/2006/relationships/hyperlink" Target="http://dfat.gov.au/international-relations/international-organisations/wto/wto-dispute-settlement/Pages/wto-disputes-tobacco-plain-packaging.aspx" TargetMode="External"/><Relationship Id="rId68" Type="http://schemas.openxmlformats.org/officeDocument/2006/relationships/footer" Target="footer16.xm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2.emf"/><Relationship Id="rId32" Type="http://schemas.openxmlformats.org/officeDocument/2006/relationships/footer" Target="footer5.xml"/><Relationship Id="rId37" Type="http://schemas.openxmlformats.org/officeDocument/2006/relationships/header" Target="header7.xml"/><Relationship Id="rId40" Type="http://schemas.openxmlformats.org/officeDocument/2006/relationships/footer" Target="footer8.xml"/><Relationship Id="rId45" Type="http://schemas.openxmlformats.org/officeDocument/2006/relationships/image" Target="media/image17.emf"/><Relationship Id="rId53" Type="http://schemas.openxmlformats.org/officeDocument/2006/relationships/footer" Target="footer14.xml"/><Relationship Id="rId58" Type="http://schemas.openxmlformats.org/officeDocument/2006/relationships/hyperlink" Target="http://www.cleanenergyfinancecorp.com.au/" TargetMode="External"/><Relationship Id="rId66" Type="http://schemas.openxmlformats.org/officeDocument/2006/relationships/header" Target="header16.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image" Target="media/image11.emf"/><Relationship Id="rId28" Type="http://schemas.openxmlformats.org/officeDocument/2006/relationships/footer" Target="footer3.xml"/><Relationship Id="rId36" Type="http://schemas.openxmlformats.org/officeDocument/2006/relationships/image" Target="media/image16.emf"/><Relationship Id="rId49" Type="http://schemas.openxmlformats.org/officeDocument/2006/relationships/footer" Target="footer12.xml"/><Relationship Id="rId57" Type="http://schemas.openxmlformats.org/officeDocument/2006/relationships/hyperlink" Target="https://www.business.gov.au/assistance/" TargetMode="External"/><Relationship Id="rId61" Type="http://schemas.openxmlformats.org/officeDocument/2006/relationships/hyperlink" Target="http://dfat.gov.au/trade/agreements/trade-in-services-agreement/Pages/trade-in-services-agreement-frequently-asked-questions.aspx" TargetMode="External"/><Relationship Id="rId10" Type="http://schemas.openxmlformats.org/officeDocument/2006/relationships/image" Target="media/image2.emf"/><Relationship Id="rId19" Type="http://schemas.openxmlformats.org/officeDocument/2006/relationships/image" Target="media/image7.emf"/><Relationship Id="rId31" Type="http://schemas.openxmlformats.org/officeDocument/2006/relationships/header" Target="header6.xml"/><Relationship Id="rId44" Type="http://schemas.openxmlformats.org/officeDocument/2006/relationships/footer" Target="footer10.xml"/><Relationship Id="rId52" Type="http://schemas.openxmlformats.org/officeDocument/2006/relationships/footer" Target="footer13.xml"/><Relationship Id="rId60" Type="http://schemas.openxmlformats.org/officeDocument/2006/relationships/hyperlink" Target="http://www.cleanenergyregulator.gov.au/RET/Schemeparticipantsandindustry/Industryassistance/Industryassistancepublishedinformation" TargetMode="External"/><Relationship Id="rId65" Type="http://schemas.openxmlformats.org/officeDocument/2006/relationships/hyperlink" Target="https://www.screenaustralia.gov.au/fact-finders/production-trends/drama-production-overview/dramaallactivitysummary"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1.xml"/><Relationship Id="rId22" Type="http://schemas.openxmlformats.org/officeDocument/2006/relationships/image" Target="media/image10.emf"/><Relationship Id="rId27" Type="http://schemas.openxmlformats.org/officeDocument/2006/relationships/header" Target="header4.xml"/><Relationship Id="rId30" Type="http://schemas.openxmlformats.org/officeDocument/2006/relationships/header" Target="header5.xml"/><Relationship Id="rId35" Type="http://schemas.openxmlformats.org/officeDocument/2006/relationships/image" Target="media/image15.emf"/><Relationship Id="rId43" Type="http://schemas.openxmlformats.org/officeDocument/2006/relationships/footer" Target="footer9.xml"/><Relationship Id="rId48" Type="http://schemas.openxmlformats.org/officeDocument/2006/relationships/footer" Target="footer11.xml"/><Relationship Id="rId56" Type="http://schemas.openxmlformats.org/officeDocument/2006/relationships/hyperlink" Target="http://arena.gov.au/programmes/" TargetMode="External"/><Relationship Id="rId64" Type="http://schemas.openxmlformats.org/officeDocument/2006/relationships/hyperlink" Target="http://theconversation.com/morrisons-ruling-on-kidman-and-co-sale-redefines-the-national-interest-test-58413" TargetMode="External"/><Relationship Id="rId69" Type="http://schemas.openxmlformats.org/officeDocument/2006/relationships/footer" Target="footer17.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footer" Target="footer2.xml"/><Relationship Id="rId25" Type="http://schemas.openxmlformats.org/officeDocument/2006/relationships/image" Target="media/image13.emf"/><Relationship Id="rId33" Type="http://schemas.openxmlformats.org/officeDocument/2006/relationships/footer" Target="footer6.xml"/><Relationship Id="rId38" Type="http://schemas.openxmlformats.org/officeDocument/2006/relationships/header" Target="header8.xml"/><Relationship Id="rId46" Type="http://schemas.openxmlformats.org/officeDocument/2006/relationships/header" Target="header11.xml"/><Relationship Id="rId59" Type="http://schemas.openxmlformats.org/officeDocument/2006/relationships/hyperlink" Target="http://www.cleanenergyregulator.gov.au/RET" TargetMode="External"/><Relationship Id="rId67" Type="http://schemas.openxmlformats.org/officeDocument/2006/relationships/header" Target="header17.xml"/><Relationship Id="rId20" Type="http://schemas.openxmlformats.org/officeDocument/2006/relationships/image" Target="media/image8.emf"/><Relationship Id="rId41" Type="http://schemas.openxmlformats.org/officeDocument/2006/relationships/header" Target="header9.xml"/><Relationship Id="rId54" Type="http://schemas.openxmlformats.org/officeDocument/2006/relationships/header" Target="header15.xml"/><Relationship Id="rId62" Type="http://schemas.openxmlformats.org/officeDocument/2006/relationships/hyperlink" Target="http://dfat.gov.au/international-relations/international-organisations/wto/Pages/wto-agreement-on-government-procurement.aspx" TargetMode="External"/><Relationship Id="rId7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Dev\chapter_compil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1064E-F518-4D93-953A-3274B1740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chapter_compiler.dotm</Template>
  <TotalTime>150</TotalTime>
  <Pages>85</Pages>
  <Words>26935</Words>
  <Characters>162527</Characters>
  <Application>Microsoft Office Word</Application>
  <DocSecurity>0</DocSecurity>
  <Lines>1354</Lines>
  <Paragraphs>378</Paragraphs>
  <ScaleCrop>false</ScaleCrop>
  <HeadingPairs>
    <vt:vector size="2" baseType="variant">
      <vt:variant>
        <vt:lpstr>Title</vt:lpstr>
      </vt:variant>
      <vt:variant>
        <vt:i4>1</vt:i4>
      </vt:variant>
    </vt:vector>
  </HeadingPairs>
  <TitlesOfParts>
    <vt:vector size="1" baseType="lpstr">
      <vt:lpstr>Trade and Assistance Review 2014-15</vt:lpstr>
    </vt:vector>
  </TitlesOfParts>
  <Company>Productivity Commission</Company>
  <LinksUpToDate>false</LinksUpToDate>
  <CharactersWithSpaces>189084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Trade and Assistance Review 2014-15</dc:title>
  <dc:subject>Report</dc:subject>
  <dc:creator>Productivity Commission</dc:creator>
  <dc:description>1.</dc:description>
  <cp:lastModifiedBy>Michelle Cross</cp:lastModifiedBy>
  <cp:revision>13</cp:revision>
  <cp:lastPrinted>2014-07-13T11:30:00Z</cp:lastPrinted>
  <dcterms:created xsi:type="dcterms:W3CDTF">2016-07-15T03:53:00Z</dcterms:created>
  <dcterms:modified xsi:type="dcterms:W3CDTF">2016-07-26T05:29:00Z</dcterms:modified>
</cp:coreProperties>
</file>