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5E6B" w:rsidRPr="0096058A" w:rsidRDefault="0096058A" w:rsidP="0096058A">
      <w:pPr>
        <w:pStyle w:val="Heading1"/>
        <w:rPr>
          <w:color w:val="FFFFFF" w:themeColor="background1"/>
          <w:sz w:val="12"/>
          <w:szCs w:val="12"/>
        </w:rPr>
      </w:pPr>
      <w:bookmarkStart w:id="0" w:name="_Toc456615239"/>
      <w:r w:rsidRPr="0096058A">
        <w:rPr>
          <w:color w:val="FFFFFF" w:themeColor="background1"/>
          <w:sz w:val="12"/>
          <w:szCs w:val="12"/>
        </w:rPr>
        <w:t>Trade and Assistance Review 2014-15</w:t>
      </w:r>
      <w:bookmarkEnd w:id="0"/>
    </w:p>
    <w:p w:rsidR="0096058A" w:rsidRPr="0096058A" w:rsidRDefault="0096058A" w:rsidP="0096058A">
      <w:pPr>
        <w:pStyle w:val="BodyText"/>
        <w:rPr>
          <w:color w:val="FFFFFF" w:themeColor="background1"/>
          <w:sz w:val="12"/>
          <w:szCs w:val="12"/>
        </w:rPr>
      </w:pPr>
      <w:r w:rsidRPr="0096058A">
        <w:rPr>
          <w:color w:val="FFFFFF" w:themeColor="background1"/>
          <w:sz w:val="12"/>
          <w:szCs w:val="12"/>
        </w:rPr>
        <w:t>Productivity Commission, Annual Report Series, July 2016</w:t>
      </w:r>
    </w:p>
    <w:p w:rsidR="00B04D19" w:rsidRDefault="00B04D19" w:rsidP="00CD5E6B">
      <w:pPr>
        <w:pStyle w:val="BodyText"/>
        <w:rPr>
          <w:b/>
          <w:szCs w:val="26"/>
        </w:rPr>
      </w:pPr>
      <w:r>
        <w:br w:type="page"/>
      </w:r>
      <w:r w:rsidR="0096058A">
        <w:rPr>
          <w:b/>
          <w:noProof/>
          <w:szCs w:val="26"/>
        </w:rPr>
        <w:drawing>
          <wp:anchor distT="0" distB="0" distL="114300" distR="114300" simplePos="0" relativeHeight="251658240" behindDoc="0" locked="0" layoutInCell="1" allowOverlap="1">
            <wp:simplePos x="830580" y="982980"/>
            <wp:positionH relativeFrom="page">
              <wp:align>center</wp:align>
            </wp:positionH>
            <wp:positionV relativeFrom="page">
              <wp:align>center</wp:align>
            </wp:positionV>
            <wp:extent cx="7581600" cy="10771200"/>
            <wp:effectExtent l="0" t="0" r="635" b="0"/>
            <wp:wrapNone/>
            <wp:docPr id="1" name="Picture 1" descr="Trade and Assistance Review 2014-15&#10;Productivity Commission, Annual Report Series, July 2016&#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R-2014-15-cover-web.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81600" cy="10771200"/>
                    </a:xfrm>
                    <a:prstGeom prst="rect">
                      <a:avLst/>
                    </a:prstGeom>
                  </pic:spPr>
                </pic:pic>
              </a:graphicData>
            </a:graphic>
            <wp14:sizeRelH relativeFrom="margin">
              <wp14:pctWidth>0</wp14:pctWidth>
            </wp14:sizeRelH>
            <wp14:sizeRelV relativeFrom="margin">
              <wp14:pctHeight>0</wp14:pctHeight>
            </wp14:sizeRelV>
          </wp:anchor>
        </w:drawing>
      </w:r>
    </w:p>
    <w:p w:rsidR="003E7802" w:rsidRDefault="003E7802" w:rsidP="00D969AE">
      <w:pPr>
        <w:pStyle w:val="Copyrightheading"/>
      </w:pPr>
      <w:r w:rsidRPr="008C305F">
        <w:lastRenderedPageBreak/>
        <w:fldChar w:fldCharType="begin"/>
      </w:r>
      <w:r w:rsidRPr="008C305F">
        <w:instrText>SYMBOL 227 \f "Symbol"</w:instrText>
      </w:r>
      <w:r w:rsidRPr="008C305F">
        <w:fldChar w:fldCharType="end"/>
      </w:r>
      <w:r w:rsidRPr="008C305F">
        <w:t xml:space="preserve"> Commonwealth of Australia </w:t>
      </w:r>
      <w:r w:rsidR="00D74E25">
        <w:t>201</w:t>
      </w:r>
      <w:r w:rsidR="00BA311E">
        <w:t>6</w:t>
      </w:r>
    </w:p>
    <w:p w:rsidR="00FD415D" w:rsidRDefault="00FD415D" w:rsidP="0096058A">
      <w:pPr>
        <w:pStyle w:val="BodyText"/>
        <w:tabs>
          <w:tab w:val="left" w:pos="851"/>
        </w:tabs>
        <w:spacing w:before="200" w:after="120"/>
        <w:jc w:val="left"/>
      </w:pPr>
      <w:r>
        <w:rPr>
          <w:b/>
        </w:rPr>
        <w:t>ISBN</w:t>
      </w:r>
      <w:r>
        <w:rPr>
          <w:b/>
        </w:rPr>
        <w:tab/>
      </w:r>
      <w:r w:rsidR="0096058A" w:rsidRPr="0096058A">
        <w:rPr>
          <w:b/>
        </w:rPr>
        <w:t>978-1-74037-586-3</w:t>
      </w:r>
    </w:p>
    <w:p w:rsidR="008A3857" w:rsidRDefault="008A3857" w:rsidP="008E242D">
      <w:pPr>
        <w:pStyle w:val="BodyText"/>
        <w:spacing w:after="120"/>
      </w:pPr>
      <w:bookmarkStart w:id="1" w:name="ISSN"/>
      <w:bookmarkEnd w:id="1"/>
      <w:r w:rsidRPr="00862D8F">
        <w:rPr>
          <w:noProof/>
          <w:sz w:val="22"/>
          <w:szCs w:val="22"/>
        </w:rPr>
        <w:drawing>
          <wp:inline distT="0" distB="0" distL="0" distR="0" wp14:anchorId="5F3D228B" wp14:editId="476317C5">
            <wp:extent cx="843280" cy="295043"/>
            <wp:effectExtent l="0" t="0" r="0" b="0"/>
            <wp:docPr id="2" name="Picture 2" descr="CC BY licen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By logo"/>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843280" cy="295043"/>
                    </a:xfrm>
                    <a:prstGeom prst="rect">
                      <a:avLst/>
                    </a:prstGeom>
                    <a:noFill/>
                    <a:ln>
                      <a:noFill/>
                    </a:ln>
                  </pic:spPr>
                </pic:pic>
              </a:graphicData>
            </a:graphic>
          </wp:inline>
        </w:drawing>
      </w:r>
    </w:p>
    <w:p w:rsidR="008A3857" w:rsidRPr="008A3857" w:rsidRDefault="008A3857" w:rsidP="00BA0B81">
      <w:pPr>
        <w:pStyle w:val="Copyrightbodytext"/>
      </w:pPr>
      <w:r w:rsidRPr="008A3857">
        <w:t xml:space="preserve">Except for the Commonwealth Coat of Arms and content supplied by third parties, this copyright work is licensed under a Creative Commons Attribution 3.0 Australia licence. To view a copy of this licence, visit </w:t>
      </w:r>
      <w:hyperlink r:id="rId11" w:history="1">
        <w:hyperlink r:id="rId12" w:history="1">
          <w:r w:rsidRPr="00805FD7">
            <w:t>http://creativecommons.org/licenses/by/3.0/au</w:t>
          </w:r>
        </w:hyperlink>
      </w:hyperlink>
      <w:r w:rsidRPr="00FD415D">
        <w:t>.</w:t>
      </w:r>
      <w:r w:rsidRPr="008A3857">
        <w:t xml:space="preserve"> In essence, you are free to copy, communicate and adapt the work, as long as you attribute the work to the Productivity Commission (but not in any way that suggests the Commission endorses you or your use) and abide by the other licence terms.</w:t>
      </w:r>
    </w:p>
    <w:p w:rsidR="008A3857" w:rsidRPr="008A3857" w:rsidRDefault="008A3857" w:rsidP="008A3857">
      <w:pPr>
        <w:pStyle w:val="Copyrightsubtitle"/>
      </w:pPr>
      <w:r w:rsidRPr="008A3857">
        <w:t>Use of the Commonwealth Coat of Arms</w:t>
      </w:r>
    </w:p>
    <w:p w:rsidR="008A3857" w:rsidRPr="008A3857" w:rsidRDefault="008A3857" w:rsidP="00BA0B81">
      <w:pPr>
        <w:pStyle w:val="Copyrightbodytext"/>
      </w:pPr>
      <w:r w:rsidRPr="008A3857">
        <w:t>For terms of use of the Coat of Arms visit the ‘</w:t>
      </w:r>
      <w:hyperlink r:id="rId13" w:history="1">
        <w:r w:rsidRPr="00805FD7">
          <w:t>It’s an Honour</w:t>
        </w:r>
      </w:hyperlink>
      <w:r w:rsidRPr="008A3857">
        <w:t>’ website</w:t>
      </w:r>
      <w:r w:rsidR="00122FE9" w:rsidRPr="00BA0B81">
        <w:t>:</w:t>
      </w:r>
      <w:r w:rsidRPr="00BA0B81">
        <w:t xml:space="preserve"> </w:t>
      </w:r>
      <w:hyperlink r:id="rId14" w:history="1">
        <w:r w:rsidR="00BA0B81" w:rsidRPr="00805FD7">
          <w:t>http://</w:t>
        </w:r>
        <w:proofErr w:type="spellStart"/>
        <w:r w:rsidR="00BA0B81" w:rsidRPr="00805FD7">
          <w:t>www.itsanhonour.gov.au</w:t>
        </w:r>
        <w:proofErr w:type="spellEnd"/>
      </w:hyperlink>
    </w:p>
    <w:p w:rsidR="008A3857" w:rsidRPr="008A3857" w:rsidRDefault="008A3857" w:rsidP="008A3857">
      <w:pPr>
        <w:pStyle w:val="Copyrightsubtitle"/>
      </w:pPr>
      <w:r w:rsidRPr="008A3857">
        <w:t>Third party copyright</w:t>
      </w:r>
    </w:p>
    <w:p w:rsidR="008A3857" w:rsidRPr="008A3857" w:rsidRDefault="008A3857" w:rsidP="00BA0B81">
      <w:pPr>
        <w:pStyle w:val="Copyrightbodytext"/>
      </w:pPr>
      <w:r w:rsidRPr="008A3857">
        <w:t>Wherever a third party holds copyright in this material, the copyright remains with that party. Their permission may be required to use the material, please contact them directly.</w:t>
      </w:r>
    </w:p>
    <w:p w:rsidR="008A3857" w:rsidRPr="008A3857" w:rsidRDefault="008A3857" w:rsidP="008A3857">
      <w:pPr>
        <w:pStyle w:val="Copyrightsubtitle"/>
      </w:pPr>
      <w:r w:rsidRPr="008A3857">
        <w:t>Attribution</w:t>
      </w:r>
    </w:p>
    <w:p w:rsidR="008A3857" w:rsidRPr="008A3857" w:rsidRDefault="008A3857" w:rsidP="00BA0B81">
      <w:pPr>
        <w:pStyle w:val="Copyrightbodytext"/>
      </w:pPr>
      <w:r w:rsidRPr="008A3857">
        <w:t xml:space="preserve">This work should be attributed as follows, </w:t>
      </w:r>
      <w:r w:rsidRPr="008E242D">
        <w:rPr>
          <w:i/>
        </w:rPr>
        <w:t xml:space="preserve">Source: Productivity Commission, </w:t>
      </w:r>
      <w:r w:rsidR="00852911" w:rsidRPr="00F44579">
        <w:rPr>
          <w:i/>
        </w:rPr>
        <w:t>Trade &amp; Assistance Review 201</w:t>
      </w:r>
      <w:r w:rsidR="00852911">
        <w:rPr>
          <w:i/>
        </w:rPr>
        <w:t>4</w:t>
      </w:r>
      <w:r w:rsidR="00852911" w:rsidRPr="00F44579">
        <w:rPr>
          <w:i/>
        </w:rPr>
        <w:t>-1</w:t>
      </w:r>
      <w:r w:rsidR="00852911">
        <w:rPr>
          <w:i/>
        </w:rPr>
        <w:t>5</w:t>
      </w:r>
      <w:r w:rsidRPr="008A3857">
        <w:t>.</w:t>
      </w:r>
    </w:p>
    <w:p w:rsidR="008A3857" w:rsidRPr="008A3857" w:rsidRDefault="008A3857" w:rsidP="00BA0B81">
      <w:pPr>
        <w:pStyle w:val="Copyrightbodytext"/>
        <w:spacing w:before="120"/>
      </w:pPr>
      <w:r w:rsidRPr="008A3857">
        <w:t xml:space="preserve">If you have adapted, modified or transformed this work in anyway, please use the following, </w:t>
      </w:r>
      <w:r w:rsidRPr="008E242D">
        <w:rPr>
          <w:i/>
        </w:rPr>
        <w:t>Source: based on Productivity Commission</w:t>
      </w:r>
      <w:r w:rsidR="00122FE9">
        <w:rPr>
          <w:i/>
        </w:rPr>
        <w:t xml:space="preserve"> </w:t>
      </w:r>
      <w:r w:rsidRPr="008E242D">
        <w:rPr>
          <w:i/>
        </w:rPr>
        <w:t>data</w:t>
      </w:r>
      <w:r w:rsidR="008E242D" w:rsidRPr="008E242D">
        <w:rPr>
          <w:i/>
        </w:rPr>
        <w:t xml:space="preserve">, </w:t>
      </w:r>
      <w:r w:rsidR="00852911" w:rsidRPr="00F44579">
        <w:rPr>
          <w:i/>
        </w:rPr>
        <w:t>Trade &amp; Assistance Review 201</w:t>
      </w:r>
      <w:r w:rsidR="00852911">
        <w:rPr>
          <w:i/>
        </w:rPr>
        <w:t>4</w:t>
      </w:r>
      <w:r w:rsidR="00852911" w:rsidRPr="00F44579">
        <w:rPr>
          <w:i/>
        </w:rPr>
        <w:t>-1</w:t>
      </w:r>
      <w:r w:rsidR="00852911">
        <w:rPr>
          <w:i/>
        </w:rPr>
        <w:t>5</w:t>
      </w:r>
      <w:r w:rsidRPr="008A3857">
        <w:t>.</w:t>
      </w:r>
    </w:p>
    <w:p w:rsidR="008A3857" w:rsidRPr="008A3857" w:rsidRDefault="008A3857" w:rsidP="008A3857">
      <w:pPr>
        <w:pStyle w:val="Copyrightsubtitle"/>
      </w:pPr>
      <w:r w:rsidRPr="008A3857">
        <w:t xml:space="preserve">An appropriate </w:t>
      </w:r>
      <w:r w:rsidR="00122FE9">
        <w:t>reference</w:t>
      </w:r>
      <w:r w:rsidRPr="008A3857">
        <w:t xml:space="preserve"> for this publication is:</w:t>
      </w:r>
    </w:p>
    <w:p w:rsidR="00852911" w:rsidRDefault="00852911" w:rsidP="00852911">
      <w:pPr>
        <w:pStyle w:val="Copyrightbodytext"/>
      </w:pPr>
      <w:bookmarkStart w:id="2" w:name="JEL"/>
      <w:bookmarkEnd w:id="2"/>
      <w:r>
        <w:t xml:space="preserve">Productivity Commission 2016, </w:t>
      </w:r>
      <w:r w:rsidRPr="00F44579">
        <w:rPr>
          <w:i/>
        </w:rPr>
        <w:t>Trade &amp; Assistance Review 201</w:t>
      </w:r>
      <w:r>
        <w:rPr>
          <w:i/>
        </w:rPr>
        <w:t>4</w:t>
      </w:r>
      <w:r w:rsidRPr="00F44579">
        <w:rPr>
          <w:i/>
        </w:rPr>
        <w:t>-1</w:t>
      </w:r>
      <w:r>
        <w:rPr>
          <w:i/>
        </w:rPr>
        <w:t>5</w:t>
      </w:r>
      <w:r w:rsidRPr="00F44579">
        <w:t>, Annual Report Series, Canberra, Ju</w:t>
      </w:r>
      <w:r w:rsidR="0096058A">
        <w:t>ly</w:t>
      </w:r>
      <w:r w:rsidRPr="00F44579">
        <w:t>.</w:t>
      </w:r>
    </w:p>
    <w:p w:rsidR="008A3857" w:rsidRPr="008A3857" w:rsidRDefault="008A3857" w:rsidP="008A3857">
      <w:pPr>
        <w:pStyle w:val="Copyrightsubtitle"/>
      </w:pPr>
      <w:r w:rsidRPr="008A3857">
        <w:t>Publications enquiries</w:t>
      </w:r>
    </w:p>
    <w:p w:rsidR="00E30DDB" w:rsidRDefault="008A3857" w:rsidP="00EC38C1">
      <w:pPr>
        <w:pStyle w:val="Copyrightbodytext"/>
      </w:pPr>
      <w:r w:rsidRPr="008A3857">
        <w:t xml:space="preserve">Media and Publications, </w:t>
      </w:r>
      <w:r w:rsidR="00EC38C1">
        <w:rPr>
          <w:szCs w:val="24"/>
        </w:rPr>
        <w:t>phone:</w:t>
      </w:r>
      <w:r w:rsidR="00EC38C1" w:rsidRPr="00BB5DCF">
        <w:rPr>
          <w:szCs w:val="24"/>
        </w:rPr>
        <w:t xml:space="preserve"> (03) 9653 2244 or email: </w:t>
      </w:r>
      <w:proofErr w:type="spellStart"/>
      <w:r w:rsidR="00EC38C1" w:rsidRPr="00BB5DCF">
        <w:rPr>
          <w:szCs w:val="24"/>
        </w:rPr>
        <w:t>maps@pc.gov.au</w:t>
      </w:r>
      <w:proofErr w:type="spellEnd"/>
    </w:p>
    <w:p w:rsidR="008A3857" w:rsidRDefault="008A3857" w:rsidP="008A385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8A3857" w:rsidTr="00C670DE">
        <w:tc>
          <w:tcPr>
            <w:tcW w:w="8771" w:type="dxa"/>
            <w:tcBorders>
              <w:top w:val="single" w:sz="6" w:space="0" w:color="78A22F"/>
              <w:left w:val="nil"/>
              <w:bottom w:val="nil"/>
              <w:right w:val="nil"/>
            </w:tcBorders>
            <w:shd w:val="clear" w:color="auto" w:fill="F2F2F2" w:themeFill="background1" w:themeFillShade="F2"/>
          </w:tcPr>
          <w:p w:rsidR="008A3857" w:rsidRPr="008A3857" w:rsidRDefault="008A3857" w:rsidP="002D5890">
            <w:pPr>
              <w:pStyle w:val="BoxTitle"/>
              <w:rPr>
                <w:sz w:val="22"/>
                <w:szCs w:val="22"/>
              </w:rPr>
            </w:pPr>
            <w:r w:rsidRPr="008A3857">
              <w:rPr>
                <w:sz w:val="22"/>
                <w:szCs w:val="22"/>
              </w:rPr>
              <w:t>The Productivity Commission</w:t>
            </w:r>
          </w:p>
        </w:tc>
      </w:tr>
      <w:tr w:rsidR="008A3857" w:rsidTr="00C670DE">
        <w:tc>
          <w:tcPr>
            <w:tcW w:w="8771" w:type="dxa"/>
            <w:tcBorders>
              <w:top w:val="nil"/>
              <w:left w:val="nil"/>
              <w:bottom w:val="nil"/>
              <w:right w:val="nil"/>
            </w:tcBorders>
            <w:shd w:val="clear" w:color="auto" w:fill="F2F2F2" w:themeFill="background1" w:themeFillShade="F2"/>
          </w:tcPr>
          <w:p w:rsidR="008A3857" w:rsidRDefault="008A3857" w:rsidP="002D5890">
            <w:pPr>
              <w:pStyle w:val="Box"/>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rsidR="008A3857" w:rsidRDefault="008A3857" w:rsidP="002D5890">
            <w:pPr>
              <w:pStyle w:val="Box"/>
            </w:pPr>
            <w:r w:rsidRPr="00BB5DCF">
              <w:t>The Commission’s independence is underpinned by an Act of Parliament. Its processes and outputs are open to public scrutiny and are driven by concern for the wellbeing of the community as a whole.</w:t>
            </w:r>
          </w:p>
          <w:p w:rsidR="008A3857" w:rsidRDefault="008A3857" w:rsidP="00EC38C1">
            <w:pPr>
              <w:pStyle w:val="Box"/>
            </w:pPr>
            <w:r w:rsidRPr="00BB5DCF">
              <w:rPr>
                <w:szCs w:val="24"/>
              </w:rPr>
              <w:t>Further information on the Productivity Commission can be obtained from the Commission’s website (</w:t>
            </w:r>
            <w:proofErr w:type="spellStart"/>
            <w:r w:rsidR="00B35112">
              <w:fldChar w:fldCharType="begin"/>
            </w:r>
            <w:r w:rsidR="00B35112">
              <w:instrText xml:space="preserve"> HYPERLINK "http://www.pc.gov.au/" </w:instrText>
            </w:r>
            <w:r w:rsidR="00B35112">
              <w:fldChar w:fldCharType="separate"/>
            </w:r>
            <w:r w:rsidRPr="00805FD7">
              <w:t>www.pc.gov.au</w:t>
            </w:r>
            <w:proofErr w:type="spellEnd"/>
            <w:r w:rsidR="00B35112">
              <w:fldChar w:fldCharType="end"/>
            </w:r>
            <w:r w:rsidRPr="00BB5DCF">
              <w:rPr>
                <w:szCs w:val="24"/>
              </w:rPr>
              <w:t>)</w:t>
            </w:r>
            <w:r w:rsidR="00EC38C1">
              <w:rPr>
                <w:szCs w:val="24"/>
              </w:rPr>
              <w:t>.</w:t>
            </w:r>
          </w:p>
        </w:tc>
      </w:tr>
      <w:tr w:rsidR="008A3857" w:rsidTr="00C670DE">
        <w:tc>
          <w:tcPr>
            <w:tcW w:w="8771" w:type="dxa"/>
            <w:tcBorders>
              <w:top w:val="nil"/>
              <w:left w:val="nil"/>
              <w:bottom w:val="single" w:sz="6" w:space="0" w:color="78A22F"/>
              <w:right w:val="nil"/>
            </w:tcBorders>
            <w:shd w:val="clear" w:color="auto" w:fill="F2F2F2" w:themeFill="background1" w:themeFillShade="F2"/>
          </w:tcPr>
          <w:p w:rsidR="008A3857" w:rsidRDefault="008A3857" w:rsidP="002D5890">
            <w:pPr>
              <w:pStyle w:val="Box"/>
              <w:spacing w:before="0" w:line="120" w:lineRule="exact"/>
            </w:pPr>
          </w:p>
        </w:tc>
      </w:tr>
    </w:tbl>
    <w:p w:rsidR="00735FEA" w:rsidRDefault="00735FEA">
      <w:pPr>
        <w:pStyle w:val="BodyText"/>
        <w:sectPr w:rsidR="00735FEA" w:rsidSect="00B35112">
          <w:type w:val="oddPage"/>
          <w:pgSz w:w="11907" w:h="16840" w:code="9"/>
          <w:pgMar w:top="1304" w:right="1304" w:bottom="567" w:left="1814" w:header="1701" w:footer="397" w:gutter="0"/>
          <w:pgNumType w:fmt="lowerRoman" w:start="1"/>
          <w:cols w:space="720"/>
          <w:titlePg/>
        </w:sectPr>
      </w:pPr>
      <w:bookmarkStart w:id="3" w:name="cov"/>
      <w:bookmarkEnd w:id="3"/>
    </w:p>
    <w:p w:rsidR="005059C7" w:rsidRDefault="005059C7">
      <w:pPr>
        <w:pStyle w:val="Heading1"/>
      </w:pPr>
      <w:bookmarkStart w:id="4" w:name="_Toc456615240"/>
      <w:r>
        <w:lastRenderedPageBreak/>
        <w:t>Foreword</w:t>
      </w:r>
      <w:bookmarkEnd w:id="4"/>
    </w:p>
    <w:p w:rsidR="005059C7" w:rsidRDefault="005059C7" w:rsidP="005059C7">
      <w:pPr>
        <w:pStyle w:val="BodyText"/>
        <w:rPr>
          <w:szCs w:val="26"/>
        </w:rPr>
      </w:pPr>
      <w:r>
        <w:rPr>
          <w:szCs w:val="26"/>
        </w:rPr>
        <w:t>The Productivity Commission is required under its Act to report annually on industry assistance and its effects on the economy.</w:t>
      </w:r>
      <w:r w:rsidR="004F5480">
        <w:rPr>
          <w:szCs w:val="26"/>
        </w:rPr>
        <w:t xml:space="preserve"> The</w:t>
      </w:r>
      <w:r>
        <w:rPr>
          <w:szCs w:val="26"/>
        </w:rPr>
        <w:t xml:space="preserve"> </w:t>
      </w:r>
      <w:r>
        <w:rPr>
          <w:i/>
          <w:szCs w:val="26"/>
        </w:rPr>
        <w:t>Trade &amp; Assistance Review 2014-15</w:t>
      </w:r>
      <w:r>
        <w:rPr>
          <w:szCs w:val="26"/>
        </w:rPr>
        <w:t xml:space="preserve"> contains the Commission’s latest quantitative estimates of Australian Government assistance to industry. </w:t>
      </w:r>
    </w:p>
    <w:p w:rsidR="005A1BB9" w:rsidRDefault="005A1BB9" w:rsidP="005059C7">
      <w:pPr>
        <w:pStyle w:val="BodyText"/>
        <w:rPr>
          <w:szCs w:val="26"/>
        </w:rPr>
      </w:pPr>
      <w:r>
        <w:rPr>
          <w:szCs w:val="26"/>
        </w:rPr>
        <w:t xml:space="preserve">This year’s review also explores how the </w:t>
      </w:r>
      <w:r w:rsidRPr="005A1BB9">
        <w:rPr>
          <w:szCs w:val="26"/>
        </w:rPr>
        <w:t xml:space="preserve">size and nature of the assistance estimates </w:t>
      </w:r>
      <w:r>
        <w:rPr>
          <w:szCs w:val="26"/>
        </w:rPr>
        <w:t xml:space="preserve">might be </w:t>
      </w:r>
      <w:r w:rsidRPr="005A1BB9">
        <w:rPr>
          <w:szCs w:val="26"/>
        </w:rPr>
        <w:t xml:space="preserve">influenced by recent developments such as the Agricultural Competitiveness White Paper, the Defence Industry Statement and </w:t>
      </w:r>
      <w:r w:rsidR="00350779">
        <w:rPr>
          <w:szCs w:val="26"/>
        </w:rPr>
        <w:t xml:space="preserve">submarine </w:t>
      </w:r>
      <w:r w:rsidRPr="005A1BB9">
        <w:rPr>
          <w:szCs w:val="26"/>
        </w:rPr>
        <w:t>procurement, programs to increase renewable energy and reduce carbon emissions</w:t>
      </w:r>
      <w:r w:rsidR="00350779">
        <w:rPr>
          <w:szCs w:val="26"/>
        </w:rPr>
        <w:t>,</w:t>
      </w:r>
      <w:r w:rsidRPr="005A1BB9">
        <w:rPr>
          <w:szCs w:val="26"/>
        </w:rPr>
        <w:t xml:space="preserve"> and programs targeted at </w:t>
      </w:r>
      <w:r>
        <w:rPr>
          <w:szCs w:val="26"/>
        </w:rPr>
        <w:t xml:space="preserve">business </w:t>
      </w:r>
      <w:r w:rsidRPr="005A1BB9">
        <w:rPr>
          <w:szCs w:val="26"/>
        </w:rPr>
        <w:t>innovation.</w:t>
      </w:r>
    </w:p>
    <w:p w:rsidR="005A1BB9" w:rsidRDefault="005A1BB9" w:rsidP="005059C7">
      <w:pPr>
        <w:pStyle w:val="BodyText"/>
        <w:rPr>
          <w:szCs w:val="26"/>
        </w:rPr>
      </w:pPr>
      <w:r>
        <w:rPr>
          <w:szCs w:val="26"/>
        </w:rPr>
        <w:t xml:space="preserve">Views inevitably differ on </w:t>
      </w:r>
      <w:r w:rsidR="00907531">
        <w:rPr>
          <w:szCs w:val="26"/>
        </w:rPr>
        <w:t xml:space="preserve">what </w:t>
      </w:r>
      <w:r w:rsidR="00C43DDD">
        <w:rPr>
          <w:szCs w:val="26"/>
        </w:rPr>
        <w:t xml:space="preserve">constitutes </w:t>
      </w:r>
      <w:r w:rsidR="00907531">
        <w:rPr>
          <w:szCs w:val="26"/>
        </w:rPr>
        <w:t xml:space="preserve">industry assistance and whether it is </w:t>
      </w:r>
      <w:r>
        <w:rPr>
          <w:szCs w:val="26"/>
        </w:rPr>
        <w:t xml:space="preserve">warranted. </w:t>
      </w:r>
      <w:r w:rsidR="00907531">
        <w:rPr>
          <w:szCs w:val="26"/>
        </w:rPr>
        <w:t xml:space="preserve">Fundamental to these questions is transparency of measures. The annual </w:t>
      </w:r>
      <w:r w:rsidR="00907531" w:rsidRPr="00907531">
        <w:rPr>
          <w:i/>
          <w:szCs w:val="26"/>
        </w:rPr>
        <w:t>Review</w:t>
      </w:r>
      <w:r w:rsidR="00907531">
        <w:rPr>
          <w:szCs w:val="26"/>
        </w:rPr>
        <w:t xml:space="preserve"> seeks to identify government arrangements that may be construed as assistance, as well as </w:t>
      </w:r>
      <w:r w:rsidR="004F5480">
        <w:rPr>
          <w:szCs w:val="26"/>
        </w:rPr>
        <w:t>their</w:t>
      </w:r>
      <w:r w:rsidR="00907531">
        <w:rPr>
          <w:szCs w:val="26"/>
        </w:rPr>
        <w:t xml:space="preserve"> target, size, and nature. This information provides a basis for considered assessment of the benefits and costs of the arrangements.</w:t>
      </w:r>
    </w:p>
    <w:p w:rsidR="005059C7" w:rsidRDefault="005059C7" w:rsidP="005059C7">
      <w:pPr>
        <w:pStyle w:val="BodyText"/>
      </w:pPr>
      <w:r>
        <w:t>In preparing this report, the Commission has received helpful advice and feedback from officials in Australian Government agencies. The Commission is very grateful for their assistance</w:t>
      </w:r>
      <w:r w:rsidR="000F3877">
        <w:t>.</w:t>
      </w:r>
      <w:bookmarkStart w:id="5" w:name="_GoBack"/>
      <w:bookmarkEnd w:id="5"/>
    </w:p>
    <w:p w:rsidR="0096058A" w:rsidRDefault="005059C7" w:rsidP="0096058A">
      <w:pPr>
        <w:pStyle w:val="BodyText"/>
        <w:spacing w:before="480"/>
        <w:jc w:val="left"/>
      </w:pPr>
      <w:r>
        <w:t>Peter Harris</w:t>
      </w:r>
      <w:r>
        <w:br/>
        <w:t>Chairman</w:t>
      </w:r>
    </w:p>
    <w:p w:rsidR="005059C7" w:rsidRPr="005059C7" w:rsidRDefault="005059C7" w:rsidP="0096058A">
      <w:pPr>
        <w:pStyle w:val="BodyText"/>
        <w:jc w:val="left"/>
      </w:pPr>
      <w:r>
        <w:t>July 2016</w:t>
      </w:r>
    </w:p>
    <w:p w:rsidR="005059C7" w:rsidRPr="00634771" w:rsidRDefault="005059C7" w:rsidP="005059C7">
      <w:pPr>
        <w:pStyle w:val="BodyText"/>
      </w:pPr>
    </w:p>
    <w:p w:rsidR="005059C7" w:rsidRDefault="005059C7">
      <w:pPr>
        <w:pStyle w:val="BodyText"/>
        <w:sectPr w:rsidR="005059C7" w:rsidSect="00160417">
          <w:headerReference w:type="even" r:id="rId15"/>
          <w:headerReference w:type="default" r:id="rId16"/>
          <w:footerReference w:type="even" r:id="rId17"/>
          <w:footerReference w:type="default" r:id="rId18"/>
          <w:pgSz w:w="11906" w:h="16838" w:code="9"/>
          <w:pgMar w:top="1985" w:right="1304" w:bottom="1247" w:left="1814" w:header="1701" w:footer="397" w:gutter="0"/>
          <w:pgNumType w:fmt="lowerRoman"/>
          <w:cols w:space="708"/>
          <w:docGrid w:linePitch="360"/>
        </w:sectPr>
      </w:pPr>
    </w:p>
    <w:p w:rsidR="00B72C67" w:rsidRDefault="00735FEA" w:rsidP="008206EE">
      <w:pPr>
        <w:pStyle w:val="Heading1NotTOC"/>
        <w:rPr>
          <w:noProof/>
        </w:rPr>
      </w:pPr>
      <w:bookmarkStart w:id="6" w:name="Contents"/>
      <w:bookmarkEnd w:id="6"/>
      <w:r w:rsidRPr="00B153C3">
        <w:lastRenderedPageBreak/>
        <w:t>Contents</w:t>
      </w:r>
      <w:bookmarkStart w:id="7" w:name="InsertContents"/>
      <w:bookmarkEnd w:id="7"/>
    </w:p>
    <w:p w:rsidR="00B72C67" w:rsidRDefault="00B72C67" w:rsidP="00B72C67">
      <w:pPr>
        <w:pStyle w:val="TOC1"/>
        <w:spacing w:before="100"/>
        <w:rPr>
          <w:rFonts w:asciiTheme="minorHAnsi" w:eastAsiaTheme="minorEastAsia" w:hAnsiTheme="minorHAnsi" w:cstheme="minorBidi"/>
          <w:b w:val="0"/>
          <w:noProof/>
          <w:sz w:val="22"/>
          <w:szCs w:val="22"/>
          <w:lang w:eastAsia="en-AU"/>
        </w:rPr>
      </w:pPr>
      <w:r>
        <w:rPr>
          <w:noProof/>
        </w:rPr>
        <w:t>Foreword</w:t>
      </w:r>
      <w:r>
        <w:rPr>
          <w:noProof/>
        </w:rPr>
        <w:tab/>
        <w:t>iii</w:t>
      </w:r>
    </w:p>
    <w:p w:rsidR="00B72C67" w:rsidRDefault="00B72C67" w:rsidP="00B72C67">
      <w:pPr>
        <w:pStyle w:val="TOC1"/>
        <w:spacing w:before="100"/>
        <w:rPr>
          <w:noProof/>
        </w:rPr>
      </w:pPr>
      <w:r>
        <w:rPr>
          <w:noProof/>
        </w:rPr>
        <w:t>Abbreviations and explanations</w:t>
      </w:r>
      <w:r>
        <w:rPr>
          <w:noProof/>
        </w:rPr>
        <w:tab/>
        <w:t>viii</w:t>
      </w:r>
    </w:p>
    <w:p w:rsidR="00B72C67" w:rsidRPr="00B72C67" w:rsidRDefault="00B72C67" w:rsidP="00B72C67">
      <w:pPr>
        <w:pStyle w:val="TOC1"/>
        <w:spacing w:before="100"/>
        <w:rPr>
          <w:noProof/>
        </w:rPr>
      </w:pPr>
      <w:r w:rsidRPr="00B72C67">
        <w:rPr>
          <w:noProof/>
        </w:rPr>
        <w:t>Key points</w:t>
      </w:r>
      <w:r w:rsidRPr="00B72C67">
        <w:rPr>
          <w:noProof/>
        </w:rPr>
        <w:tab/>
      </w:r>
      <w:r>
        <w:rPr>
          <w:noProof/>
        </w:rPr>
        <w:t>vii</w:t>
      </w:r>
    </w:p>
    <w:p w:rsidR="00B72C67" w:rsidRDefault="00B72C67" w:rsidP="00B72C67">
      <w:pPr>
        <w:pStyle w:val="TOC1"/>
        <w:spacing w:before="100"/>
        <w:rPr>
          <w:rFonts w:asciiTheme="minorHAnsi" w:eastAsiaTheme="minorEastAsia" w:hAnsiTheme="minorHAnsi" w:cstheme="minorBidi"/>
          <w:b w:val="0"/>
          <w:noProof/>
          <w:sz w:val="22"/>
          <w:szCs w:val="22"/>
          <w:lang w:eastAsia="en-AU"/>
        </w:rPr>
      </w:pPr>
      <w:r>
        <w:rPr>
          <w:noProof/>
        </w:rPr>
        <w:t>1</w:t>
      </w:r>
      <w:r>
        <w:rPr>
          <w:rFonts w:asciiTheme="minorHAnsi" w:eastAsiaTheme="minorEastAsia" w:hAnsiTheme="minorHAnsi" w:cstheme="minorBidi"/>
          <w:b w:val="0"/>
          <w:noProof/>
          <w:sz w:val="22"/>
          <w:szCs w:val="22"/>
          <w:lang w:eastAsia="en-AU"/>
        </w:rPr>
        <w:tab/>
      </w:r>
      <w:r>
        <w:rPr>
          <w:noProof/>
        </w:rPr>
        <w:t>Key results and their interpretation</w:t>
      </w:r>
      <w:r>
        <w:rPr>
          <w:noProof/>
        </w:rPr>
        <w:tab/>
        <w:t>1</w:t>
      </w:r>
    </w:p>
    <w:p w:rsidR="00B72C67" w:rsidRDefault="00B72C67" w:rsidP="00B72C67">
      <w:pPr>
        <w:pStyle w:val="TOC2"/>
        <w:tabs>
          <w:tab w:val="left" w:pos="1190"/>
        </w:tabs>
        <w:spacing w:before="100"/>
        <w:rPr>
          <w:rFonts w:asciiTheme="minorHAnsi" w:eastAsiaTheme="minorEastAsia" w:hAnsiTheme="minorHAnsi" w:cstheme="minorBidi"/>
          <w:noProof/>
          <w:sz w:val="22"/>
          <w:szCs w:val="22"/>
          <w:lang w:eastAsia="en-AU"/>
        </w:rPr>
      </w:pPr>
      <w:r>
        <w:rPr>
          <w:noProof/>
        </w:rPr>
        <w:t>1.1</w:t>
      </w:r>
      <w:r>
        <w:rPr>
          <w:rFonts w:asciiTheme="minorHAnsi" w:eastAsiaTheme="minorEastAsia" w:hAnsiTheme="minorHAnsi" w:cstheme="minorBidi"/>
          <w:noProof/>
          <w:sz w:val="22"/>
          <w:szCs w:val="22"/>
          <w:lang w:eastAsia="en-AU"/>
        </w:rPr>
        <w:tab/>
      </w:r>
      <w:r>
        <w:rPr>
          <w:noProof/>
        </w:rPr>
        <w:t>What is industry assistance?</w:t>
      </w:r>
      <w:r>
        <w:rPr>
          <w:noProof/>
        </w:rPr>
        <w:tab/>
        <w:t>1</w:t>
      </w:r>
    </w:p>
    <w:p w:rsidR="00B72C67" w:rsidRDefault="00B72C67" w:rsidP="00B72C67">
      <w:pPr>
        <w:pStyle w:val="TOC2"/>
        <w:tabs>
          <w:tab w:val="left" w:pos="1190"/>
        </w:tabs>
        <w:spacing w:before="100"/>
        <w:rPr>
          <w:rFonts w:asciiTheme="minorHAnsi" w:eastAsiaTheme="minorEastAsia" w:hAnsiTheme="minorHAnsi" w:cstheme="minorBidi"/>
          <w:noProof/>
          <w:sz w:val="22"/>
          <w:szCs w:val="22"/>
          <w:lang w:eastAsia="en-AU"/>
        </w:rPr>
      </w:pPr>
      <w:r>
        <w:rPr>
          <w:noProof/>
        </w:rPr>
        <w:t>1.2</w:t>
      </w:r>
      <w:r>
        <w:rPr>
          <w:rFonts w:asciiTheme="minorHAnsi" w:eastAsiaTheme="minorEastAsia" w:hAnsiTheme="minorHAnsi" w:cstheme="minorBidi"/>
          <w:noProof/>
          <w:sz w:val="22"/>
          <w:szCs w:val="22"/>
          <w:lang w:eastAsia="en-AU"/>
        </w:rPr>
        <w:tab/>
      </w:r>
      <w:r>
        <w:rPr>
          <w:noProof/>
        </w:rPr>
        <w:t>Key findings</w:t>
      </w:r>
      <w:r>
        <w:rPr>
          <w:noProof/>
        </w:rPr>
        <w:tab/>
        <w:t>2</w:t>
      </w:r>
    </w:p>
    <w:p w:rsidR="00B72C67" w:rsidRDefault="00B72C67" w:rsidP="00B72C67">
      <w:pPr>
        <w:pStyle w:val="TOC1"/>
        <w:spacing w:before="100"/>
        <w:rPr>
          <w:rFonts w:asciiTheme="minorHAnsi" w:eastAsiaTheme="minorEastAsia" w:hAnsiTheme="minorHAnsi" w:cstheme="minorBidi"/>
          <w:b w:val="0"/>
          <w:noProof/>
          <w:sz w:val="22"/>
          <w:szCs w:val="22"/>
          <w:lang w:eastAsia="en-AU"/>
        </w:rPr>
      </w:pPr>
      <w:r>
        <w:rPr>
          <w:noProof/>
        </w:rPr>
        <w:t>2</w:t>
      </w:r>
      <w:r>
        <w:rPr>
          <w:rFonts w:asciiTheme="minorHAnsi" w:eastAsiaTheme="minorEastAsia" w:hAnsiTheme="minorHAnsi" w:cstheme="minorBidi"/>
          <w:b w:val="0"/>
          <w:noProof/>
          <w:sz w:val="22"/>
          <w:szCs w:val="22"/>
          <w:lang w:eastAsia="en-AU"/>
        </w:rPr>
        <w:tab/>
      </w:r>
      <w:r>
        <w:rPr>
          <w:noProof/>
        </w:rPr>
        <w:t>Assistance estimates</w:t>
      </w:r>
      <w:r>
        <w:rPr>
          <w:noProof/>
        </w:rPr>
        <w:tab/>
        <w:t>9</w:t>
      </w:r>
    </w:p>
    <w:p w:rsidR="00B72C67" w:rsidRDefault="00B72C67" w:rsidP="00B72C67">
      <w:pPr>
        <w:pStyle w:val="TOC2"/>
        <w:tabs>
          <w:tab w:val="left" w:pos="1190"/>
        </w:tabs>
        <w:spacing w:before="100"/>
        <w:rPr>
          <w:rFonts w:asciiTheme="minorHAnsi" w:eastAsiaTheme="minorEastAsia" w:hAnsiTheme="minorHAnsi" w:cstheme="minorBidi"/>
          <w:noProof/>
          <w:sz w:val="22"/>
          <w:szCs w:val="22"/>
          <w:lang w:eastAsia="en-AU"/>
        </w:rPr>
      </w:pPr>
      <w:r>
        <w:rPr>
          <w:noProof/>
        </w:rPr>
        <w:t>2.1</w:t>
      </w:r>
      <w:r>
        <w:rPr>
          <w:rFonts w:asciiTheme="minorHAnsi" w:eastAsiaTheme="minorEastAsia" w:hAnsiTheme="minorHAnsi" w:cstheme="minorBidi"/>
          <w:noProof/>
          <w:sz w:val="22"/>
          <w:szCs w:val="22"/>
          <w:lang w:eastAsia="en-AU"/>
        </w:rPr>
        <w:tab/>
      </w:r>
      <w:r>
        <w:rPr>
          <w:noProof/>
        </w:rPr>
        <w:t>Tariff assistance</w:t>
      </w:r>
      <w:r>
        <w:rPr>
          <w:noProof/>
        </w:rPr>
        <w:tab/>
        <w:t>11</w:t>
      </w:r>
    </w:p>
    <w:p w:rsidR="00B72C67" w:rsidRDefault="00B72C67" w:rsidP="00B72C67">
      <w:pPr>
        <w:pStyle w:val="TOC2"/>
        <w:tabs>
          <w:tab w:val="left" w:pos="1190"/>
        </w:tabs>
        <w:spacing w:before="100"/>
        <w:rPr>
          <w:rFonts w:asciiTheme="minorHAnsi" w:eastAsiaTheme="minorEastAsia" w:hAnsiTheme="minorHAnsi" w:cstheme="minorBidi"/>
          <w:noProof/>
          <w:sz w:val="22"/>
          <w:szCs w:val="22"/>
          <w:lang w:eastAsia="en-AU"/>
        </w:rPr>
      </w:pPr>
      <w:r>
        <w:rPr>
          <w:noProof/>
        </w:rPr>
        <w:t>2.2</w:t>
      </w:r>
      <w:r>
        <w:rPr>
          <w:rFonts w:asciiTheme="minorHAnsi" w:eastAsiaTheme="minorEastAsia" w:hAnsiTheme="minorHAnsi" w:cstheme="minorBidi"/>
          <w:noProof/>
          <w:sz w:val="22"/>
          <w:szCs w:val="22"/>
          <w:lang w:eastAsia="en-AU"/>
        </w:rPr>
        <w:tab/>
      </w:r>
      <w:r>
        <w:rPr>
          <w:noProof/>
        </w:rPr>
        <w:t>Australian Government budgetary assistance</w:t>
      </w:r>
      <w:r>
        <w:rPr>
          <w:noProof/>
        </w:rPr>
        <w:tab/>
        <w:t>16</w:t>
      </w:r>
    </w:p>
    <w:p w:rsidR="00B72C67" w:rsidRDefault="00B72C67" w:rsidP="00B72C67">
      <w:pPr>
        <w:pStyle w:val="TOC2"/>
        <w:tabs>
          <w:tab w:val="left" w:pos="1190"/>
        </w:tabs>
        <w:spacing w:before="100"/>
        <w:rPr>
          <w:rFonts w:asciiTheme="minorHAnsi" w:eastAsiaTheme="minorEastAsia" w:hAnsiTheme="minorHAnsi" w:cstheme="minorBidi"/>
          <w:noProof/>
          <w:sz w:val="22"/>
          <w:szCs w:val="22"/>
          <w:lang w:eastAsia="en-AU"/>
        </w:rPr>
      </w:pPr>
      <w:r>
        <w:rPr>
          <w:noProof/>
        </w:rPr>
        <w:t>2.3</w:t>
      </w:r>
      <w:r>
        <w:rPr>
          <w:rFonts w:asciiTheme="minorHAnsi" w:eastAsiaTheme="minorEastAsia" w:hAnsiTheme="minorHAnsi" w:cstheme="minorBidi"/>
          <w:noProof/>
          <w:sz w:val="22"/>
          <w:szCs w:val="22"/>
          <w:lang w:eastAsia="en-AU"/>
        </w:rPr>
        <w:tab/>
      </w:r>
      <w:r>
        <w:rPr>
          <w:noProof/>
        </w:rPr>
        <w:t>Combined assistance and effective rates of assistance</w:t>
      </w:r>
      <w:r>
        <w:rPr>
          <w:noProof/>
        </w:rPr>
        <w:tab/>
        <w:t>24</w:t>
      </w:r>
    </w:p>
    <w:p w:rsidR="00B72C67" w:rsidRDefault="00B72C67" w:rsidP="00B72C67">
      <w:pPr>
        <w:pStyle w:val="TOC2"/>
        <w:tabs>
          <w:tab w:val="left" w:pos="1190"/>
        </w:tabs>
        <w:spacing w:before="100"/>
        <w:rPr>
          <w:rFonts w:asciiTheme="minorHAnsi" w:eastAsiaTheme="minorEastAsia" w:hAnsiTheme="minorHAnsi" w:cstheme="minorBidi"/>
          <w:noProof/>
          <w:sz w:val="22"/>
          <w:szCs w:val="22"/>
          <w:lang w:eastAsia="en-AU"/>
        </w:rPr>
      </w:pPr>
      <w:r>
        <w:rPr>
          <w:noProof/>
        </w:rPr>
        <w:t>2.4</w:t>
      </w:r>
      <w:r>
        <w:rPr>
          <w:rFonts w:asciiTheme="minorHAnsi" w:eastAsiaTheme="minorEastAsia" w:hAnsiTheme="minorHAnsi" w:cstheme="minorBidi"/>
          <w:noProof/>
          <w:sz w:val="22"/>
          <w:szCs w:val="22"/>
          <w:lang w:eastAsia="en-AU"/>
        </w:rPr>
        <w:tab/>
      </w:r>
      <w:r>
        <w:rPr>
          <w:noProof/>
        </w:rPr>
        <w:t>Effective rates of assistance since 1970</w:t>
      </w:r>
      <w:r>
        <w:rPr>
          <w:noProof/>
        </w:rPr>
        <w:tab/>
        <w:t>28</w:t>
      </w:r>
    </w:p>
    <w:p w:rsidR="00B72C67" w:rsidRDefault="00B72C67" w:rsidP="00B72C67">
      <w:pPr>
        <w:pStyle w:val="TOC1"/>
        <w:spacing w:before="100"/>
        <w:rPr>
          <w:rFonts w:asciiTheme="minorHAnsi" w:eastAsiaTheme="minorEastAsia" w:hAnsiTheme="minorHAnsi" w:cstheme="minorBidi"/>
          <w:b w:val="0"/>
          <w:noProof/>
          <w:sz w:val="22"/>
          <w:szCs w:val="22"/>
          <w:lang w:eastAsia="en-AU"/>
        </w:rPr>
      </w:pPr>
      <w:r>
        <w:rPr>
          <w:noProof/>
        </w:rPr>
        <w:t>3</w:t>
      </w:r>
      <w:r>
        <w:rPr>
          <w:rFonts w:asciiTheme="minorHAnsi" w:eastAsiaTheme="minorEastAsia" w:hAnsiTheme="minorHAnsi" w:cstheme="minorBidi"/>
          <w:b w:val="0"/>
          <w:noProof/>
          <w:sz w:val="22"/>
          <w:szCs w:val="22"/>
          <w:lang w:eastAsia="en-AU"/>
        </w:rPr>
        <w:tab/>
      </w:r>
      <w:r>
        <w:rPr>
          <w:noProof/>
        </w:rPr>
        <w:t>Five recent developments in industry assistance</w:t>
      </w:r>
      <w:r>
        <w:rPr>
          <w:noProof/>
        </w:rPr>
        <w:tab/>
        <w:t>33</w:t>
      </w:r>
    </w:p>
    <w:p w:rsidR="00B72C67" w:rsidRDefault="00B72C67" w:rsidP="00B72C67">
      <w:pPr>
        <w:pStyle w:val="TOC2"/>
        <w:tabs>
          <w:tab w:val="left" w:pos="1190"/>
        </w:tabs>
        <w:spacing w:before="100"/>
        <w:rPr>
          <w:rFonts w:asciiTheme="minorHAnsi" w:eastAsiaTheme="minorEastAsia" w:hAnsiTheme="minorHAnsi" w:cstheme="minorBidi"/>
          <w:noProof/>
          <w:sz w:val="22"/>
          <w:szCs w:val="22"/>
          <w:lang w:eastAsia="en-AU"/>
        </w:rPr>
      </w:pPr>
      <w:r>
        <w:rPr>
          <w:noProof/>
        </w:rPr>
        <w:t>3.1</w:t>
      </w:r>
      <w:r>
        <w:rPr>
          <w:rFonts w:asciiTheme="minorHAnsi" w:eastAsiaTheme="minorEastAsia" w:hAnsiTheme="minorHAnsi" w:cstheme="minorBidi"/>
          <w:noProof/>
          <w:sz w:val="22"/>
          <w:szCs w:val="22"/>
          <w:lang w:eastAsia="en-AU"/>
        </w:rPr>
        <w:tab/>
      </w:r>
      <w:r>
        <w:rPr>
          <w:noProof/>
        </w:rPr>
        <w:t>The Agricultural Competitiveness White Paper</w:t>
      </w:r>
      <w:r>
        <w:rPr>
          <w:noProof/>
        </w:rPr>
        <w:tab/>
        <w:t>33</w:t>
      </w:r>
    </w:p>
    <w:p w:rsidR="00B72C67" w:rsidRDefault="00B72C67" w:rsidP="00B72C67">
      <w:pPr>
        <w:pStyle w:val="TOC2"/>
        <w:tabs>
          <w:tab w:val="left" w:pos="1190"/>
        </w:tabs>
        <w:spacing w:before="100"/>
        <w:rPr>
          <w:rFonts w:asciiTheme="minorHAnsi" w:eastAsiaTheme="minorEastAsia" w:hAnsiTheme="minorHAnsi" w:cstheme="minorBidi"/>
          <w:noProof/>
          <w:sz w:val="22"/>
          <w:szCs w:val="22"/>
          <w:lang w:eastAsia="en-AU"/>
        </w:rPr>
      </w:pPr>
      <w:r>
        <w:rPr>
          <w:noProof/>
        </w:rPr>
        <w:t>3.2</w:t>
      </w:r>
      <w:r>
        <w:rPr>
          <w:rFonts w:asciiTheme="minorHAnsi" w:eastAsiaTheme="minorEastAsia" w:hAnsiTheme="minorHAnsi" w:cstheme="minorBidi"/>
          <w:noProof/>
          <w:sz w:val="22"/>
          <w:szCs w:val="22"/>
          <w:lang w:eastAsia="en-AU"/>
        </w:rPr>
        <w:tab/>
      </w:r>
      <w:r>
        <w:rPr>
          <w:noProof/>
        </w:rPr>
        <w:t>The Defence Industry Policy Statement and the submarine procurement decision</w:t>
      </w:r>
      <w:r>
        <w:rPr>
          <w:noProof/>
        </w:rPr>
        <w:tab/>
        <w:t>36</w:t>
      </w:r>
    </w:p>
    <w:p w:rsidR="00B72C67" w:rsidRDefault="00B72C67" w:rsidP="00B72C67">
      <w:pPr>
        <w:pStyle w:val="TOC2"/>
        <w:tabs>
          <w:tab w:val="left" w:pos="1190"/>
        </w:tabs>
        <w:spacing w:before="100"/>
        <w:ind w:right="284"/>
        <w:rPr>
          <w:rFonts w:asciiTheme="minorHAnsi" w:eastAsiaTheme="minorEastAsia" w:hAnsiTheme="minorHAnsi" w:cstheme="minorBidi"/>
          <w:noProof/>
          <w:sz w:val="22"/>
          <w:szCs w:val="22"/>
          <w:lang w:eastAsia="en-AU"/>
        </w:rPr>
      </w:pPr>
      <w:r>
        <w:rPr>
          <w:noProof/>
        </w:rPr>
        <w:t>3.3</w:t>
      </w:r>
      <w:r>
        <w:rPr>
          <w:rFonts w:asciiTheme="minorHAnsi" w:eastAsiaTheme="minorEastAsia" w:hAnsiTheme="minorHAnsi" w:cstheme="minorBidi"/>
          <w:noProof/>
          <w:sz w:val="22"/>
          <w:szCs w:val="22"/>
          <w:lang w:eastAsia="en-AU"/>
        </w:rPr>
        <w:tab/>
      </w:r>
      <w:r w:rsidRPr="00B72C67">
        <w:rPr>
          <w:noProof/>
          <w:spacing w:val="-2"/>
        </w:rPr>
        <w:t>Renewable energy development and carbon emissions reduction</w:t>
      </w:r>
      <w:r>
        <w:rPr>
          <w:noProof/>
        </w:rPr>
        <w:tab/>
        <w:t>39</w:t>
      </w:r>
    </w:p>
    <w:p w:rsidR="00B72C67" w:rsidRDefault="00B72C67" w:rsidP="00B72C67">
      <w:pPr>
        <w:pStyle w:val="TOC2"/>
        <w:tabs>
          <w:tab w:val="left" w:pos="1190"/>
        </w:tabs>
        <w:spacing w:before="100"/>
        <w:rPr>
          <w:rFonts w:asciiTheme="minorHAnsi" w:eastAsiaTheme="minorEastAsia" w:hAnsiTheme="minorHAnsi" w:cstheme="minorBidi"/>
          <w:noProof/>
          <w:sz w:val="22"/>
          <w:szCs w:val="22"/>
          <w:lang w:eastAsia="en-AU"/>
        </w:rPr>
      </w:pPr>
      <w:r>
        <w:rPr>
          <w:noProof/>
        </w:rPr>
        <w:t>3.4</w:t>
      </w:r>
      <w:r>
        <w:rPr>
          <w:rFonts w:asciiTheme="minorHAnsi" w:eastAsiaTheme="minorEastAsia" w:hAnsiTheme="minorHAnsi" w:cstheme="minorBidi"/>
          <w:noProof/>
          <w:sz w:val="22"/>
          <w:szCs w:val="22"/>
          <w:lang w:eastAsia="en-AU"/>
        </w:rPr>
        <w:tab/>
      </w:r>
      <w:r>
        <w:rPr>
          <w:noProof/>
        </w:rPr>
        <w:t>Grants for regional business investment</w:t>
      </w:r>
      <w:r>
        <w:rPr>
          <w:noProof/>
        </w:rPr>
        <w:tab/>
        <w:t>41</w:t>
      </w:r>
    </w:p>
    <w:p w:rsidR="00B72C67" w:rsidRDefault="00B72C67" w:rsidP="00B72C67">
      <w:pPr>
        <w:pStyle w:val="TOC2"/>
        <w:tabs>
          <w:tab w:val="left" w:pos="1190"/>
        </w:tabs>
        <w:spacing w:before="100"/>
        <w:rPr>
          <w:rFonts w:asciiTheme="minorHAnsi" w:eastAsiaTheme="minorEastAsia" w:hAnsiTheme="minorHAnsi" w:cstheme="minorBidi"/>
          <w:noProof/>
          <w:sz w:val="22"/>
          <w:szCs w:val="22"/>
          <w:lang w:eastAsia="en-AU"/>
        </w:rPr>
      </w:pPr>
      <w:r>
        <w:rPr>
          <w:noProof/>
        </w:rPr>
        <w:t>3.5</w:t>
      </w:r>
      <w:r>
        <w:rPr>
          <w:rFonts w:asciiTheme="minorHAnsi" w:eastAsiaTheme="minorEastAsia" w:hAnsiTheme="minorHAnsi" w:cstheme="minorBidi"/>
          <w:noProof/>
          <w:sz w:val="22"/>
          <w:szCs w:val="22"/>
          <w:lang w:eastAsia="en-AU"/>
        </w:rPr>
        <w:tab/>
      </w:r>
      <w:r>
        <w:rPr>
          <w:noProof/>
        </w:rPr>
        <w:t>Support to business for innovation, collaboration and commercialisation</w:t>
      </w:r>
      <w:r>
        <w:rPr>
          <w:noProof/>
        </w:rPr>
        <w:tab/>
        <w:t>43</w:t>
      </w:r>
    </w:p>
    <w:p w:rsidR="00B72C67" w:rsidRDefault="00B72C67" w:rsidP="00B72C67">
      <w:pPr>
        <w:pStyle w:val="TOC1"/>
        <w:spacing w:before="100"/>
        <w:rPr>
          <w:rFonts w:asciiTheme="minorHAnsi" w:eastAsiaTheme="minorEastAsia" w:hAnsiTheme="minorHAnsi" w:cstheme="minorBidi"/>
          <w:b w:val="0"/>
          <w:noProof/>
          <w:sz w:val="22"/>
          <w:szCs w:val="22"/>
          <w:lang w:eastAsia="en-AU"/>
        </w:rPr>
      </w:pPr>
      <w:r>
        <w:rPr>
          <w:noProof/>
        </w:rPr>
        <w:t>4</w:t>
      </w:r>
      <w:r>
        <w:rPr>
          <w:rFonts w:asciiTheme="minorHAnsi" w:eastAsiaTheme="minorEastAsia" w:hAnsiTheme="minorHAnsi" w:cstheme="minorBidi"/>
          <w:b w:val="0"/>
          <w:noProof/>
          <w:sz w:val="22"/>
          <w:szCs w:val="22"/>
          <w:lang w:eastAsia="en-AU"/>
        </w:rPr>
        <w:tab/>
      </w:r>
      <w:r>
        <w:rPr>
          <w:noProof/>
        </w:rPr>
        <w:t>Trade policy developments</w:t>
      </w:r>
      <w:r>
        <w:rPr>
          <w:noProof/>
        </w:rPr>
        <w:tab/>
        <w:t>47</w:t>
      </w:r>
    </w:p>
    <w:p w:rsidR="00B72C67" w:rsidRDefault="00B72C67" w:rsidP="00B72C67">
      <w:pPr>
        <w:pStyle w:val="TOC2"/>
        <w:tabs>
          <w:tab w:val="left" w:pos="1190"/>
        </w:tabs>
        <w:spacing w:before="100"/>
        <w:rPr>
          <w:rFonts w:asciiTheme="minorHAnsi" w:eastAsiaTheme="minorEastAsia" w:hAnsiTheme="minorHAnsi" w:cstheme="minorBidi"/>
          <w:noProof/>
          <w:sz w:val="22"/>
          <w:szCs w:val="22"/>
          <w:lang w:eastAsia="en-AU"/>
        </w:rPr>
      </w:pPr>
      <w:r>
        <w:rPr>
          <w:noProof/>
        </w:rPr>
        <w:t>4.1</w:t>
      </w:r>
      <w:r>
        <w:rPr>
          <w:rFonts w:asciiTheme="minorHAnsi" w:eastAsiaTheme="minorEastAsia" w:hAnsiTheme="minorHAnsi" w:cstheme="minorBidi"/>
          <w:noProof/>
          <w:sz w:val="22"/>
          <w:szCs w:val="22"/>
          <w:lang w:eastAsia="en-AU"/>
        </w:rPr>
        <w:tab/>
      </w:r>
      <w:r>
        <w:rPr>
          <w:noProof/>
        </w:rPr>
        <w:t>Trade agreements negotiations and forums</w:t>
      </w:r>
      <w:r>
        <w:rPr>
          <w:noProof/>
        </w:rPr>
        <w:tab/>
        <w:t>47</w:t>
      </w:r>
    </w:p>
    <w:p w:rsidR="00B72C67" w:rsidRDefault="00B72C67" w:rsidP="00B72C67">
      <w:pPr>
        <w:pStyle w:val="TOC2"/>
        <w:tabs>
          <w:tab w:val="left" w:pos="1190"/>
        </w:tabs>
        <w:spacing w:before="100"/>
        <w:rPr>
          <w:rFonts w:asciiTheme="minorHAnsi" w:eastAsiaTheme="minorEastAsia" w:hAnsiTheme="minorHAnsi" w:cstheme="minorBidi"/>
          <w:noProof/>
          <w:sz w:val="22"/>
          <w:szCs w:val="22"/>
          <w:lang w:eastAsia="en-AU"/>
        </w:rPr>
      </w:pPr>
      <w:r w:rsidRPr="009F310A">
        <w:rPr>
          <w:noProof/>
          <w:lang w:val="en-US"/>
        </w:rPr>
        <w:t>4.2</w:t>
      </w:r>
      <w:r>
        <w:rPr>
          <w:rFonts w:asciiTheme="minorHAnsi" w:eastAsiaTheme="minorEastAsia" w:hAnsiTheme="minorHAnsi" w:cstheme="minorBidi"/>
          <w:noProof/>
          <w:sz w:val="22"/>
          <w:szCs w:val="22"/>
          <w:lang w:eastAsia="en-AU"/>
        </w:rPr>
        <w:tab/>
      </w:r>
      <w:r w:rsidRPr="009F310A">
        <w:rPr>
          <w:noProof/>
          <w:lang w:val="en-US"/>
        </w:rPr>
        <w:t>Progress on tobacco plain packaging disputes</w:t>
      </w:r>
      <w:r>
        <w:rPr>
          <w:noProof/>
        </w:rPr>
        <w:tab/>
        <w:t>51</w:t>
      </w:r>
    </w:p>
    <w:p w:rsidR="00B72C67" w:rsidRDefault="00B72C67" w:rsidP="00B72C67">
      <w:pPr>
        <w:pStyle w:val="TOC2"/>
        <w:tabs>
          <w:tab w:val="left" w:pos="1190"/>
        </w:tabs>
        <w:spacing w:before="100"/>
        <w:rPr>
          <w:rFonts w:asciiTheme="minorHAnsi" w:eastAsiaTheme="minorEastAsia" w:hAnsiTheme="minorHAnsi" w:cstheme="minorBidi"/>
          <w:noProof/>
          <w:sz w:val="22"/>
          <w:szCs w:val="22"/>
          <w:lang w:eastAsia="en-AU"/>
        </w:rPr>
      </w:pPr>
      <w:r>
        <w:rPr>
          <w:noProof/>
        </w:rPr>
        <w:t>4.3</w:t>
      </w:r>
      <w:r>
        <w:rPr>
          <w:rFonts w:asciiTheme="minorHAnsi" w:eastAsiaTheme="minorEastAsia" w:hAnsiTheme="minorHAnsi" w:cstheme="minorBidi"/>
          <w:noProof/>
          <w:sz w:val="22"/>
          <w:szCs w:val="22"/>
          <w:lang w:eastAsia="en-AU"/>
        </w:rPr>
        <w:tab/>
      </w:r>
      <w:r>
        <w:rPr>
          <w:noProof/>
        </w:rPr>
        <w:t>Developments in Australia’s Anti</w:t>
      </w:r>
      <w:r>
        <w:rPr>
          <w:noProof/>
        </w:rPr>
        <w:noBreakHyphen/>
        <w:t>Dumping Arrangements</w:t>
      </w:r>
      <w:r>
        <w:rPr>
          <w:noProof/>
        </w:rPr>
        <w:tab/>
        <w:t>54</w:t>
      </w:r>
    </w:p>
    <w:p w:rsidR="00B72C67" w:rsidRDefault="00B72C67" w:rsidP="00B72C67">
      <w:pPr>
        <w:pStyle w:val="TOC2"/>
        <w:tabs>
          <w:tab w:val="left" w:pos="1190"/>
        </w:tabs>
        <w:spacing w:before="100"/>
        <w:rPr>
          <w:rFonts w:asciiTheme="minorHAnsi" w:eastAsiaTheme="minorEastAsia" w:hAnsiTheme="minorHAnsi" w:cstheme="minorBidi"/>
          <w:noProof/>
          <w:sz w:val="22"/>
          <w:szCs w:val="22"/>
          <w:lang w:eastAsia="en-AU"/>
        </w:rPr>
      </w:pPr>
      <w:r>
        <w:rPr>
          <w:noProof/>
        </w:rPr>
        <w:t>4.4</w:t>
      </w:r>
      <w:r>
        <w:rPr>
          <w:rFonts w:asciiTheme="minorHAnsi" w:eastAsiaTheme="minorEastAsia" w:hAnsiTheme="minorHAnsi" w:cstheme="minorBidi"/>
          <w:noProof/>
          <w:sz w:val="22"/>
          <w:szCs w:val="22"/>
          <w:lang w:eastAsia="en-AU"/>
        </w:rPr>
        <w:tab/>
      </w:r>
      <w:r>
        <w:rPr>
          <w:noProof/>
        </w:rPr>
        <w:t>Foreign investment rules and decisions</w:t>
      </w:r>
      <w:r>
        <w:rPr>
          <w:noProof/>
        </w:rPr>
        <w:tab/>
        <w:t>57</w:t>
      </w:r>
    </w:p>
    <w:p w:rsidR="00B72C67" w:rsidRDefault="00B72C67" w:rsidP="00B72C67">
      <w:pPr>
        <w:pStyle w:val="TOC1"/>
        <w:spacing w:before="100"/>
        <w:rPr>
          <w:rFonts w:asciiTheme="minorHAnsi" w:eastAsiaTheme="minorEastAsia" w:hAnsiTheme="minorHAnsi" w:cstheme="minorBidi"/>
          <w:b w:val="0"/>
          <w:noProof/>
          <w:sz w:val="22"/>
          <w:szCs w:val="22"/>
          <w:lang w:eastAsia="en-AU"/>
        </w:rPr>
      </w:pPr>
      <w:r>
        <w:rPr>
          <w:noProof/>
        </w:rPr>
        <w:t>A</w:t>
      </w:r>
      <w:r>
        <w:rPr>
          <w:rFonts w:asciiTheme="minorHAnsi" w:eastAsiaTheme="minorEastAsia" w:hAnsiTheme="minorHAnsi" w:cstheme="minorBidi"/>
          <w:b w:val="0"/>
          <w:noProof/>
          <w:sz w:val="22"/>
          <w:szCs w:val="22"/>
          <w:lang w:eastAsia="en-AU"/>
        </w:rPr>
        <w:tab/>
      </w:r>
      <w:r>
        <w:rPr>
          <w:noProof/>
        </w:rPr>
        <w:t>Detailed estimates of Australian Government assistance to industry</w:t>
      </w:r>
      <w:r>
        <w:rPr>
          <w:noProof/>
        </w:rPr>
        <w:tab/>
        <w:t>61</w:t>
      </w:r>
    </w:p>
    <w:p w:rsidR="00B72C67" w:rsidRDefault="00B72C67" w:rsidP="00B72C67">
      <w:pPr>
        <w:pStyle w:val="TOC1"/>
        <w:spacing w:before="100"/>
        <w:rPr>
          <w:rFonts w:asciiTheme="minorHAnsi" w:eastAsiaTheme="minorEastAsia" w:hAnsiTheme="minorHAnsi" w:cstheme="minorBidi"/>
          <w:b w:val="0"/>
          <w:noProof/>
          <w:sz w:val="22"/>
          <w:szCs w:val="22"/>
          <w:lang w:eastAsia="en-AU"/>
        </w:rPr>
      </w:pPr>
      <w:r>
        <w:rPr>
          <w:noProof/>
        </w:rPr>
        <w:t>B</w:t>
      </w:r>
      <w:r>
        <w:rPr>
          <w:rFonts w:asciiTheme="minorHAnsi" w:eastAsiaTheme="minorEastAsia" w:hAnsiTheme="minorHAnsi" w:cstheme="minorBidi"/>
          <w:b w:val="0"/>
          <w:noProof/>
          <w:sz w:val="22"/>
          <w:szCs w:val="22"/>
          <w:lang w:eastAsia="en-AU"/>
        </w:rPr>
        <w:tab/>
      </w:r>
      <w:r>
        <w:rPr>
          <w:noProof/>
        </w:rPr>
        <w:t>Recent developments in industry assistance</w:t>
      </w:r>
      <w:r>
        <w:rPr>
          <w:noProof/>
        </w:rPr>
        <w:tab/>
        <w:t>71</w:t>
      </w:r>
    </w:p>
    <w:p w:rsidR="00B72C67" w:rsidRDefault="00B72C67" w:rsidP="00B72C67">
      <w:pPr>
        <w:pStyle w:val="TOC1"/>
        <w:spacing w:before="100"/>
      </w:pPr>
      <w:r>
        <w:rPr>
          <w:noProof/>
        </w:rPr>
        <w:t>References</w:t>
      </w:r>
      <w:r>
        <w:rPr>
          <w:noProof/>
        </w:rPr>
        <w:tab/>
        <w:t>83</w:t>
      </w:r>
    </w:p>
    <w:p w:rsidR="004D3F58" w:rsidRDefault="004D3F58">
      <w:pPr>
        <w:pStyle w:val="BodyText"/>
        <w:sectPr w:rsidR="004D3F58" w:rsidSect="007448F7">
          <w:headerReference w:type="even" r:id="rId19"/>
          <w:headerReference w:type="default" r:id="rId20"/>
          <w:footerReference w:type="even" r:id="rId21"/>
          <w:footerReference w:type="default" r:id="rId22"/>
          <w:type w:val="oddPage"/>
          <w:pgSz w:w="11907" w:h="16840" w:code="9"/>
          <w:pgMar w:top="1985" w:right="1304" w:bottom="1247" w:left="1814" w:header="1701" w:footer="397" w:gutter="0"/>
          <w:pgNumType w:fmt="lowerRoman"/>
          <w:cols w:space="720"/>
        </w:sectPr>
      </w:pPr>
    </w:p>
    <w:p w:rsidR="00735FEA" w:rsidRDefault="00735FEA" w:rsidP="00F7477E">
      <w:pPr>
        <w:pStyle w:val="Heading1"/>
      </w:pPr>
      <w:bookmarkStart w:id="8" w:name="Abbreviations"/>
      <w:bookmarkStart w:id="9" w:name="EndContents"/>
      <w:bookmarkStart w:id="10" w:name="RDnote"/>
      <w:bookmarkStart w:id="11" w:name="_Toc456615241"/>
      <w:bookmarkEnd w:id="8"/>
      <w:bookmarkEnd w:id="9"/>
      <w:bookmarkEnd w:id="10"/>
      <w:r>
        <w:lastRenderedPageBreak/>
        <w:t>Abbreviations and explanations</w:t>
      </w:r>
      <w:bookmarkEnd w:id="11"/>
    </w:p>
    <w:p w:rsidR="00735FEA" w:rsidRDefault="00735FEA" w:rsidP="00F7477E">
      <w:pPr>
        <w:pStyle w:val="Heading2NotTOC"/>
      </w:pPr>
      <w:r>
        <w:t>Abbrevia</w:t>
      </w:r>
      <w:r w:rsidRPr="00F85393">
        <w:t>t</w:t>
      </w:r>
      <w:r>
        <w:t>ions</w:t>
      </w:r>
    </w:p>
    <w:tbl>
      <w:tblPr>
        <w:tblW w:w="0" w:type="auto"/>
        <w:tblCellMar>
          <w:left w:w="0" w:type="dxa"/>
          <w:right w:w="0" w:type="dxa"/>
        </w:tblCellMar>
        <w:tblLook w:val="0000" w:firstRow="0" w:lastRow="0" w:firstColumn="0" w:lastColumn="0" w:noHBand="0" w:noVBand="0"/>
        <w:tblDescription w:val="Table used for design layout."/>
      </w:tblPr>
      <w:tblGrid>
        <w:gridCol w:w="2410"/>
        <w:gridCol w:w="6379"/>
      </w:tblGrid>
      <w:tr w:rsidR="004F5480" w:rsidTr="009D2B1F">
        <w:tc>
          <w:tcPr>
            <w:tcW w:w="2410" w:type="dxa"/>
          </w:tcPr>
          <w:p w:rsidR="004F5480" w:rsidRDefault="004F5480" w:rsidP="009D2B1F">
            <w:pPr>
              <w:pStyle w:val="BodyText"/>
              <w:spacing w:before="120"/>
              <w:ind w:right="6"/>
            </w:pPr>
            <w:r>
              <w:t>ERA</w:t>
            </w:r>
          </w:p>
        </w:tc>
        <w:tc>
          <w:tcPr>
            <w:tcW w:w="6379" w:type="dxa"/>
          </w:tcPr>
          <w:p w:rsidR="004F5480" w:rsidRDefault="004F5480" w:rsidP="00C670DE">
            <w:pPr>
              <w:pStyle w:val="BodyText"/>
              <w:spacing w:before="120"/>
              <w:ind w:left="227" w:right="6"/>
            </w:pPr>
            <w:r>
              <w:t>Effective rate of assistance</w:t>
            </w:r>
          </w:p>
        </w:tc>
      </w:tr>
      <w:tr w:rsidR="004F5480" w:rsidTr="009D2B1F">
        <w:tc>
          <w:tcPr>
            <w:tcW w:w="2410" w:type="dxa"/>
          </w:tcPr>
          <w:p w:rsidR="004F5480" w:rsidRDefault="004F5480" w:rsidP="009D2B1F">
            <w:pPr>
              <w:pStyle w:val="BodyText"/>
              <w:spacing w:before="120"/>
              <w:ind w:right="6"/>
            </w:pPr>
            <w:r>
              <w:t>GPA</w:t>
            </w:r>
          </w:p>
        </w:tc>
        <w:tc>
          <w:tcPr>
            <w:tcW w:w="6379" w:type="dxa"/>
          </w:tcPr>
          <w:p w:rsidR="004F5480" w:rsidRDefault="004F5480" w:rsidP="00C670DE">
            <w:pPr>
              <w:pStyle w:val="BodyText"/>
              <w:spacing w:before="120"/>
              <w:ind w:left="227" w:right="6"/>
            </w:pPr>
            <w:r>
              <w:t>WTO Government Procurement Agreement</w:t>
            </w:r>
          </w:p>
        </w:tc>
      </w:tr>
      <w:tr w:rsidR="004F5480" w:rsidTr="005F417F">
        <w:tc>
          <w:tcPr>
            <w:tcW w:w="2410" w:type="dxa"/>
          </w:tcPr>
          <w:p w:rsidR="004F5480" w:rsidRDefault="004F5480" w:rsidP="005F417F">
            <w:pPr>
              <w:pStyle w:val="BodyText"/>
              <w:spacing w:before="120"/>
              <w:ind w:right="6"/>
            </w:pPr>
            <w:r>
              <w:t>IAC</w:t>
            </w:r>
          </w:p>
        </w:tc>
        <w:tc>
          <w:tcPr>
            <w:tcW w:w="6379" w:type="dxa"/>
          </w:tcPr>
          <w:p w:rsidR="004F5480" w:rsidRDefault="004F5480" w:rsidP="005F417F">
            <w:pPr>
              <w:pStyle w:val="BodyText"/>
              <w:spacing w:before="120"/>
              <w:ind w:left="227" w:right="6"/>
            </w:pPr>
            <w:r>
              <w:t>Industries Assistance Commission</w:t>
            </w:r>
          </w:p>
        </w:tc>
      </w:tr>
      <w:tr w:rsidR="004F5480" w:rsidTr="005F417F">
        <w:tc>
          <w:tcPr>
            <w:tcW w:w="2410" w:type="dxa"/>
          </w:tcPr>
          <w:p w:rsidR="004F5480" w:rsidRDefault="004F5480" w:rsidP="005F417F">
            <w:pPr>
              <w:pStyle w:val="BodyText"/>
              <w:spacing w:before="120"/>
              <w:ind w:right="6"/>
            </w:pPr>
            <w:r>
              <w:t>IC</w:t>
            </w:r>
          </w:p>
        </w:tc>
        <w:tc>
          <w:tcPr>
            <w:tcW w:w="6379" w:type="dxa"/>
          </w:tcPr>
          <w:p w:rsidR="004F5480" w:rsidRDefault="004F5480" w:rsidP="005F417F">
            <w:pPr>
              <w:pStyle w:val="BodyText"/>
              <w:spacing w:before="120"/>
              <w:ind w:left="227" w:right="6"/>
            </w:pPr>
            <w:r>
              <w:t>Industry Commission</w:t>
            </w:r>
          </w:p>
        </w:tc>
      </w:tr>
      <w:tr w:rsidR="004F5480" w:rsidTr="005F417F">
        <w:tc>
          <w:tcPr>
            <w:tcW w:w="2410" w:type="dxa"/>
          </w:tcPr>
          <w:p w:rsidR="004F5480" w:rsidRDefault="004F5480" w:rsidP="005F417F">
            <w:pPr>
              <w:pStyle w:val="BodyText"/>
              <w:spacing w:before="120"/>
              <w:ind w:right="6"/>
            </w:pPr>
            <w:proofErr w:type="spellStart"/>
            <w:r>
              <w:t>NSE</w:t>
            </w:r>
            <w:proofErr w:type="spellEnd"/>
          </w:p>
        </w:tc>
        <w:tc>
          <w:tcPr>
            <w:tcW w:w="6379" w:type="dxa"/>
          </w:tcPr>
          <w:p w:rsidR="004F5480" w:rsidRDefault="004F5480" w:rsidP="005F417F">
            <w:pPr>
              <w:pStyle w:val="BodyText"/>
              <w:spacing w:before="120"/>
              <w:ind w:left="227" w:right="6"/>
            </w:pPr>
            <w:r>
              <w:t>Net subsidy equivalent</w:t>
            </w:r>
          </w:p>
        </w:tc>
      </w:tr>
      <w:tr w:rsidR="004F5480" w:rsidTr="005F417F">
        <w:tc>
          <w:tcPr>
            <w:tcW w:w="2410" w:type="dxa"/>
          </w:tcPr>
          <w:p w:rsidR="004F5480" w:rsidRDefault="004F5480" w:rsidP="005F417F">
            <w:pPr>
              <w:pStyle w:val="BodyText"/>
              <w:spacing w:before="120"/>
              <w:ind w:right="6"/>
            </w:pPr>
            <w:r>
              <w:t>PC</w:t>
            </w:r>
          </w:p>
        </w:tc>
        <w:tc>
          <w:tcPr>
            <w:tcW w:w="6379" w:type="dxa"/>
          </w:tcPr>
          <w:p w:rsidR="004F5480" w:rsidRDefault="004F5480" w:rsidP="005F417F">
            <w:pPr>
              <w:pStyle w:val="BodyText"/>
              <w:spacing w:before="120"/>
              <w:ind w:left="227" w:right="6"/>
            </w:pPr>
            <w:r>
              <w:t>Productivity Commission</w:t>
            </w:r>
          </w:p>
        </w:tc>
      </w:tr>
      <w:tr w:rsidR="00963052" w:rsidTr="009D2B1F">
        <w:tc>
          <w:tcPr>
            <w:tcW w:w="2410" w:type="dxa"/>
          </w:tcPr>
          <w:p w:rsidR="00963052" w:rsidRDefault="00963052" w:rsidP="009D2B1F">
            <w:pPr>
              <w:pStyle w:val="BodyText"/>
              <w:spacing w:before="120"/>
              <w:ind w:right="6"/>
            </w:pPr>
            <w:r>
              <w:t>R&amp;D</w:t>
            </w:r>
          </w:p>
        </w:tc>
        <w:tc>
          <w:tcPr>
            <w:tcW w:w="6379" w:type="dxa"/>
          </w:tcPr>
          <w:p w:rsidR="00963052" w:rsidRDefault="00963052" w:rsidP="00C670DE">
            <w:pPr>
              <w:pStyle w:val="BodyText"/>
              <w:spacing w:before="120"/>
              <w:ind w:left="227" w:right="6"/>
            </w:pPr>
            <w:r>
              <w:t>Research and Development</w:t>
            </w:r>
          </w:p>
        </w:tc>
      </w:tr>
      <w:tr w:rsidR="004F5480" w:rsidTr="009D2B1F">
        <w:tc>
          <w:tcPr>
            <w:tcW w:w="2410" w:type="dxa"/>
          </w:tcPr>
          <w:p w:rsidR="004F5480" w:rsidRDefault="004F5480" w:rsidP="009D2B1F">
            <w:pPr>
              <w:pStyle w:val="BodyText"/>
              <w:spacing w:before="120"/>
              <w:ind w:right="6"/>
            </w:pPr>
            <w:proofErr w:type="spellStart"/>
            <w:r>
              <w:t>TPP</w:t>
            </w:r>
            <w:proofErr w:type="spellEnd"/>
          </w:p>
        </w:tc>
        <w:tc>
          <w:tcPr>
            <w:tcW w:w="6379" w:type="dxa"/>
          </w:tcPr>
          <w:p w:rsidR="004F5480" w:rsidRDefault="004F5480" w:rsidP="00C670DE">
            <w:pPr>
              <w:pStyle w:val="BodyText"/>
              <w:spacing w:before="120"/>
              <w:ind w:left="227" w:right="6"/>
            </w:pPr>
            <w:r>
              <w:t>Trans Pacific Partnership</w:t>
            </w:r>
          </w:p>
        </w:tc>
      </w:tr>
      <w:tr w:rsidR="004F5480" w:rsidTr="009D2B1F">
        <w:tc>
          <w:tcPr>
            <w:tcW w:w="2410" w:type="dxa"/>
          </w:tcPr>
          <w:p w:rsidR="004F5480" w:rsidRDefault="004F5480" w:rsidP="009D2B1F">
            <w:pPr>
              <w:pStyle w:val="BodyText"/>
              <w:spacing w:before="120"/>
              <w:ind w:right="6"/>
            </w:pPr>
            <w:proofErr w:type="spellStart"/>
            <w:r>
              <w:t>TiSA</w:t>
            </w:r>
            <w:proofErr w:type="spellEnd"/>
          </w:p>
        </w:tc>
        <w:tc>
          <w:tcPr>
            <w:tcW w:w="6379" w:type="dxa"/>
          </w:tcPr>
          <w:p w:rsidR="004F5480" w:rsidRDefault="004F5480" w:rsidP="00C670DE">
            <w:pPr>
              <w:pStyle w:val="BodyText"/>
              <w:spacing w:before="120"/>
              <w:ind w:left="227" w:right="6"/>
            </w:pPr>
            <w:r>
              <w:t>Trade in Services Agreement</w:t>
            </w:r>
          </w:p>
        </w:tc>
      </w:tr>
      <w:tr w:rsidR="004F5480" w:rsidTr="009D2B1F">
        <w:tc>
          <w:tcPr>
            <w:tcW w:w="2410" w:type="dxa"/>
          </w:tcPr>
          <w:p w:rsidR="004F5480" w:rsidRDefault="004F5480" w:rsidP="009D2B1F">
            <w:pPr>
              <w:pStyle w:val="BodyText"/>
              <w:spacing w:before="120"/>
              <w:ind w:right="6"/>
            </w:pPr>
            <w:r>
              <w:t>WTO</w:t>
            </w:r>
          </w:p>
        </w:tc>
        <w:tc>
          <w:tcPr>
            <w:tcW w:w="6379" w:type="dxa"/>
          </w:tcPr>
          <w:p w:rsidR="004F5480" w:rsidRDefault="004F5480" w:rsidP="00C670DE">
            <w:pPr>
              <w:pStyle w:val="BodyText"/>
              <w:spacing w:before="120"/>
              <w:ind w:left="227" w:right="6"/>
            </w:pPr>
            <w:r>
              <w:t>World Trade Organization</w:t>
            </w:r>
          </w:p>
        </w:tc>
      </w:tr>
    </w:tbl>
    <w:p w:rsidR="00735FEA" w:rsidRDefault="00735FEA" w:rsidP="00F7477E">
      <w:pPr>
        <w:pStyle w:val="Heading2NotTOC"/>
      </w:pPr>
      <w:r>
        <w:t>Explanations</w:t>
      </w:r>
    </w:p>
    <w:tbl>
      <w:tblPr>
        <w:tblW w:w="0" w:type="auto"/>
        <w:tblCellMar>
          <w:left w:w="0" w:type="dxa"/>
          <w:right w:w="0" w:type="dxa"/>
        </w:tblCellMar>
        <w:tblLook w:val="0000" w:firstRow="0" w:lastRow="0" w:firstColumn="0" w:lastColumn="0" w:noHBand="0" w:noVBand="0"/>
        <w:tblDescription w:val="Table used for design layout."/>
      </w:tblPr>
      <w:tblGrid>
        <w:gridCol w:w="2410"/>
        <w:gridCol w:w="6379"/>
      </w:tblGrid>
      <w:tr w:rsidR="00735FEA" w:rsidTr="000A5E12">
        <w:tc>
          <w:tcPr>
            <w:tcW w:w="2410" w:type="dxa"/>
          </w:tcPr>
          <w:p w:rsidR="00735FEA" w:rsidRDefault="00735FEA">
            <w:pPr>
              <w:pStyle w:val="BodyText"/>
              <w:spacing w:before="120"/>
              <w:ind w:right="6"/>
            </w:pPr>
            <w:r>
              <w:t>Billion</w:t>
            </w:r>
          </w:p>
        </w:tc>
        <w:tc>
          <w:tcPr>
            <w:tcW w:w="6379" w:type="dxa"/>
          </w:tcPr>
          <w:p w:rsidR="00735FEA" w:rsidRDefault="00735FEA">
            <w:pPr>
              <w:pStyle w:val="BodyText"/>
              <w:spacing w:before="120"/>
              <w:ind w:left="227" w:right="6"/>
            </w:pPr>
            <w:r>
              <w:t>The convention used for a billion is a thousand million (10</w:t>
            </w:r>
            <w:r>
              <w:rPr>
                <w:position w:val="6"/>
                <w:sz w:val="22"/>
              </w:rPr>
              <w:t>9</w:t>
            </w:r>
            <w:r>
              <w:t>).</w:t>
            </w:r>
          </w:p>
        </w:tc>
      </w:tr>
    </w:tbl>
    <w:p w:rsidR="00F03F62" w:rsidRDefault="00F03F62" w:rsidP="003F7311">
      <w:pPr>
        <w:pStyle w:val="BodyText"/>
        <w:rPr>
          <w:rFonts w:ascii="Arial" w:hAnsi="Arial" w:cs="Arial"/>
          <w:i/>
        </w:rPr>
        <w:sectPr w:rsidR="00F03F62" w:rsidSect="00585B3F">
          <w:footerReference w:type="default" r:id="rId23"/>
          <w:pgSz w:w="11907" w:h="16840" w:code="9"/>
          <w:pgMar w:top="1332" w:right="1304" w:bottom="1247" w:left="1814" w:header="1701" w:footer="397" w:gutter="0"/>
          <w:pgNumType w:fmt="lowerRoman"/>
          <w:cols w:space="720"/>
        </w:sectPr>
      </w:pPr>
      <w:bookmarkStart w:id="12" w:name="Glossary"/>
      <w:bookmarkEnd w:id="1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89"/>
      </w:tblGrid>
      <w:tr w:rsidR="00F03F62" w:rsidTr="00A7253F">
        <w:tc>
          <w:tcPr>
            <w:tcW w:w="8789" w:type="dxa"/>
            <w:tcBorders>
              <w:top w:val="single" w:sz="4" w:space="0" w:color="78A22F" w:themeColor="accent1"/>
              <w:left w:val="nil"/>
              <w:bottom w:val="nil"/>
              <w:right w:val="nil"/>
            </w:tcBorders>
            <w:shd w:val="clear" w:color="auto" w:fill="E5F1D0"/>
          </w:tcPr>
          <w:p w:rsidR="00F03F62" w:rsidRDefault="00F03F62" w:rsidP="00A7253F">
            <w:pPr>
              <w:pStyle w:val="BoxTitle"/>
            </w:pPr>
            <w:bookmarkStart w:id="13" w:name="ChapterNumber"/>
            <w:r>
              <w:lastRenderedPageBreak/>
              <w:t>Key points</w:t>
            </w:r>
          </w:p>
        </w:tc>
      </w:tr>
      <w:tr w:rsidR="00F03F62" w:rsidTr="00A7253F">
        <w:tc>
          <w:tcPr>
            <w:tcW w:w="8789" w:type="dxa"/>
            <w:tcBorders>
              <w:top w:val="nil"/>
              <w:left w:val="nil"/>
              <w:bottom w:val="nil"/>
              <w:right w:val="nil"/>
            </w:tcBorders>
            <w:shd w:val="clear" w:color="auto" w:fill="E5F1D0"/>
          </w:tcPr>
          <w:p w:rsidR="00F03F62" w:rsidRDefault="00F03F62" w:rsidP="00A7253F">
            <w:pPr>
              <w:pStyle w:val="KeyPointsListBullet"/>
              <w:numPr>
                <w:ilvl w:val="0"/>
                <w:numId w:val="1"/>
              </w:numPr>
              <w:spacing w:line="270" w:lineRule="atLeast"/>
            </w:pPr>
            <w:r>
              <w:t>For 2014</w:t>
            </w:r>
            <w:r>
              <w:noBreakHyphen/>
              <w:t xml:space="preserve">15, estimated assistance to industry (provided by the Australian Government) was $15.1 billion in </w:t>
            </w:r>
            <w:r w:rsidRPr="00B863DA">
              <w:rPr>
                <w:i/>
              </w:rPr>
              <w:t>gross</w:t>
            </w:r>
            <w:r>
              <w:t xml:space="preserve"> terms.</w:t>
            </w:r>
          </w:p>
          <w:p w:rsidR="00F03F62" w:rsidRDefault="00F03F62" w:rsidP="0096058A">
            <w:pPr>
              <w:pStyle w:val="KeyPointsListBullet2"/>
              <w:numPr>
                <w:ilvl w:val="0"/>
                <w:numId w:val="2"/>
              </w:numPr>
              <w:spacing w:before="80" w:line="270" w:lineRule="atLeast"/>
              <w:ind w:left="568" w:hanging="284"/>
            </w:pPr>
            <w:r>
              <w:t>It comprised $7.8 billion in tariff assistance, $4.2 billion in budgetary outlays and $3.1 billion in tax concessions.</w:t>
            </w:r>
            <w:r w:rsidR="001D01E3">
              <w:t xml:space="preserve"> While tariff assistance is inherently distortionary, not all budgetary outlays create distortions that result in a misallocation of resources.</w:t>
            </w:r>
          </w:p>
          <w:p w:rsidR="00F03F62" w:rsidRDefault="00F03F62" w:rsidP="0096058A">
            <w:pPr>
              <w:pStyle w:val="KeyPointsListBullet"/>
              <w:numPr>
                <w:ilvl w:val="0"/>
                <w:numId w:val="19"/>
              </w:numPr>
              <w:spacing w:before="80"/>
              <w:ind w:left="357" w:hanging="357"/>
            </w:pPr>
            <w:r>
              <w:t xml:space="preserve">After deducting the cost penalty of tariffs on imported inputs ($7.5 billion, two-thirds incurred by services industries), </w:t>
            </w:r>
            <w:r w:rsidRPr="00460177">
              <w:rPr>
                <w:i/>
              </w:rPr>
              <w:t>net</w:t>
            </w:r>
            <w:r>
              <w:t xml:space="preserve"> assistance to industry was $7.6 billion.</w:t>
            </w:r>
          </w:p>
          <w:p w:rsidR="00F03F62" w:rsidRDefault="00F03F62" w:rsidP="0096058A">
            <w:pPr>
              <w:pStyle w:val="KeyPointsListBullet"/>
              <w:numPr>
                <w:ilvl w:val="0"/>
                <w:numId w:val="19"/>
              </w:numPr>
              <w:spacing w:before="80"/>
              <w:ind w:left="357" w:hanging="357"/>
            </w:pPr>
            <w:r>
              <w:t xml:space="preserve">The incidence of assistance </w:t>
            </w:r>
            <w:r w:rsidR="00E343AC">
              <w:t>varies</w:t>
            </w:r>
            <w:r>
              <w:t xml:space="preserve"> widely between sectors.</w:t>
            </w:r>
          </w:p>
          <w:p w:rsidR="00F03F62" w:rsidRDefault="00F03F62" w:rsidP="0096058A">
            <w:pPr>
              <w:pStyle w:val="KeyPointsListBullet2"/>
              <w:numPr>
                <w:ilvl w:val="0"/>
                <w:numId w:val="20"/>
              </w:numPr>
              <w:spacing w:before="80"/>
              <w:ind w:left="568" w:hanging="284"/>
            </w:pPr>
            <w:r>
              <w:t>Manufacturing received an estimated $7.0 billion in net assistance (largely due to tariff protection), Primary production received an estimated $1.3 billion (mostly through budgetary assistance), and Mining recorded a small but positive assistance ($0.3 billion).</w:t>
            </w:r>
          </w:p>
          <w:p w:rsidR="00F03F62" w:rsidRDefault="00F03F62" w:rsidP="0096058A">
            <w:pPr>
              <w:pStyle w:val="KeyPointsListBullet2"/>
              <w:numPr>
                <w:ilvl w:val="0"/>
                <w:numId w:val="20"/>
              </w:numPr>
              <w:spacing w:before="80"/>
              <w:ind w:left="568" w:hanging="284"/>
            </w:pPr>
            <w:r>
              <w:t>The measured industry assistance arrangements imposed a net cost of $1.6 billion on services industries (as the tariff cost penalty on inputs outweighed budgetary assistance).</w:t>
            </w:r>
          </w:p>
          <w:p w:rsidR="00F03F62" w:rsidRDefault="00F03F62" w:rsidP="0096058A">
            <w:pPr>
              <w:pStyle w:val="KeyPointsListBullet"/>
              <w:numPr>
                <w:ilvl w:val="0"/>
                <w:numId w:val="19"/>
              </w:numPr>
              <w:spacing w:before="80"/>
              <w:ind w:left="357" w:hanging="357"/>
            </w:pPr>
            <w:r>
              <w:t>Of the eight categories of measured budgetary industry assistance the two largest are:</w:t>
            </w:r>
          </w:p>
          <w:p w:rsidR="00F03F62" w:rsidRDefault="00F03F62" w:rsidP="0096058A">
            <w:pPr>
              <w:pStyle w:val="KeyPointsListBullet2"/>
              <w:numPr>
                <w:ilvl w:val="0"/>
                <w:numId w:val="20"/>
              </w:numPr>
              <w:spacing w:before="80"/>
              <w:ind w:left="568" w:hanging="284"/>
            </w:pPr>
            <w:r>
              <w:t>R&amp;D</w:t>
            </w:r>
            <w:r w:rsidR="00E343AC">
              <w:t xml:space="preserve"> support</w:t>
            </w:r>
            <w:r>
              <w:t xml:space="preserve"> (</w:t>
            </w:r>
            <w:r w:rsidR="00E343AC">
              <w:t xml:space="preserve">generally available to all industries and specific to </w:t>
            </w:r>
            <w:r>
              <w:t>rural industry</w:t>
            </w:r>
            <w:r w:rsidR="00E343AC">
              <w:t>)</w:t>
            </w:r>
            <w:r>
              <w:t>,</w:t>
            </w:r>
            <w:r w:rsidR="006357BF">
              <w:t xml:space="preserve"> </w:t>
            </w:r>
            <w:r w:rsidR="003A2793">
              <w:t xml:space="preserve">which </w:t>
            </w:r>
            <w:r>
              <w:t xml:space="preserve">represented around 40 per cent ($3.1 billion), the majority of which relates to the R&amp;D Tax </w:t>
            </w:r>
            <w:r w:rsidR="003A2793">
              <w:t>Incentive (around $2.2 billion)</w:t>
            </w:r>
            <w:r>
              <w:t xml:space="preserve"> </w:t>
            </w:r>
          </w:p>
          <w:p w:rsidR="00F03F62" w:rsidRDefault="00F03F62" w:rsidP="0096058A">
            <w:pPr>
              <w:pStyle w:val="BoxListBullet2"/>
              <w:numPr>
                <w:ilvl w:val="0"/>
                <w:numId w:val="2"/>
              </w:numPr>
              <w:spacing w:before="80"/>
              <w:ind w:left="568" w:hanging="284"/>
            </w:pPr>
            <w:r>
              <w:t xml:space="preserve">Industry specific assistance, which consists of a range of grants and concessions such as for the automotive, film, finance and ethanol industries, </w:t>
            </w:r>
            <w:r w:rsidR="003A2793">
              <w:t xml:space="preserve">and </w:t>
            </w:r>
            <w:r>
              <w:t xml:space="preserve">represented 18 per cent ($1.3 billion) of measured assistance. </w:t>
            </w:r>
          </w:p>
          <w:p w:rsidR="00F03F62" w:rsidRDefault="00F03F62" w:rsidP="0096058A">
            <w:pPr>
              <w:pStyle w:val="KeyPointsListBullet"/>
              <w:numPr>
                <w:ilvl w:val="0"/>
                <w:numId w:val="19"/>
              </w:numPr>
              <w:spacing w:before="80"/>
              <w:ind w:left="357" w:hanging="357"/>
            </w:pPr>
            <w:r>
              <w:t xml:space="preserve">The </w:t>
            </w:r>
            <w:r w:rsidR="00E343AC">
              <w:t xml:space="preserve">measured </w:t>
            </w:r>
            <w:r>
              <w:t xml:space="preserve">estimates </w:t>
            </w:r>
            <w:r w:rsidR="00E343AC">
              <w:t xml:space="preserve">are conservative </w:t>
            </w:r>
            <w:r w:rsidR="00D27BCC">
              <w:t>as they</w:t>
            </w:r>
            <w:r w:rsidR="00E343AC">
              <w:t xml:space="preserve"> </w:t>
            </w:r>
            <w:r>
              <w:t>exclude significant assistance that is difficult to quantify. This includes: favourable finance (loans, debt, equity, guarantees); local purchasing preferences for defence equipment; and regulatory</w:t>
            </w:r>
            <w:r w:rsidR="003A2793">
              <w:t xml:space="preserve"> restrictions on competition. The estimates also exclude</w:t>
            </w:r>
            <w:r>
              <w:t xml:space="preserve"> state and territory government support to industry.</w:t>
            </w:r>
          </w:p>
          <w:p w:rsidR="00F03F62" w:rsidRDefault="00F03F62" w:rsidP="0096058A">
            <w:pPr>
              <w:pStyle w:val="KeyPointsListBullet"/>
              <w:numPr>
                <w:ilvl w:val="0"/>
                <w:numId w:val="19"/>
              </w:numPr>
              <w:spacing w:before="80"/>
              <w:ind w:left="357" w:hanging="357"/>
            </w:pPr>
            <w:r>
              <w:t>A number of recent developments will likely add to the level of assistance in coming years. Measures providing assistance have been proposed in the Agricultural Competitiveness White Paper, the Defence Industry Statement, programs to increase renewable energy and reduce carbon emissions, and programs targeted at innovation, collaboration and commercialisation.</w:t>
            </w:r>
          </w:p>
          <w:p w:rsidR="00F03F62" w:rsidRDefault="00F03F62" w:rsidP="0096058A">
            <w:pPr>
              <w:pStyle w:val="KeyPointsListBullet"/>
              <w:numPr>
                <w:ilvl w:val="0"/>
                <w:numId w:val="19"/>
              </w:numPr>
              <w:spacing w:before="80"/>
              <w:ind w:left="357" w:hanging="357"/>
            </w:pPr>
            <w:r>
              <w:t xml:space="preserve">Regional industry investment grant programs continue to be introduced as a response to </w:t>
            </w:r>
            <w:r w:rsidR="00E343AC">
              <w:t xml:space="preserve">the </w:t>
            </w:r>
            <w:r>
              <w:t>closure of iconic local employers.</w:t>
            </w:r>
          </w:p>
          <w:p w:rsidR="00F03F62" w:rsidRDefault="00F03F62" w:rsidP="0096058A">
            <w:pPr>
              <w:pStyle w:val="KeyPointsListBullet2"/>
              <w:numPr>
                <w:ilvl w:val="0"/>
                <w:numId w:val="20"/>
              </w:numPr>
              <w:spacing w:before="80"/>
              <w:ind w:left="568" w:hanging="284"/>
            </w:pPr>
            <w:r>
              <w:t>These schemes deliver high subsidy rates to recipient businesses, but the outcomes of these programs are uncertain. A review is needed to determine what design best assists displaced workers and regions to adjust.</w:t>
            </w:r>
          </w:p>
          <w:p w:rsidR="00F03F62" w:rsidRDefault="00F03F62" w:rsidP="0096058A">
            <w:pPr>
              <w:pStyle w:val="KeyPointsListBullet"/>
              <w:numPr>
                <w:ilvl w:val="0"/>
                <w:numId w:val="19"/>
              </w:numPr>
              <w:spacing w:before="80"/>
              <w:ind w:left="357" w:hanging="357"/>
            </w:pPr>
            <w:r>
              <w:t xml:space="preserve">Australia continues to negotiate on a wide array of trade agreements and in a multitude of membership forums. Apart from the conclusion of negotiations on the Trans-Pacific </w:t>
            </w:r>
            <w:r w:rsidR="006357BF">
              <w:t>Partnership Agreement</w:t>
            </w:r>
            <w:r>
              <w:t>, and the China Australia Free Trade Agreement coming into force in December 2015, developments include:</w:t>
            </w:r>
          </w:p>
          <w:p w:rsidR="00F03F62" w:rsidRDefault="00F03F62" w:rsidP="0096058A">
            <w:pPr>
              <w:pStyle w:val="BoxListBullet2"/>
              <w:numPr>
                <w:ilvl w:val="0"/>
                <w:numId w:val="2"/>
              </w:numPr>
              <w:spacing w:before="80"/>
              <w:ind w:left="568" w:hanging="284"/>
            </w:pPr>
            <w:r>
              <w:t xml:space="preserve">final arbitration in Australia’s favour of the investor-state dispute in relation to tobacco plain packaging </w:t>
            </w:r>
          </w:p>
          <w:p w:rsidR="00F03F62" w:rsidRDefault="00F03F62" w:rsidP="0096058A">
            <w:pPr>
              <w:pStyle w:val="KeyPointsListBullet2"/>
              <w:numPr>
                <w:ilvl w:val="0"/>
                <w:numId w:val="20"/>
              </w:numPr>
              <w:spacing w:before="80"/>
              <w:ind w:left="568" w:hanging="284"/>
            </w:pPr>
            <w:r>
              <w:t>a tightening of screening thresholds for foreign investment proposals in Australian agribusiness and pastoral land purchase</w:t>
            </w:r>
          </w:p>
          <w:p w:rsidR="001429A2" w:rsidRDefault="001429A2" w:rsidP="0096058A">
            <w:pPr>
              <w:pStyle w:val="KeyPointsListBullet2"/>
              <w:numPr>
                <w:ilvl w:val="0"/>
                <w:numId w:val="20"/>
              </w:numPr>
              <w:spacing w:before="80"/>
              <w:ind w:left="568" w:hanging="284"/>
            </w:pPr>
            <w:r>
              <w:t xml:space="preserve">an increase in </w:t>
            </w:r>
            <w:proofErr w:type="spellStart"/>
            <w:r>
              <w:t>anti-dumping</w:t>
            </w:r>
            <w:proofErr w:type="spellEnd"/>
            <w:r>
              <w:t xml:space="preserve"> protection</w:t>
            </w:r>
            <w:r w:rsidR="006357BF">
              <w:t>.</w:t>
            </w:r>
          </w:p>
        </w:tc>
      </w:tr>
      <w:tr w:rsidR="00F03F62" w:rsidTr="00A7253F">
        <w:tc>
          <w:tcPr>
            <w:tcW w:w="8789" w:type="dxa"/>
            <w:tcBorders>
              <w:top w:val="nil"/>
              <w:left w:val="nil"/>
              <w:bottom w:val="single" w:sz="4" w:space="0" w:color="78A22F" w:themeColor="accent1"/>
              <w:right w:val="nil"/>
            </w:tcBorders>
            <w:shd w:val="clear" w:color="auto" w:fill="E5F1D0"/>
          </w:tcPr>
          <w:p w:rsidR="00F03F62" w:rsidRDefault="00F03F62" w:rsidP="00A7253F">
            <w:pPr>
              <w:pStyle w:val="Box"/>
              <w:spacing w:before="0" w:line="120" w:lineRule="exact"/>
            </w:pPr>
          </w:p>
        </w:tc>
      </w:tr>
      <w:tr w:rsidR="00F03F62" w:rsidTr="00A7253F">
        <w:tc>
          <w:tcPr>
            <w:tcW w:w="8789" w:type="dxa"/>
            <w:tcBorders>
              <w:top w:val="single" w:sz="4" w:space="0" w:color="78A22F" w:themeColor="accent1"/>
              <w:left w:val="nil"/>
              <w:bottom w:val="nil"/>
              <w:right w:val="nil"/>
            </w:tcBorders>
          </w:tcPr>
          <w:p w:rsidR="00F03F62" w:rsidRDefault="00F03F62" w:rsidP="00A7253F">
            <w:pPr>
              <w:pStyle w:val="Box"/>
              <w:keepNext w:val="0"/>
              <w:spacing w:before="60" w:after="60" w:line="80" w:lineRule="exact"/>
            </w:pPr>
          </w:p>
        </w:tc>
      </w:tr>
      <w:bookmarkEnd w:id="13"/>
    </w:tbl>
    <w:p w:rsidR="000A5E12" w:rsidRDefault="000A5E12" w:rsidP="00B72C67">
      <w:pPr>
        <w:pStyle w:val="BodyText"/>
        <w:spacing w:before="0" w:line="20" w:lineRule="exact"/>
        <w:rPr>
          <w:rStyle w:val="CommentReference"/>
        </w:rPr>
      </w:pPr>
    </w:p>
    <w:sectPr w:rsidR="000A5E12" w:rsidSect="00585B3F">
      <w:pgSz w:w="11907" w:h="16840" w:code="9"/>
      <w:pgMar w:top="1332" w:right="1304" w:bottom="1247" w:left="1814" w:header="1701" w:footer="39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59C7" w:rsidRDefault="005059C7">
      <w:r>
        <w:separator/>
      </w:r>
    </w:p>
    <w:p w:rsidR="005059C7" w:rsidRDefault="005059C7"/>
    <w:p w:rsidR="005059C7" w:rsidRDefault="005059C7"/>
  </w:endnote>
  <w:endnote w:type="continuationSeparator" w:id="0">
    <w:p w:rsidR="005059C7" w:rsidRDefault="005059C7">
      <w:r>
        <w:continuationSeparator/>
      </w:r>
    </w:p>
    <w:p w:rsidR="005059C7" w:rsidRDefault="005059C7"/>
    <w:p w:rsidR="005059C7" w:rsidRDefault="005059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5059C7" w:rsidTr="005F48ED">
      <w:trPr>
        <w:trHeight w:hRule="exact" w:val="567"/>
      </w:trPr>
      <w:tc>
        <w:tcPr>
          <w:tcW w:w="510" w:type="dxa"/>
        </w:tcPr>
        <w:p w:rsidR="005059C7" w:rsidRPr="00A24443" w:rsidRDefault="005059C7"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96058A">
            <w:rPr>
              <w:rStyle w:val="PageNumber"/>
              <w:caps w:val="0"/>
              <w:noProof/>
            </w:rPr>
            <w:t>iv</w:t>
          </w:r>
          <w:r w:rsidRPr="00A24443">
            <w:rPr>
              <w:rStyle w:val="PageNumber"/>
              <w:caps w:val="0"/>
            </w:rPr>
            <w:fldChar w:fldCharType="end"/>
          </w:r>
        </w:p>
      </w:tc>
      <w:tc>
        <w:tcPr>
          <w:tcW w:w="7767" w:type="dxa"/>
        </w:tcPr>
        <w:p w:rsidR="005059C7" w:rsidRPr="0013739A" w:rsidRDefault="005059C7" w:rsidP="00631DA4">
          <w:pPr>
            <w:pStyle w:val="Footer"/>
            <w:rPr>
              <w:rFonts w:cs="Arial"/>
            </w:rPr>
          </w:pPr>
          <w:r w:rsidRPr="00BA5B14">
            <w:rPr>
              <w:rFonts w:cs="Arial"/>
            </w:rPr>
            <w:fldChar w:fldCharType="begin"/>
          </w:r>
          <w:r w:rsidRPr="00BA5B14">
            <w:rPr>
              <w:rFonts w:cs="Arial"/>
            </w:rPr>
            <w:instrText xml:space="preserve"> </w:instrText>
          </w:r>
          <w:r>
            <w:rPr>
              <w:rFonts w:cs="Arial"/>
            </w:rPr>
            <w:instrText>title</w:instrText>
          </w:r>
          <w:r w:rsidRPr="00BA5B14">
            <w:rPr>
              <w:rFonts w:cs="Arial"/>
            </w:rPr>
            <w:instrText xml:space="preserve"> </w:instrText>
          </w:r>
          <w:r w:rsidRPr="00BA5B14">
            <w:rPr>
              <w:rFonts w:cs="Arial"/>
            </w:rPr>
            <w:fldChar w:fldCharType="separate"/>
          </w:r>
          <w:r w:rsidR="00481A34">
            <w:rPr>
              <w:rFonts w:cs="Arial"/>
            </w:rPr>
            <w:t>Report title</w:t>
          </w:r>
          <w:r w:rsidRPr="00BA5B14">
            <w:rPr>
              <w:rFonts w:cs="Arial"/>
            </w:rPr>
            <w:fldChar w:fldCharType="end"/>
          </w:r>
        </w:p>
      </w:tc>
      <w:tc>
        <w:tcPr>
          <w:tcW w:w="510" w:type="dxa"/>
        </w:tcPr>
        <w:p w:rsidR="005059C7" w:rsidRDefault="005059C7" w:rsidP="0019293B">
          <w:pPr>
            <w:pStyle w:val="Footer"/>
          </w:pPr>
        </w:p>
      </w:tc>
    </w:tr>
  </w:tbl>
  <w:p w:rsidR="005059C7" w:rsidRDefault="005059C7"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5059C7" w:rsidTr="005F48ED">
      <w:trPr>
        <w:trHeight w:hRule="exact" w:val="567"/>
      </w:trPr>
      <w:tc>
        <w:tcPr>
          <w:tcW w:w="510" w:type="dxa"/>
        </w:tcPr>
        <w:p w:rsidR="005059C7" w:rsidRDefault="005059C7">
          <w:pPr>
            <w:pStyle w:val="Footer"/>
            <w:ind w:right="360" w:firstLine="360"/>
          </w:pPr>
        </w:p>
      </w:tc>
      <w:tc>
        <w:tcPr>
          <w:tcW w:w="7767" w:type="dxa"/>
        </w:tcPr>
        <w:p w:rsidR="005059C7" w:rsidRPr="00160417" w:rsidRDefault="005059C7" w:rsidP="00160417">
          <w:pPr>
            <w:pStyle w:val="Footer"/>
            <w:jc w:val="right"/>
            <w:rPr>
              <w:rFonts w:cs="Arial"/>
            </w:rPr>
          </w:pPr>
          <w:r w:rsidRPr="00160417">
            <w:rPr>
              <w:noProof/>
            </w:rPr>
            <w:fldChar w:fldCharType="begin"/>
          </w:r>
          <w:r w:rsidRPr="00160417">
            <w:rPr>
              <w:noProof/>
            </w:rPr>
            <w:instrText xml:space="preserve"> STYLEREF "Heading 1" \* MERGEFORMAT </w:instrText>
          </w:r>
          <w:r w:rsidRPr="00160417">
            <w:rPr>
              <w:noProof/>
            </w:rPr>
            <w:fldChar w:fldCharType="separate"/>
          </w:r>
          <w:r w:rsidR="000F3877" w:rsidRPr="000F3877">
            <w:rPr>
              <w:bCs/>
              <w:noProof/>
              <w:lang w:val="en-US"/>
            </w:rPr>
            <w:t>Foreword</w:t>
          </w:r>
          <w:r w:rsidRPr="00160417">
            <w:rPr>
              <w:noProof/>
            </w:rPr>
            <w:fldChar w:fldCharType="end"/>
          </w:r>
        </w:p>
      </w:tc>
      <w:tc>
        <w:tcPr>
          <w:tcW w:w="510" w:type="dxa"/>
        </w:tcPr>
        <w:p w:rsidR="005059C7" w:rsidRPr="00634771" w:rsidRDefault="005059C7">
          <w:pPr>
            <w:pStyle w:val="Footer"/>
            <w:jc w:val="right"/>
            <w:rPr>
              <w:caps w:val="0"/>
            </w:rPr>
          </w:pPr>
          <w:r w:rsidRPr="00634771">
            <w:rPr>
              <w:rStyle w:val="PageNumber"/>
              <w:caps w:val="0"/>
            </w:rPr>
            <w:fldChar w:fldCharType="begin"/>
          </w:r>
          <w:r w:rsidRPr="00634771">
            <w:rPr>
              <w:rStyle w:val="PageNumber"/>
              <w:caps w:val="0"/>
            </w:rPr>
            <w:instrText xml:space="preserve">PAGE  </w:instrText>
          </w:r>
          <w:r w:rsidRPr="00634771">
            <w:rPr>
              <w:rStyle w:val="PageNumber"/>
              <w:caps w:val="0"/>
            </w:rPr>
            <w:fldChar w:fldCharType="separate"/>
          </w:r>
          <w:r w:rsidR="000F3877">
            <w:rPr>
              <w:rStyle w:val="PageNumber"/>
              <w:caps w:val="0"/>
              <w:noProof/>
            </w:rPr>
            <w:t>iii</w:t>
          </w:r>
          <w:r w:rsidRPr="00634771">
            <w:rPr>
              <w:rStyle w:val="PageNumber"/>
              <w:caps w:val="0"/>
            </w:rPr>
            <w:fldChar w:fldCharType="end"/>
          </w:r>
        </w:p>
      </w:tc>
    </w:tr>
  </w:tbl>
  <w:p w:rsidR="005059C7" w:rsidRDefault="005059C7">
    <w:pPr>
      <w:pStyle w:val="FooterEnd"/>
    </w:pPr>
  </w:p>
  <w:p w:rsidR="005059C7" w:rsidRDefault="005059C7">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4D3F58" w:rsidTr="005F48ED">
      <w:trPr>
        <w:trHeight w:hRule="exact" w:val="567"/>
      </w:trPr>
      <w:tc>
        <w:tcPr>
          <w:tcW w:w="510" w:type="dxa"/>
        </w:tcPr>
        <w:p w:rsidR="004D3F58" w:rsidRPr="00A24443" w:rsidRDefault="004D3F58"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0F3877">
            <w:rPr>
              <w:rStyle w:val="PageNumber"/>
              <w:caps w:val="0"/>
              <w:noProof/>
            </w:rPr>
            <w:t>vi</w:t>
          </w:r>
          <w:r w:rsidRPr="00A24443">
            <w:rPr>
              <w:rStyle w:val="PageNumber"/>
              <w:caps w:val="0"/>
            </w:rPr>
            <w:fldChar w:fldCharType="end"/>
          </w:r>
        </w:p>
      </w:tc>
      <w:tc>
        <w:tcPr>
          <w:tcW w:w="7767" w:type="dxa"/>
        </w:tcPr>
        <w:p w:rsidR="004D3F58" w:rsidRPr="0013739A" w:rsidRDefault="00FD415D" w:rsidP="0013739A">
          <w:pPr>
            <w:pStyle w:val="Footer"/>
            <w:rPr>
              <w:rFonts w:cs="Arial"/>
            </w:rPr>
          </w:pPr>
          <w:r>
            <w:rPr>
              <w:rFonts w:cs="Arial"/>
            </w:rPr>
            <w:t>TRADE &amp; ASSISTANCE REVIEW 2014-15</w:t>
          </w:r>
        </w:p>
      </w:tc>
      <w:tc>
        <w:tcPr>
          <w:tcW w:w="510" w:type="dxa"/>
        </w:tcPr>
        <w:p w:rsidR="004D3F58" w:rsidRDefault="004D3F58" w:rsidP="0019293B">
          <w:pPr>
            <w:pStyle w:val="Footer"/>
          </w:pPr>
        </w:p>
      </w:tc>
    </w:tr>
  </w:tbl>
  <w:p w:rsidR="004D3F58" w:rsidRDefault="004D3F58" w:rsidP="0019293B">
    <w:pPr>
      <w:pStyle w:val="FooterEnd"/>
    </w:pPr>
  </w:p>
  <w:p w:rsidR="00D37AC2" w:rsidRDefault="00D37AC2">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448F7" w:rsidTr="005F48ED">
      <w:trPr>
        <w:trHeight w:hRule="exact" w:val="567"/>
      </w:trPr>
      <w:tc>
        <w:tcPr>
          <w:tcW w:w="510" w:type="dxa"/>
        </w:tcPr>
        <w:p w:rsidR="007448F7" w:rsidRDefault="007448F7">
          <w:pPr>
            <w:pStyle w:val="Footer"/>
            <w:ind w:right="360" w:firstLine="360"/>
          </w:pPr>
        </w:p>
      </w:tc>
      <w:tc>
        <w:tcPr>
          <w:tcW w:w="7767" w:type="dxa"/>
        </w:tcPr>
        <w:p w:rsidR="007448F7" w:rsidRPr="00BA5B14" w:rsidRDefault="007448F7" w:rsidP="007448F7">
          <w:pPr>
            <w:pStyle w:val="Footer"/>
            <w:jc w:val="right"/>
            <w:rPr>
              <w:rFonts w:cs="Arial"/>
            </w:rPr>
          </w:pPr>
          <w:r w:rsidRPr="008F7DB7">
            <w:rPr>
              <w:noProof/>
            </w:rPr>
            <w:fldChar w:fldCharType="begin"/>
          </w:r>
          <w:r w:rsidRPr="008F7DB7">
            <w:rPr>
              <w:noProof/>
            </w:rPr>
            <w:instrText xml:space="preserve"> STYLEREF "Heading 1 Not TOC" \* MERGEFORMAT </w:instrText>
          </w:r>
          <w:r w:rsidRPr="008F7DB7">
            <w:rPr>
              <w:noProof/>
            </w:rPr>
            <w:fldChar w:fldCharType="separate"/>
          </w:r>
          <w:r w:rsidR="000F3877">
            <w:rPr>
              <w:noProof/>
            </w:rPr>
            <w:t>Contents</w:t>
          </w:r>
          <w:r w:rsidRPr="008F7DB7">
            <w:rPr>
              <w:noProof/>
            </w:rPr>
            <w:fldChar w:fldCharType="end"/>
          </w:r>
          <w:r>
            <w:rPr>
              <w:rFonts w:cs="Arial"/>
            </w:rPr>
            <w:t xml:space="preserve"> </w:t>
          </w:r>
        </w:p>
      </w:tc>
      <w:tc>
        <w:tcPr>
          <w:tcW w:w="510" w:type="dxa"/>
        </w:tcPr>
        <w:p w:rsidR="007448F7" w:rsidRPr="007448F7" w:rsidRDefault="007448F7">
          <w:pPr>
            <w:pStyle w:val="Footer"/>
            <w:jc w:val="right"/>
            <w:rP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0F3877">
            <w:rPr>
              <w:rStyle w:val="PageNumber"/>
              <w:caps w:val="0"/>
              <w:noProof/>
            </w:rPr>
            <w:t>v</w:t>
          </w:r>
          <w:r w:rsidRPr="007448F7">
            <w:rPr>
              <w:rStyle w:val="PageNumber"/>
              <w:caps w:val="0"/>
            </w:rPr>
            <w:fldChar w:fldCharType="end"/>
          </w:r>
        </w:p>
      </w:tc>
    </w:tr>
  </w:tbl>
  <w:p w:rsidR="007448F7" w:rsidRDefault="007448F7">
    <w:pPr>
      <w:pStyle w:val="FooterEnd"/>
    </w:pPr>
  </w:p>
  <w:p w:rsidR="00D37AC2" w:rsidRDefault="00D37AC2">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3F7311" w:rsidTr="005F48ED">
      <w:trPr>
        <w:trHeight w:hRule="exact" w:val="567"/>
      </w:trPr>
      <w:tc>
        <w:tcPr>
          <w:tcW w:w="510" w:type="dxa"/>
        </w:tcPr>
        <w:p w:rsidR="003F7311" w:rsidRDefault="003F7311">
          <w:pPr>
            <w:pStyle w:val="Footer"/>
            <w:ind w:right="360" w:firstLine="360"/>
          </w:pPr>
        </w:p>
      </w:tc>
      <w:tc>
        <w:tcPr>
          <w:tcW w:w="7767" w:type="dxa"/>
        </w:tcPr>
        <w:p w:rsidR="003F7311" w:rsidRPr="00340511" w:rsidRDefault="003F7311" w:rsidP="003F7311">
          <w:pPr>
            <w:pStyle w:val="Footer"/>
            <w:jc w:val="right"/>
            <w:rPr>
              <w:rFonts w:cs="Arial"/>
            </w:rPr>
          </w:pPr>
          <w:r>
            <w:rPr>
              <w:noProof/>
            </w:rPr>
            <w:t>key ponts</w:t>
          </w:r>
        </w:p>
      </w:tc>
      <w:tc>
        <w:tcPr>
          <w:tcW w:w="510" w:type="dxa"/>
        </w:tcPr>
        <w:p w:rsidR="003F7311" w:rsidRPr="00A24443" w:rsidRDefault="003F7311">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0F3877">
            <w:rPr>
              <w:rStyle w:val="PageNumber"/>
              <w:caps w:val="0"/>
              <w:noProof/>
            </w:rPr>
            <w:t>vii</w:t>
          </w:r>
          <w:r w:rsidRPr="00A24443">
            <w:rPr>
              <w:rStyle w:val="PageNumber"/>
              <w:caps w:val="0"/>
            </w:rPr>
            <w:fldChar w:fldCharType="end"/>
          </w:r>
        </w:p>
      </w:tc>
    </w:tr>
  </w:tbl>
  <w:p w:rsidR="003F7311" w:rsidRDefault="003F7311">
    <w:pPr>
      <w:pStyle w:val="FooterEnd"/>
    </w:pPr>
  </w:p>
  <w:p w:rsidR="003F7311" w:rsidRDefault="003F7311"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59C7" w:rsidRDefault="005059C7">
      <w:r>
        <w:separator/>
      </w:r>
    </w:p>
    <w:p w:rsidR="005059C7" w:rsidRDefault="005059C7"/>
    <w:p w:rsidR="005059C7" w:rsidRDefault="005059C7"/>
  </w:footnote>
  <w:footnote w:type="continuationSeparator" w:id="0">
    <w:p w:rsidR="005059C7" w:rsidRDefault="005059C7">
      <w:r>
        <w:continuationSeparator/>
      </w:r>
    </w:p>
    <w:p w:rsidR="005059C7" w:rsidRDefault="005059C7"/>
    <w:p w:rsidR="005059C7" w:rsidRDefault="005059C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5059C7">
      <w:tc>
        <w:tcPr>
          <w:tcW w:w="2155" w:type="dxa"/>
          <w:tcBorders>
            <w:top w:val="single" w:sz="24" w:space="0" w:color="auto"/>
          </w:tcBorders>
        </w:tcPr>
        <w:p w:rsidR="005059C7" w:rsidRDefault="005059C7">
          <w:pPr>
            <w:pStyle w:val="HeaderEven"/>
          </w:pPr>
        </w:p>
      </w:tc>
      <w:tc>
        <w:tcPr>
          <w:tcW w:w="6634" w:type="dxa"/>
          <w:tcBorders>
            <w:top w:val="single" w:sz="6" w:space="0" w:color="auto"/>
          </w:tcBorders>
        </w:tcPr>
        <w:p w:rsidR="005059C7" w:rsidRDefault="005059C7">
          <w:pPr>
            <w:pStyle w:val="HeaderEven"/>
          </w:pPr>
        </w:p>
      </w:tc>
    </w:tr>
  </w:tbl>
  <w:p w:rsidR="005059C7" w:rsidRDefault="005059C7">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5059C7">
      <w:tc>
        <w:tcPr>
          <w:tcW w:w="6634" w:type="dxa"/>
          <w:tcBorders>
            <w:top w:val="single" w:sz="6" w:space="0" w:color="auto"/>
          </w:tcBorders>
        </w:tcPr>
        <w:p w:rsidR="005059C7" w:rsidRDefault="005059C7">
          <w:pPr>
            <w:pStyle w:val="HeaderOdd"/>
          </w:pPr>
        </w:p>
      </w:tc>
      <w:tc>
        <w:tcPr>
          <w:tcW w:w="2155" w:type="dxa"/>
          <w:tcBorders>
            <w:top w:val="single" w:sz="24" w:space="0" w:color="auto"/>
          </w:tcBorders>
        </w:tcPr>
        <w:p w:rsidR="005059C7" w:rsidRDefault="005059C7">
          <w:pPr>
            <w:pStyle w:val="HeaderOdd"/>
          </w:pPr>
        </w:p>
      </w:tc>
    </w:tr>
  </w:tbl>
  <w:p w:rsidR="005059C7" w:rsidRDefault="005059C7">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D37AC2">
      <w:tc>
        <w:tcPr>
          <w:tcW w:w="2155" w:type="dxa"/>
          <w:tcBorders>
            <w:top w:val="single" w:sz="24" w:space="0" w:color="auto"/>
          </w:tcBorders>
        </w:tcPr>
        <w:p w:rsidR="00D37AC2" w:rsidRDefault="00D37AC2">
          <w:pPr>
            <w:pStyle w:val="Header"/>
          </w:pPr>
        </w:p>
      </w:tc>
      <w:tc>
        <w:tcPr>
          <w:tcW w:w="6634" w:type="dxa"/>
          <w:tcBorders>
            <w:top w:val="single" w:sz="6" w:space="0" w:color="auto"/>
          </w:tcBorders>
        </w:tcPr>
        <w:p w:rsidR="00D37AC2" w:rsidRDefault="00D37AC2">
          <w:pPr>
            <w:pStyle w:val="Header"/>
          </w:pPr>
        </w:p>
      </w:tc>
    </w:tr>
  </w:tbl>
  <w:p w:rsidR="00D37AC2" w:rsidRDefault="00D37AC2">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rsidTr="005C68FE">
      <w:tc>
        <w:tcPr>
          <w:tcW w:w="6634" w:type="dxa"/>
          <w:tcBorders>
            <w:top w:val="single" w:sz="6" w:space="0" w:color="auto"/>
          </w:tcBorders>
        </w:tcPr>
        <w:p w:rsidR="00D37AC2" w:rsidRDefault="00D37AC2" w:rsidP="005C68FE">
          <w:pPr>
            <w:pStyle w:val="HeaderOdd"/>
          </w:pPr>
        </w:p>
      </w:tc>
      <w:tc>
        <w:tcPr>
          <w:tcW w:w="2155" w:type="dxa"/>
          <w:tcBorders>
            <w:top w:val="single" w:sz="24" w:space="0" w:color="auto"/>
          </w:tcBorders>
        </w:tcPr>
        <w:p w:rsidR="00D37AC2" w:rsidRDefault="00D37AC2" w:rsidP="005C68FE">
          <w:pPr>
            <w:pStyle w:val="HeaderOdd"/>
          </w:pPr>
        </w:p>
      </w:tc>
    </w:tr>
  </w:tbl>
  <w:p w:rsidR="00D37AC2" w:rsidRPr="005C68FE" w:rsidRDefault="00D37AC2" w:rsidP="005C68FE">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2">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5">
    <w:nsid w:val="1452415F"/>
    <w:multiLevelType w:val="hybridMultilevel"/>
    <w:tmpl w:val="11042038"/>
    <w:lvl w:ilvl="0" w:tplc="CC683DAA">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6">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7">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8">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9">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1">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2">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3">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4">
    <w:nsid w:val="60A27097"/>
    <w:multiLevelType w:val="hybridMultilevel"/>
    <w:tmpl w:val="39D64E4A"/>
    <w:lvl w:ilvl="0" w:tplc="FEF6E6BE">
      <w:start w:val="1"/>
      <w:numFmt w:val="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6">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17">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8"/>
  </w:num>
  <w:num w:numId="2">
    <w:abstractNumId w:val="1"/>
  </w:num>
  <w:num w:numId="3">
    <w:abstractNumId w:val="6"/>
  </w:num>
  <w:num w:numId="4">
    <w:abstractNumId w:val="4"/>
  </w:num>
  <w:num w:numId="5">
    <w:abstractNumId w:val="8"/>
  </w:num>
  <w:num w:numId="6">
    <w:abstractNumId w:val="1"/>
  </w:num>
  <w:num w:numId="7">
    <w:abstractNumId w:val="15"/>
  </w:num>
  <w:num w:numId="8">
    <w:abstractNumId w:val="13"/>
  </w:num>
  <w:num w:numId="9">
    <w:abstractNumId w:val="2"/>
  </w:num>
  <w:num w:numId="10">
    <w:abstractNumId w:val="7"/>
  </w:num>
  <w:num w:numId="11">
    <w:abstractNumId w:val="16"/>
  </w:num>
  <w:num w:numId="12">
    <w:abstractNumId w:val="10"/>
  </w:num>
  <w:num w:numId="13">
    <w:abstractNumId w:val="9"/>
  </w:num>
  <w:num w:numId="14">
    <w:abstractNumId w:val="0"/>
  </w:num>
  <w:num w:numId="15">
    <w:abstractNumId w:val="3"/>
  </w:num>
  <w:num w:numId="16">
    <w:abstractNumId w:val="12"/>
  </w:num>
  <w:num w:numId="17">
    <w:abstractNumId w:val="17"/>
  </w:num>
  <w:num w:numId="18">
    <w:abstractNumId w:val="11"/>
  </w:num>
  <w:num w:numId="19">
    <w:abstractNumId w:val="14"/>
  </w:num>
  <w:num w:numId="20">
    <w:abstractNumId w:val="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mirrorMargin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9C7"/>
    <w:rsid w:val="00017AFC"/>
    <w:rsid w:val="00025878"/>
    <w:rsid w:val="00026B38"/>
    <w:rsid w:val="000502D3"/>
    <w:rsid w:val="00052CB2"/>
    <w:rsid w:val="000623BF"/>
    <w:rsid w:val="000779EB"/>
    <w:rsid w:val="00095EEA"/>
    <w:rsid w:val="00097C15"/>
    <w:rsid w:val="000A0A0E"/>
    <w:rsid w:val="000A5E12"/>
    <w:rsid w:val="000B416E"/>
    <w:rsid w:val="000F185F"/>
    <w:rsid w:val="000F2F5F"/>
    <w:rsid w:val="000F3877"/>
    <w:rsid w:val="00106041"/>
    <w:rsid w:val="0010611E"/>
    <w:rsid w:val="00122FE9"/>
    <w:rsid w:val="00131572"/>
    <w:rsid w:val="00131D4F"/>
    <w:rsid w:val="0013399B"/>
    <w:rsid w:val="001429A2"/>
    <w:rsid w:val="00180515"/>
    <w:rsid w:val="00181F4B"/>
    <w:rsid w:val="00190919"/>
    <w:rsid w:val="00196FB3"/>
    <w:rsid w:val="001A5071"/>
    <w:rsid w:val="001B4E73"/>
    <w:rsid w:val="001B7F1E"/>
    <w:rsid w:val="001D01E3"/>
    <w:rsid w:val="001D4B1F"/>
    <w:rsid w:val="001D6629"/>
    <w:rsid w:val="001E3390"/>
    <w:rsid w:val="001F2270"/>
    <w:rsid w:val="00203B40"/>
    <w:rsid w:val="00205A82"/>
    <w:rsid w:val="00211BEE"/>
    <w:rsid w:val="002179C6"/>
    <w:rsid w:val="00261607"/>
    <w:rsid w:val="00263DD1"/>
    <w:rsid w:val="00264D3B"/>
    <w:rsid w:val="00265685"/>
    <w:rsid w:val="00271B0C"/>
    <w:rsid w:val="00281D5F"/>
    <w:rsid w:val="002923AD"/>
    <w:rsid w:val="00296592"/>
    <w:rsid w:val="002A0A4B"/>
    <w:rsid w:val="002A499E"/>
    <w:rsid w:val="002B636E"/>
    <w:rsid w:val="002B64D6"/>
    <w:rsid w:val="002C12F5"/>
    <w:rsid w:val="002D6FCE"/>
    <w:rsid w:val="00340511"/>
    <w:rsid w:val="00350779"/>
    <w:rsid w:val="0038647D"/>
    <w:rsid w:val="00393A49"/>
    <w:rsid w:val="0039789E"/>
    <w:rsid w:val="003A2793"/>
    <w:rsid w:val="003B41E0"/>
    <w:rsid w:val="003C3D73"/>
    <w:rsid w:val="003D624D"/>
    <w:rsid w:val="003E7802"/>
    <w:rsid w:val="003F7311"/>
    <w:rsid w:val="0042007A"/>
    <w:rsid w:val="00433C81"/>
    <w:rsid w:val="0043665A"/>
    <w:rsid w:val="00446D6B"/>
    <w:rsid w:val="00457B3F"/>
    <w:rsid w:val="00463022"/>
    <w:rsid w:val="00481A34"/>
    <w:rsid w:val="00481CF0"/>
    <w:rsid w:val="004B492A"/>
    <w:rsid w:val="004C0B0C"/>
    <w:rsid w:val="004D3F58"/>
    <w:rsid w:val="004E52E2"/>
    <w:rsid w:val="004E6BB4"/>
    <w:rsid w:val="004E7D3C"/>
    <w:rsid w:val="004F5480"/>
    <w:rsid w:val="005059C7"/>
    <w:rsid w:val="00515D43"/>
    <w:rsid w:val="0052544D"/>
    <w:rsid w:val="00526B19"/>
    <w:rsid w:val="00551FB8"/>
    <w:rsid w:val="005537F6"/>
    <w:rsid w:val="00560F43"/>
    <w:rsid w:val="005654D0"/>
    <w:rsid w:val="00585B3F"/>
    <w:rsid w:val="005A1BB9"/>
    <w:rsid w:val="005B17AB"/>
    <w:rsid w:val="005C68FE"/>
    <w:rsid w:val="005F7D30"/>
    <w:rsid w:val="00602523"/>
    <w:rsid w:val="006040CB"/>
    <w:rsid w:val="00604351"/>
    <w:rsid w:val="00607D8A"/>
    <w:rsid w:val="0061590F"/>
    <w:rsid w:val="006357BF"/>
    <w:rsid w:val="00636497"/>
    <w:rsid w:val="00641AE2"/>
    <w:rsid w:val="0064456A"/>
    <w:rsid w:val="00650DDA"/>
    <w:rsid w:val="0065126A"/>
    <w:rsid w:val="00653FA6"/>
    <w:rsid w:val="0067557D"/>
    <w:rsid w:val="006802D4"/>
    <w:rsid w:val="00683849"/>
    <w:rsid w:val="00691AB5"/>
    <w:rsid w:val="006E1E6B"/>
    <w:rsid w:val="006F0EAC"/>
    <w:rsid w:val="006F6A85"/>
    <w:rsid w:val="0070328D"/>
    <w:rsid w:val="00731F96"/>
    <w:rsid w:val="00734127"/>
    <w:rsid w:val="00735FEA"/>
    <w:rsid w:val="00743460"/>
    <w:rsid w:val="00743A27"/>
    <w:rsid w:val="007448F7"/>
    <w:rsid w:val="00753DC6"/>
    <w:rsid w:val="0075578C"/>
    <w:rsid w:val="00766DFB"/>
    <w:rsid w:val="007734B5"/>
    <w:rsid w:val="007809B8"/>
    <w:rsid w:val="007813A6"/>
    <w:rsid w:val="00805FD7"/>
    <w:rsid w:val="00806E54"/>
    <w:rsid w:val="008206EE"/>
    <w:rsid w:val="008214B1"/>
    <w:rsid w:val="008273A9"/>
    <w:rsid w:val="00836ED7"/>
    <w:rsid w:val="0084355E"/>
    <w:rsid w:val="008453AC"/>
    <w:rsid w:val="00852911"/>
    <w:rsid w:val="00860D09"/>
    <w:rsid w:val="00862044"/>
    <w:rsid w:val="00880BF7"/>
    <w:rsid w:val="0089269F"/>
    <w:rsid w:val="008A2133"/>
    <w:rsid w:val="008A3857"/>
    <w:rsid w:val="008B2205"/>
    <w:rsid w:val="008C08EF"/>
    <w:rsid w:val="008C305F"/>
    <w:rsid w:val="008C3AD2"/>
    <w:rsid w:val="008C7C3D"/>
    <w:rsid w:val="008D6369"/>
    <w:rsid w:val="008D6F66"/>
    <w:rsid w:val="008E1BEA"/>
    <w:rsid w:val="008E242D"/>
    <w:rsid w:val="008E43D2"/>
    <w:rsid w:val="008E5248"/>
    <w:rsid w:val="008F04C9"/>
    <w:rsid w:val="008F7C50"/>
    <w:rsid w:val="008F7DB7"/>
    <w:rsid w:val="009064D3"/>
    <w:rsid w:val="00907531"/>
    <w:rsid w:val="00915300"/>
    <w:rsid w:val="00933B0C"/>
    <w:rsid w:val="00935676"/>
    <w:rsid w:val="0096058A"/>
    <w:rsid w:val="00963052"/>
    <w:rsid w:val="0098401D"/>
    <w:rsid w:val="009A789F"/>
    <w:rsid w:val="009B12EF"/>
    <w:rsid w:val="009B48F7"/>
    <w:rsid w:val="009B6185"/>
    <w:rsid w:val="009C6C6D"/>
    <w:rsid w:val="009E1E78"/>
    <w:rsid w:val="00A1597D"/>
    <w:rsid w:val="00A46989"/>
    <w:rsid w:val="00A469AA"/>
    <w:rsid w:val="00A71CE9"/>
    <w:rsid w:val="00A72A19"/>
    <w:rsid w:val="00A75A30"/>
    <w:rsid w:val="00A93C82"/>
    <w:rsid w:val="00AB2A48"/>
    <w:rsid w:val="00AC3236"/>
    <w:rsid w:val="00AD4874"/>
    <w:rsid w:val="00AE1F8A"/>
    <w:rsid w:val="00B036B2"/>
    <w:rsid w:val="00B04D19"/>
    <w:rsid w:val="00B153C3"/>
    <w:rsid w:val="00B22087"/>
    <w:rsid w:val="00B35112"/>
    <w:rsid w:val="00B722F2"/>
    <w:rsid w:val="00B72C67"/>
    <w:rsid w:val="00B80355"/>
    <w:rsid w:val="00B90958"/>
    <w:rsid w:val="00B95339"/>
    <w:rsid w:val="00BA0B81"/>
    <w:rsid w:val="00BA311E"/>
    <w:rsid w:val="00BA4553"/>
    <w:rsid w:val="00BB334E"/>
    <w:rsid w:val="00BB5DCF"/>
    <w:rsid w:val="00BC2476"/>
    <w:rsid w:val="00BF59EA"/>
    <w:rsid w:val="00BF79CD"/>
    <w:rsid w:val="00C058AB"/>
    <w:rsid w:val="00C0721B"/>
    <w:rsid w:val="00C34C8C"/>
    <w:rsid w:val="00C43DDD"/>
    <w:rsid w:val="00C50792"/>
    <w:rsid w:val="00C51371"/>
    <w:rsid w:val="00C55A45"/>
    <w:rsid w:val="00C670DE"/>
    <w:rsid w:val="00C904D9"/>
    <w:rsid w:val="00C94C06"/>
    <w:rsid w:val="00CA48BF"/>
    <w:rsid w:val="00CB3ACC"/>
    <w:rsid w:val="00CB4745"/>
    <w:rsid w:val="00CD2163"/>
    <w:rsid w:val="00CD4FE7"/>
    <w:rsid w:val="00CD5E6B"/>
    <w:rsid w:val="00CE4FBC"/>
    <w:rsid w:val="00CE5D96"/>
    <w:rsid w:val="00CE7344"/>
    <w:rsid w:val="00CF26EE"/>
    <w:rsid w:val="00D27BCC"/>
    <w:rsid w:val="00D310F0"/>
    <w:rsid w:val="00D37AC2"/>
    <w:rsid w:val="00D500A9"/>
    <w:rsid w:val="00D61180"/>
    <w:rsid w:val="00D64121"/>
    <w:rsid w:val="00D67119"/>
    <w:rsid w:val="00D732FE"/>
    <w:rsid w:val="00D74E25"/>
    <w:rsid w:val="00D772E9"/>
    <w:rsid w:val="00D82E10"/>
    <w:rsid w:val="00D969AE"/>
    <w:rsid w:val="00DA31AB"/>
    <w:rsid w:val="00DA3281"/>
    <w:rsid w:val="00DA6D3E"/>
    <w:rsid w:val="00DC02E8"/>
    <w:rsid w:val="00DC75C7"/>
    <w:rsid w:val="00DC78D3"/>
    <w:rsid w:val="00DD1077"/>
    <w:rsid w:val="00DF00FE"/>
    <w:rsid w:val="00DF4592"/>
    <w:rsid w:val="00E15FDC"/>
    <w:rsid w:val="00E2651B"/>
    <w:rsid w:val="00E30DDB"/>
    <w:rsid w:val="00E343AC"/>
    <w:rsid w:val="00E6632E"/>
    <w:rsid w:val="00E90CF2"/>
    <w:rsid w:val="00EC38C1"/>
    <w:rsid w:val="00EC628B"/>
    <w:rsid w:val="00ED0F61"/>
    <w:rsid w:val="00EE3F6D"/>
    <w:rsid w:val="00EE73E1"/>
    <w:rsid w:val="00F03F62"/>
    <w:rsid w:val="00F12107"/>
    <w:rsid w:val="00F13165"/>
    <w:rsid w:val="00F4234E"/>
    <w:rsid w:val="00F61429"/>
    <w:rsid w:val="00F7477E"/>
    <w:rsid w:val="00F85393"/>
    <w:rsid w:val="00FA4A24"/>
    <w:rsid w:val="00FC41B4"/>
    <w:rsid w:val="00FC5A6B"/>
    <w:rsid w:val="00FD06C0"/>
    <w:rsid w:val="00FD415D"/>
    <w:rsid w:val="00FD4728"/>
    <w:rsid w:val="00FD741A"/>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link w:val="BoxChar"/>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5"/>
      </w:numPr>
      <w:tabs>
        <w:tab w:val="clear" w:pos="284"/>
        <w:tab w:val="num" w:pos="360"/>
      </w:tabs>
      <w:spacing w:before="100" w:line="260" w:lineRule="atLeast"/>
      <w:ind w:left="0" w:firstLine="0"/>
    </w:pPr>
    <w:rPr>
      <w:rFonts w:ascii="Arial" w:hAnsi="Arial"/>
      <w:sz w:val="20"/>
    </w:rPr>
  </w:style>
  <w:style w:type="paragraph" w:customStyle="1" w:styleId="BoxListBullet2">
    <w:name w:val="Box List Bullet 2"/>
    <w:basedOn w:val="BoxListBullet"/>
    <w:rsid w:val="0010611E"/>
    <w:pPr>
      <w:numPr>
        <w:numId w:val="6"/>
      </w:numPr>
      <w:tabs>
        <w:tab w:val="clear" w:pos="567"/>
        <w:tab w:val="num" w:pos="360"/>
      </w:tabs>
      <w:ind w:left="0" w:firstLine="0"/>
    </w:pPr>
  </w:style>
  <w:style w:type="paragraph" w:customStyle="1" w:styleId="BoxListNumber">
    <w:name w:val="Box List Number"/>
    <w:basedOn w:val="BodyText"/>
    <w:rsid w:val="0010611E"/>
    <w:pPr>
      <w:keepNext/>
      <w:numPr>
        <w:numId w:val="9"/>
      </w:numPr>
      <w:tabs>
        <w:tab w:val="clear" w:pos="284"/>
        <w:tab w:val="num" w:pos="360"/>
      </w:tabs>
      <w:spacing w:before="100" w:line="260" w:lineRule="atLeast"/>
      <w:ind w:left="0" w:firstLine="0"/>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link w:val="CommentTextChar"/>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11"/>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12"/>
      </w:numPr>
      <w:spacing w:before="120"/>
    </w:pPr>
  </w:style>
  <w:style w:type="paragraph" w:styleId="ListBullet2">
    <w:name w:val="List Bullet 2"/>
    <w:basedOn w:val="BodyText"/>
    <w:rsid w:val="0010611E"/>
    <w:pPr>
      <w:numPr>
        <w:numId w:val="14"/>
      </w:numPr>
      <w:spacing w:before="120"/>
    </w:pPr>
  </w:style>
  <w:style w:type="paragraph" w:styleId="ListBullet3">
    <w:name w:val="List Bullet 3"/>
    <w:basedOn w:val="BodyText"/>
    <w:rsid w:val="0010611E"/>
    <w:pPr>
      <w:numPr>
        <w:numId w:val="7"/>
      </w:numPr>
      <w:spacing w:before="120"/>
    </w:pPr>
  </w:style>
  <w:style w:type="paragraph" w:styleId="ListNumber">
    <w:name w:val="List Number"/>
    <w:basedOn w:val="BodyText"/>
    <w:rsid w:val="0010611E"/>
    <w:pPr>
      <w:numPr>
        <w:numId w:val="15"/>
      </w:numPr>
      <w:tabs>
        <w:tab w:val="clear" w:pos="340"/>
        <w:tab w:val="num" w:pos="360"/>
      </w:tabs>
      <w:spacing w:before="120"/>
      <w:ind w:left="0" w:firstLine="0"/>
    </w:pPr>
  </w:style>
  <w:style w:type="paragraph" w:styleId="ListNumber2">
    <w:name w:val="List Number 2"/>
    <w:basedOn w:val="ListNumber"/>
    <w:rsid w:val="0010611E"/>
    <w:pPr>
      <w:numPr>
        <w:ilvl w:val="1"/>
      </w:numPr>
      <w:tabs>
        <w:tab w:val="clear" w:pos="794"/>
        <w:tab w:val="num" w:pos="360"/>
      </w:tabs>
      <w:ind w:left="0" w:firstLine="0"/>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1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3"/>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4"/>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1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1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8"/>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10"/>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13"/>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character" w:customStyle="1" w:styleId="Heading1Char">
    <w:name w:val="Heading 1 Char"/>
    <w:basedOn w:val="DefaultParagraphFont"/>
    <w:link w:val="Heading1"/>
    <w:rsid w:val="005059C7"/>
    <w:rPr>
      <w:kern w:val="28"/>
      <w:sz w:val="52"/>
      <w:lang w:eastAsia="en-US"/>
    </w:rPr>
  </w:style>
  <w:style w:type="character" w:customStyle="1" w:styleId="BoxChar">
    <w:name w:val="Box Char"/>
    <w:link w:val="Box"/>
    <w:locked/>
    <w:rsid w:val="003F7311"/>
    <w:rPr>
      <w:rFonts w:ascii="Arial" w:hAnsi="Arial"/>
    </w:rPr>
  </w:style>
  <w:style w:type="paragraph" w:styleId="CommentSubject">
    <w:name w:val="annotation subject"/>
    <w:basedOn w:val="CommentText"/>
    <w:next w:val="CommentText"/>
    <w:link w:val="CommentSubjectChar"/>
    <w:rsid w:val="00E343AC"/>
    <w:pPr>
      <w:spacing w:before="0" w:line="240" w:lineRule="auto"/>
      <w:ind w:left="0" w:firstLine="0"/>
    </w:pPr>
    <w:rPr>
      <w:b/>
      <w:bCs/>
    </w:rPr>
  </w:style>
  <w:style w:type="character" w:customStyle="1" w:styleId="CommentTextChar">
    <w:name w:val="Comment Text Char"/>
    <w:basedOn w:val="DefaultParagraphFont"/>
    <w:link w:val="CommentText"/>
    <w:semiHidden/>
    <w:rsid w:val="00E343AC"/>
    <w:rPr>
      <w:lang w:eastAsia="en-US"/>
    </w:rPr>
  </w:style>
  <w:style w:type="character" w:customStyle="1" w:styleId="CommentSubjectChar">
    <w:name w:val="Comment Subject Char"/>
    <w:basedOn w:val="CommentTextChar"/>
    <w:link w:val="CommentSubject"/>
    <w:rsid w:val="00E343AC"/>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link w:val="BoxChar"/>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5"/>
      </w:numPr>
      <w:tabs>
        <w:tab w:val="clear" w:pos="284"/>
        <w:tab w:val="num" w:pos="360"/>
      </w:tabs>
      <w:spacing w:before="100" w:line="260" w:lineRule="atLeast"/>
      <w:ind w:left="0" w:firstLine="0"/>
    </w:pPr>
    <w:rPr>
      <w:rFonts w:ascii="Arial" w:hAnsi="Arial"/>
      <w:sz w:val="20"/>
    </w:rPr>
  </w:style>
  <w:style w:type="paragraph" w:customStyle="1" w:styleId="BoxListBullet2">
    <w:name w:val="Box List Bullet 2"/>
    <w:basedOn w:val="BoxListBullet"/>
    <w:rsid w:val="0010611E"/>
    <w:pPr>
      <w:numPr>
        <w:numId w:val="6"/>
      </w:numPr>
      <w:tabs>
        <w:tab w:val="clear" w:pos="567"/>
        <w:tab w:val="num" w:pos="360"/>
      </w:tabs>
      <w:ind w:left="0" w:firstLine="0"/>
    </w:pPr>
  </w:style>
  <w:style w:type="paragraph" w:customStyle="1" w:styleId="BoxListNumber">
    <w:name w:val="Box List Number"/>
    <w:basedOn w:val="BodyText"/>
    <w:rsid w:val="0010611E"/>
    <w:pPr>
      <w:keepNext/>
      <w:numPr>
        <w:numId w:val="9"/>
      </w:numPr>
      <w:tabs>
        <w:tab w:val="clear" w:pos="284"/>
        <w:tab w:val="num" w:pos="360"/>
      </w:tabs>
      <w:spacing w:before="100" w:line="260" w:lineRule="atLeast"/>
      <w:ind w:left="0" w:firstLine="0"/>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link w:val="CommentTextChar"/>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11"/>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12"/>
      </w:numPr>
      <w:spacing w:before="120"/>
    </w:pPr>
  </w:style>
  <w:style w:type="paragraph" w:styleId="ListBullet2">
    <w:name w:val="List Bullet 2"/>
    <w:basedOn w:val="BodyText"/>
    <w:rsid w:val="0010611E"/>
    <w:pPr>
      <w:numPr>
        <w:numId w:val="14"/>
      </w:numPr>
      <w:spacing w:before="120"/>
    </w:pPr>
  </w:style>
  <w:style w:type="paragraph" w:styleId="ListBullet3">
    <w:name w:val="List Bullet 3"/>
    <w:basedOn w:val="BodyText"/>
    <w:rsid w:val="0010611E"/>
    <w:pPr>
      <w:numPr>
        <w:numId w:val="7"/>
      </w:numPr>
      <w:spacing w:before="120"/>
    </w:pPr>
  </w:style>
  <w:style w:type="paragraph" w:styleId="ListNumber">
    <w:name w:val="List Number"/>
    <w:basedOn w:val="BodyText"/>
    <w:rsid w:val="0010611E"/>
    <w:pPr>
      <w:numPr>
        <w:numId w:val="15"/>
      </w:numPr>
      <w:tabs>
        <w:tab w:val="clear" w:pos="340"/>
        <w:tab w:val="num" w:pos="360"/>
      </w:tabs>
      <w:spacing w:before="120"/>
      <w:ind w:left="0" w:firstLine="0"/>
    </w:pPr>
  </w:style>
  <w:style w:type="paragraph" w:styleId="ListNumber2">
    <w:name w:val="List Number 2"/>
    <w:basedOn w:val="ListNumber"/>
    <w:rsid w:val="0010611E"/>
    <w:pPr>
      <w:numPr>
        <w:ilvl w:val="1"/>
      </w:numPr>
      <w:tabs>
        <w:tab w:val="clear" w:pos="794"/>
        <w:tab w:val="num" w:pos="360"/>
      </w:tabs>
      <w:ind w:left="0" w:firstLine="0"/>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1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3"/>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4"/>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1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1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8"/>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10"/>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13"/>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character" w:customStyle="1" w:styleId="Heading1Char">
    <w:name w:val="Heading 1 Char"/>
    <w:basedOn w:val="DefaultParagraphFont"/>
    <w:link w:val="Heading1"/>
    <w:rsid w:val="005059C7"/>
    <w:rPr>
      <w:kern w:val="28"/>
      <w:sz w:val="52"/>
      <w:lang w:eastAsia="en-US"/>
    </w:rPr>
  </w:style>
  <w:style w:type="character" w:customStyle="1" w:styleId="BoxChar">
    <w:name w:val="Box Char"/>
    <w:link w:val="Box"/>
    <w:locked/>
    <w:rsid w:val="003F7311"/>
    <w:rPr>
      <w:rFonts w:ascii="Arial" w:hAnsi="Arial"/>
    </w:rPr>
  </w:style>
  <w:style w:type="paragraph" w:styleId="CommentSubject">
    <w:name w:val="annotation subject"/>
    <w:basedOn w:val="CommentText"/>
    <w:next w:val="CommentText"/>
    <w:link w:val="CommentSubjectChar"/>
    <w:rsid w:val="00E343AC"/>
    <w:pPr>
      <w:spacing w:before="0" w:line="240" w:lineRule="auto"/>
      <w:ind w:left="0" w:firstLine="0"/>
    </w:pPr>
    <w:rPr>
      <w:b/>
      <w:bCs/>
    </w:rPr>
  </w:style>
  <w:style w:type="character" w:customStyle="1" w:styleId="CommentTextChar">
    <w:name w:val="Comment Text Char"/>
    <w:basedOn w:val="DefaultParagraphFont"/>
    <w:link w:val="CommentText"/>
    <w:semiHidden/>
    <w:rsid w:val="00E343AC"/>
    <w:rPr>
      <w:lang w:eastAsia="en-US"/>
    </w:rPr>
  </w:style>
  <w:style w:type="character" w:customStyle="1" w:styleId="CommentSubjectChar">
    <w:name w:val="Comment Subject Char"/>
    <w:basedOn w:val="CommentTextChar"/>
    <w:link w:val="CommentSubject"/>
    <w:rsid w:val="00E343AC"/>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tsanhonour.gov.au/coat-arms/index.cfm"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creativecommons.org/licenses/by/3.0/au" TargetMode="External"/><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creativecommons.org/licenses/by/3.0/a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footer" Target="footer5.xml"/><Relationship Id="rId10" Type="http://schemas.openxmlformats.org/officeDocument/2006/relationships/image" Target="media/image2.png"/><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itsanhonour.gov.au" TargetMode="External"/><Relationship Id="rId22"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Dev\prelims.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C8C8C8"/>
      </a:lt2>
      <a:accent1>
        <a:srgbClr val="78A22F"/>
      </a:accent1>
      <a:accent2>
        <a:srgbClr val="265A9A"/>
      </a:accent2>
      <a:accent3>
        <a:srgbClr val="B2D673"/>
      </a:accent3>
      <a:accent4>
        <a:srgbClr val="000000"/>
      </a:accent4>
      <a:accent5>
        <a:srgbClr val="F2F2F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880996B3-F8D1-4B7A-96CF-83D3563BB2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prelims.dotm</Template>
  <TotalTime>112</TotalTime>
  <Pages>7</Pages>
  <Words>1181</Words>
  <Characters>7378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Report title</vt:lpstr>
    </vt:vector>
  </TitlesOfParts>
  <Company>Productivity Commission</Company>
  <LinksUpToDate>false</LinksUpToDate>
  <CharactersWithSpaces>8542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Trade and Assistance Review 2014-15 - preliminaries</dc:title>
  <dc:creator>Productivity Commission</dc:creator>
  <cp:lastModifiedBy>Michelle Cross</cp:lastModifiedBy>
  <cp:revision>22</cp:revision>
  <cp:lastPrinted>2016-07-08T01:33:00Z</cp:lastPrinted>
  <dcterms:created xsi:type="dcterms:W3CDTF">2016-06-28T02:19:00Z</dcterms:created>
  <dcterms:modified xsi:type="dcterms:W3CDTF">2016-07-21T02:29:00Z</dcterms:modified>
</cp:coreProperties>
</file>