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DA9C9" w14:textId="4A3D1E79" w:rsidR="001B3D08" w:rsidRPr="00BA2C10" w:rsidRDefault="001B3D08" w:rsidP="00BA2C10">
      <w:pPr>
        <w:pStyle w:val="Heading1"/>
        <w:rPr>
          <w:sz w:val="24"/>
          <w:szCs w:val="24"/>
        </w:rPr>
      </w:pPr>
      <w:bookmarkStart w:id="0" w:name="_Hlk39671708"/>
      <w:bookmarkStart w:id="1" w:name="ChapterTitle"/>
      <w:r w:rsidRPr="00BA2C10">
        <w:rPr>
          <w:sz w:val="24"/>
          <w:szCs w:val="24"/>
        </w:rPr>
        <w:t xml:space="preserve">Trade and Assistance Review </w:t>
      </w:r>
      <w:r w:rsidR="00BA449B" w:rsidRPr="00BA2C10">
        <w:rPr>
          <w:sz w:val="24"/>
          <w:szCs w:val="24"/>
        </w:rPr>
        <w:t>Estimates</w:t>
      </w:r>
      <w:r w:rsidR="00BA2C10" w:rsidRPr="00BA2C10">
        <w:rPr>
          <w:sz w:val="24"/>
          <w:szCs w:val="24"/>
        </w:rPr>
        <w:t xml:space="preserve"> </w:t>
      </w:r>
      <w:r w:rsidR="00BA449B" w:rsidRPr="00BA2C10">
        <w:rPr>
          <w:sz w:val="24"/>
          <w:szCs w:val="24"/>
        </w:rPr>
        <w:t>User Guide</w:t>
      </w:r>
      <w:bookmarkEnd w:id="0"/>
      <w:r w:rsidR="003B53A5">
        <w:rPr>
          <w:noProof/>
          <w:sz w:val="24"/>
          <w:szCs w:val="24"/>
        </w:rPr>
        <w:drawing>
          <wp:anchor distT="0" distB="0" distL="114300" distR="114300" simplePos="0" relativeHeight="251665408" behindDoc="0" locked="0" layoutInCell="1" allowOverlap="1" wp14:anchorId="4CA61DDD" wp14:editId="2385E4CC">
            <wp:simplePos x="1724660" y="-5848350"/>
            <wp:positionH relativeFrom="page">
              <wp:align>center</wp:align>
            </wp:positionH>
            <wp:positionV relativeFrom="page">
              <wp:align>center</wp:align>
            </wp:positionV>
            <wp:extent cx="7560000" cy="10692000"/>
            <wp:effectExtent l="0" t="0" r="3175" b="0"/>
            <wp:wrapNone/>
            <wp:docPr id="1" name="Picture 1" descr="Cover of Trade and Assistance Review Estimates Us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research-note-cover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7825D959" w14:textId="77777777" w:rsidR="00BA2C10" w:rsidRDefault="00BA2C10" w:rsidP="00BA2C10">
      <w:pPr>
        <w:pStyle w:val="BodyText"/>
        <w:jc w:val="left"/>
      </w:pPr>
      <w:r>
        <w:t>October 2016</w:t>
      </w:r>
    </w:p>
    <w:p w14:paraId="70DDA9D0" w14:textId="20272C07" w:rsidR="001B3D08" w:rsidRPr="007B5CC5" w:rsidRDefault="00BA2C10" w:rsidP="00BA2C10">
      <w:pPr>
        <w:pStyle w:val="BodyText"/>
        <w:rPr>
          <w:sz w:val="26"/>
          <w:szCs w:val="26"/>
        </w:rPr>
      </w:pPr>
      <w:r>
        <w:t xml:space="preserve">Authors: </w:t>
      </w:r>
      <w:r w:rsidR="005B2956">
        <w:rPr>
          <w:sz w:val="26"/>
          <w:szCs w:val="26"/>
        </w:rPr>
        <w:t>Umme Salma</w:t>
      </w:r>
      <w:r w:rsidR="001B3D08">
        <w:rPr>
          <w:sz w:val="26"/>
          <w:szCs w:val="26"/>
        </w:rPr>
        <w:t>, Robert Well</w:t>
      </w:r>
      <w:r w:rsidR="001D18A1">
        <w:rPr>
          <w:sz w:val="26"/>
          <w:szCs w:val="26"/>
        </w:rPr>
        <w:t>s</w:t>
      </w:r>
      <w:r w:rsidR="001B3D08">
        <w:rPr>
          <w:sz w:val="26"/>
          <w:szCs w:val="26"/>
        </w:rPr>
        <w:t>,</w:t>
      </w:r>
      <w:r w:rsidR="001B3D08" w:rsidRPr="007B5CC5">
        <w:rPr>
          <w:sz w:val="26"/>
          <w:szCs w:val="26"/>
        </w:rPr>
        <w:t xml:space="preserve"> and </w:t>
      </w:r>
      <w:r w:rsidR="001B3D08">
        <w:rPr>
          <w:sz w:val="26"/>
          <w:szCs w:val="26"/>
        </w:rPr>
        <w:t>Matthew Forbes</w:t>
      </w:r>
      <w:r>
        <w:rPr>
          <w:sz w:val="26"/>
          <w:szCs w:val="26"/>
        </w:rPr>
        <w:t xml:space="preserve">, </w:t>
      </w:r>
      <w:r w:rsidR="001B3D08">
        <w:rPr>
          <w:sz w:val="26"/>
          <w:szCs w:val="26"/>
        </w:rPr>
        <w:t>Research Group</w:t>
      </w:r>
    </w:p>
    <w:p w14:paraId="70DDA9D7" w14:textId="77777777" w:rsidR="00EB7B8C" w:rsidRDefault="00EB7B8C" w:rsidP="00EB7B8C">
      <w:pPr>
        <w:pStyle w:val="BodyText"/>
        <w:rPr>
          <w:sz w:val="52"/>
        </w:rPr>
      </w:pPr>
      <w:r>
        <w:br w:type="page"/>
      </w:r>
    </w:p>
    <w:p w14:paraId="70DDA9D8" w14:textId="77777777" w:rsidR="00EB7B8C" w:rsidRDefault="00EB7B8C" w:rsidP="00B03505">
      <w:pPr>
        <w:pStyle w:val="Heading1"/>
        <w:spacing w:before="0"/>
        <w:sectPr w:rsidR="00EB7B8C" w:rsidSect="00BF54B8">
          <w:headerReference w:type="even" r:id="rId9"/>
          <w:footerReference w:type="even" r:id="rId10"/>
          <w:footerReference w:type="default" r:id="rId11"/>
          <w:pgSz w:w="11907" w:h="16840" w:code="9"/>
          <w:pgMar w:top="1985" w:right="1304" w:bottom="1418" w:left="1814" w:header="1701" w:footer="397" w:gutter="0"/>
          <w:pgNumType w:chapSep="period"/>
          <w:cols w:space="720"/>
          <w:titlePg/>
        </w:sectPr>
      </w:pPr>
    </w:p>
    <w:p w14:paraId="70DDA9D9" w14:textId="77777777" w:rsidR="006A2BCC" w:rsidRPr="001B3D08" w:rsidRDefault="006A2BCC" w:rsidP="006A2BCC">
      <w:pPr>
        <w:pStyle w:val="Heading1"/>
      </w:pPr>
      <w:bookmarkStart w:id="2" w:name="begin"/>
      <w:bookmarkEnd w:id="1"/>
      <w:bookmarkEnd w:id="2"/>
      <w:r w:rsidRPr="001B3D08">
        <w:lastRenderedPageBreak/>
        <w:t>Trade and Assistance Review user guide</w:t>
      </w:r>
    </w:p>
    <w:p w14:paraId="70DDA9DA" w14:textId="7BEC35E4" w:rsidR="00B03505" w:rsidRPr="008C00FE" w:rsidRDefault="00B03505" w:rsidP="00B03505">
      <w:pPr>
        <w:pStyle w:val="BodyText"/>
      </w:pPr>
      <w:r w:rsidRPr="008C00FE">
        <w:t xml:space="preserve">This note outlines the process for producing detailed estimates of </w:t>
      </w:r>
      <w:r>
        <w:t>Australian G</w:t>
      </w:r>
      <w:r w:rsidRPr="008C00FE">
        <w:t>overnment assistance to industry</w:t>
      </w:r>
      <w:r w:rsidR="00EB0D7C">
        <w:t xml:space="preserve"> in the annual Trade and Assistance Review</w:t>
      </w:r>
      <w:r w:rsidR="00094B40">
        <w:t xml:space="preserve"> (TAR)</w:t>
      </w:r>
      <w:r w:rsidR="00EB0D7C">
        <w:t xml:space="preserve">. As an example, the document uses the processes followed to produce the tables </w:t>
      </w:r>
      <w:r w:rsidRPr="008C00FE">
        <w:t>presented in chapter 5 and appendix A of the 2013-14 TAR</w:t>
      </w:r>
      <w:r>
        <w:t xml:space="preserve"> </w:t>
      </w:r>
      <w:r w:rsidRPr="004F2FF2">
        <w:rPr>
          <w:szCs w:val="24"/>
        </w:rPr>
        <w:t>(PC 2015)</w:t>
      </w:r>
      <w:r w:rsidRPr="008C00FE">
        <w:t>.</w:t>
      </w:r>
    </w:p>
    <w:p w14:paraId="70DDA9DB" w14:textId="77777777" w:rsidR="00B03505" w:rsidRDefault="00B03505" w:rsidP="00B03505">
      <w:pPr>
        <w:pStyle w:val="BodyText"/>
      </w:pPr>
      <w:r w:rsidRPr="008C00FE">
        <w:t>It provides a link between TAR framework documents (such as the Methodological Annex for the 2011-12 TAR) and the procedure</w:t>
      </w:r>
      <w:r>
        <w:t>s</w:t>
      </w:r>
      <w:r w:rsidRPr="008C00FE">
        <w:t xml:space="preserve"> by which the methodology is applied. </w:t>
      </w:r>
      <w:r w:rsidR="00EB0D7C">
        <w:t>The estimates for 2013-</w:t>
      </w:r>
      <w:r w:rsidR="00094B40">
        <w:t>1</w:t>
      </w:r>
      <w:r w:rsidR="00EB0D7C">
        <w:t>4 are ‘updated’ based on ‘benchmark estimates’ that were produced in 2011-12; that is, the</w:t>
      </w:r>
      <w:r w:rsidR="00094B40">
        <w:t xml:space="preserve"> 2013-14 estimates</w:t>
      </w:r>
      <w:r w:rsidR="00EB0D7C">
        <w:t xml:space="preserve"> did not require a procedure called ‘re-benchmarking’.</w:t>
      </w:r>
      <w:r w:rsidR="00EB0D7C">
        <w:rPr>
          <w:rStyle w:val="FootnoteReference"/>
        </w:rPr>
        <w:footnoteReference w:id="1"/>
      </w:r>
      <w:r w:rsidR="00EB0D7C">
        <w:t xml:space="preserve"> </w:t>
      </w:r>
    </w:p>
    <w:p w14:paraId="70DDA9DC" w14:textId="77777777" w:rsidR="00B03505" w:rsidRPr="008C00FE" w:rsidRDefault="00B03505" w:rsidP="00B03505">
      <w:pPr>
        <w:pStyle w:val="BodyText"/>
      </w:pPr>
      <w:r>
        <w:t xml:space="preserve">In the main, these procedures involve: a number of spreadsheets, the compilation of a database of budgetary measures, consultation with Government departments </w:t>
      </w:r>
      <w:r w:rsidR="00EB0D7C">
        <w:t xml:space="preserve">about the budgetary measures </w:t>
      </w:r>
      <w:r>
        <w:t xml:space="preserve">and interaction with the ABS for one of the data processing steps due to confidential issues. </w:t>
      </w:r>
    </w:p>
    <w:p w14:paraId="70DDA9DD" w14:textId="51E535E2" w:rsidR="00B03505" w:rsidRDefault="008C264E" w:rsidP="00B03505">
      <w:pPr>
        <w:pStyle w:val="Heading2"/>
      </w:pPr>
      <w:r>
        <w:rPr>
          <w:noProof/>
        </w:rPr>
        <w:t>1</w:t>
      </w:r>
      <w:r w:rsidR="00B03505">
        <w:tab/>
        <w:t>Combined measures of assistance in the TAR</w:t>
      </w:r>
    </w:p>
    <w:p w14:paraId="70DDA9DE" w14:textId="77777777" w:rsidR="00B03505" w:rsidRDefault="00B03505" w:rsidP="00B03505">
      <w:pPr>
        <w:pStyle w:val="BodyText"/>
      </w:pPr>
      <w:r w:rsidRPr="008C00FE">
        <w:t xml:space="preserve">The TAR focuses on forms of government action that </w:t>
      </w:r>
      <w:r w:rsidR="000D466A">
        <w:t xml:space="preserve">provide assistance to </w:t>
      </w:r>
      <w:r w:rsidRPr="008C00FE">
        <w:t>firms</w:t>
      </w:r>
      <w:r w:rsidRPr="00583AE0">
        <w:t xml:space="preserve"> </w:t>
      </w:r>
      <w:r w:rsidR="005E1DBE">
        <w:t xml:space="preserve">or industries </w:t>
      </w:r>
      <w:r w:rsidRPr="008C00FE">
        <w:t>selectively, and can be readily quantified on an annual basis.</w:t>
      </w:r>
      <w:r>
        <w:t xml:space="preserve"> Assistance is categorised by:</w:t>
      </w:r>
    </w:p>
    <w:p w14:paraId="70DDA9DF" w14:textId="77777777" w:rsidR="00B03505" w:rsidRDefault="00B03505" w:rsidP="00B03505">
      <w:pPr>
        <w:pStyle w:val="ListBullet"/>
      </w:pPr>
      <w:r>
        <w:t>the form in which it is delivered (tariffs, budgetary outlays or tax credits, pric</w:t>
      </w:r>
      <w:r w:rsidR="00EB0D7C">
        <w:t>e sett</w:t>
      </w:r>
      <w:r>
        <w:t>ing and marketing</w:t>
      </w:r>
      <w:r w:rsidR="00EB0D7C" w:rsidRPr="00EB0D7C">
        <w:t xml:space="preserve"> </w:t>
      </w:r>
      <w:r w:rsidR="00EB0D7C">
        <w:t>for certain agricultural products.</w:t>
      </w:r>
      <w:r w:rsidR="005E1DBE">
        <w:rPr>
          <w:rStyle w:val="FootnoteReference"/>
        </w:rPr>
        <w:footnoteReference w:id="2"/>
      </w:r>
      <w:r>
        <w:t xml:space="preserve">) </w:t>
      </w:r>
    </w:p>
    <w:p w14:paraId="70DDA9E0" w14:textId="77777777" w:rsidR="00B03505" w:rsidRDefault="00B03505" w:rsidP="00B03505">
      <w:pPr>
        <w:pStyle w:val="ListBullet"/>
      </w:pPr>
      <w:r>
        <w:t xml:space="preserve">the </w:t>
      </w:r>
      <w:r w:rsidR="005E1DBE">
        <w:t xml:space="preserve">direct </w:t>
      </w:r>
      <w:r>
        <w:t>effect of the assistance (assistance to outputs, inputs or to value-adding factors)</w:t>
      </w:r>
    </w:p>
    <w:p w14:paraId="70DDA9E1" w14:textId="77777777" w:rsidR="00B03505" w:rsidRDefault="00B03505" w:rsidP="00B03505">
      <w:pPr>
        <w:pStyle w:val="ListBullet"/>
      </w:pPr>
      <w:r>
        <w:t>industry (for 34 ANZSIC-based industry groups)</w:t>
      </w:r>
    </w:p>
    <w:p w14:paraId="70DDA9E2" w14:textId="77777777" w:rsidR="00B03505" w:rsidRDefault="00B03505" w:rsidP="00B03505">
      <w:pPr>
        <w:pStyle w:val="ListBullet"/>
      </w:pPr>
      <w:r>
        <w:t>the type of activity targeted (there are 8 assistance categories).</w:t>
      </w:r>
    </w:p>
    <w:p w14:paraId="70DDA9E3" w14:textId="77777777" w:rsidR="00B03505" w:rsidRDefault="00B03505" w:rsidP="00B03505">
      <w:pPr>
        <w:pStyle w:val="BodyText"/>
      </w:pPr>
      <w:r>
        <w:t>Combined a</w:t>
      </w:r>
      <w:r w:rsidRPr="007270D3">
        <w:t xml:space="preserve">ssistance estimates </w:t>
      </w:r>
      <w:r w:rsidR="00EB0D7C">
        <w:t>consist of</w:t>
      </w:r>
      <w:r w:rsidR="00EB0D7C" w:rsidRPr="007270D3">
        <w:t xml:space="preserve"> </w:t>
      </w:r>
      <w:r w:rsidRPr="007270D3">
        <w:t xml:space="preserve">tariff assistance (tariff concessions and input cost penalties) </w:t>
      </w:r>
      <w:r w:rsidR="005E1DBE">
        <w:t xml:space="preserve">and </w:t>
      </w:r>
      <w:r w:rsidRPr="007270D3">
        <w:t xml:space="preserve">budgetary assistance (budgetary outlays and tax </w:t>
      </w:r>
      <w:r>
        <w:t>credits</w:t>
      </w:r>
      <w:r w:rsidRPr="007270D3">
        <w:t>) (figure 1)</w:t>
      </w:r>
      <w:r w:rsidR="005E1DBE">
        <w:t>.</w:t>
      </w:r>
    </w:p>
    <w:p w14:paraId="70DDA9E4" w14:textId="77777777" w:rsidR="00B03505" w:rsidRDefault="00B03505" w:rsidP="00B03505">
      <w:pPr>
        <w:pStyle w:val="BodyText"/>
      </w:pPr>
      <w:r>
        <w:lastRenderedPageBreak/>
        <w:t xml:space="preserve">This note outlines the process undertaken to produce the 2013-14 tariff (section 2) and budgetary assistance (section 3) estimates, and the steps involved in combining them to produce rates of combined assistance (section </w:t>
      </w:r>
      <w:r w:rsidR="00B0718B">
        <w:t>4</w:t>
      </w:r>
      <w:r>
        <w:t>).</w:t>
      </w:r>
    </w:p>
    <w:p w14:paraId="70DDA9E5" w14:textId="008DC228" w:rsidR="00B03505" w:rsidRDefault="00B03505" w:rsidP="00B0350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B03505" w14:paraId="70DDA9E7" w14:textId="77777777" w:rsidTr="00BA2C10">
        <w:tc>
          <w:tcPr>
            <w:tcW w:w="5000" w:type="pct"/>
            <w:tcBorders>
              <w:top w:val="single" w:sz="6" w:space="0" w:color="78A22F"/>
              <w:left w:val="nil"/>
              <w:bottom w:val="nil"/>
              <w:right w:val="nil"/>
            </w:tcBorders>
            <w:shd w:val="clear" w:color="auto" w:fill="auto"/>
          </w:tcPr>
          <w:p w14:paraId="70DDA9E6" w14:textId="40446C6C" w:rsidR="00B03505" w:rsidRPr="00176D3F" w:rsidRDefault="00B03505" w:rsidP="00437799">
            <w:pPr>
              <w:pStyle w:val="FigureTitle"/>
            </w:pPr>
            <w:r w:rsidRPr="00784A05">
              <w:rPr>
                <w:b w:val="0"/>
              </w:rPr>
              <w:t xml:space="preserve">Figure </w:t>
            </w:r>
            <w:bookmarkStart w:id="3" w:name="OLE_LINK2"/>
            <w:r w:rsidR="008C264E">
              <w:rPr>
                <w:b w:val="0"/>
                <w:noProof/>
              </w:rPr>
              <w:t>1</w:t>
            </w:r>
            <w:bookmarkEnd w:id="3"/>
            <w:r>
              <w:tab/>
              <w:t>Budgetary and tariff assistance included in</w:t>
            </w:r>
            <w:r w:rsidR="00253F65">
              <w:t xml:space="preserve"> 2013-14</w:t>
            </w:r>
            <w:r>
              <w:t xml:space="preserve"> TAR measures of combined assistance</w:t>
            </w:r>
            <w:r w:rsidR="004E5D4F" w:rsidRPr="004E5D4F">
              <w:rPr>
                <w:rStyle w:val="NoteLabel"/>
                <w:b/>
              </w:rPr>
              <w:t>a</w:t>
            </w:r>
          </w:p>
        </w:tc>
      </w:tr>
      <w:tr w:rsidR="00B03505" w14:paraId="70DDA9EB" w14:textId="77777777" w:rsidTr="00BA2C1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B03505" w14:paraId="70DDA9E9" w14:textId="77777777" w:rsidTr="00BA2C10">
              <w:trPr>
                <w:jc w:val="center"/>
              </w:trPr>
              <w:tc>
                <w:tcPr>
                  <w:tcW w:w="5000" w:type="pct"/>
                  <w:tcBorders>
                    <w:top w:val="nil"/>
                    <w:bottom w:val="nil"/>
                  </w:tcBorders>
                </w:tcPr>
                <w:p w14:paraId="70DDA9E8" w14:textId="081B780A" w:rsidR="00B03505" w:rsidRDefault="00D450C5" w:rsidP="00437799">
                  <w:pPr>
                    <w:pStyle w:val="Figure"/>
                    <w:spacing w:before="60" w:after="60"/>
                  </w:pPr>
                  <w:r w:rsidRPr="00D450C5">
                    <w:rPr>
                      <w:noProof/>
                    </w:rPr>
                    <w:drawing>
                      <wp:inline distT="0" distB="0" distL="0" distR="0" wp14:anchorId="60F4D312" wp14:editId="4220213A">
                        <wp:extent cx="5387340" cy="3665220"/>
                        <wp:effectExtent l="0" t="0" r="3810" b="0"/>
                        <wp:docPr id="8" name="Picture 8" descr="Figure 1 Budgetary and tariff assistance included in 2013-14 TAR measures of combined assistance&#10;&#10;The figure shows various components of the measures of combined assistance for Trade and Assistance Review 2013 14. These are output assistance and input cost penalty from tariffs; and output assistance, input assistance and assistance to value adding factors received from budget outlays and tax concessions.&#10;The figure also lists out of scope assistance measures for Trade and Assistance Revie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7340" cy="3665220"/>
                                </a:xfrm>
                                <a:prstGeom prst="rect">
                                  <a:avLst/>
                                </a:prstGeom>
                                <a:noFill/>
                                <a:ln>
                                  <a:noFill/>
                                </a:ln>
                              </pic:spPr>
                            </pic:pic>
                          </a:graphicData>
                        </a:graphic>
                      </wp:inline>
                    </w:drawing>
                  </w:r>
                </w:p>
              </w:tc>
            </w:tr>
          </w:tbl>
          <w:p w14:paraId="70DDA9EA" w14:textId="77777777" w:rsidR="00B03505" w:rsidRDefault="00B03505" w:rsidP="00437799">
            <w:pPr>
              <w:pStyle w:val="Figure"/>
            </w:pPr>
          </w:p>
        </w:tc>
      </w:tr>
      <w:tr w:rsidR="00B03505" w14:paraId="70DDA9ED" w14:textId="77777777" w:rsidTr="00BA2C10">
        <w:tc>
          <w:tcPr>
            <w:tcW w:w="5000" w:type="pct"/>
            <w:tcBorders>
              <w:top w:val="nil"/>
              <w:left w:val="nil"/>
              <w:bottom w:val="single" w:sz="6" w:space="0" w:color="78A22F"/>
              <w:right w:val="nil"/>
            </w:tcBorders>
            <w:shd w:val="clear" w:color="auto" w:fill="auto"/>
          </w:tcPr>
          <w:p w14:paraId="70DDA9EC" w14:textId="77777777" w:rsidR="00B03505" w:rsidRPr="006872E2" w:rsidRDefault="00B03505" w:rsidP="00437799">
            <w:pPr>
              <w:pStyle w:val="Note"/>
            </w:pPr>
            <w:r w:rsidRPr="008E77FE">
              <w:rPr>
                <w:rStyle w:val="NoteLabel"/>
              </w:rPr>
              <w:t>a</w:t>
            </w:r>
            <w:r>
              <w:t xml:space="preserve"> </w:t>
            </w:r>
            <w:r w:rsidRPr="00BA2C10">
              <w:rPr>
                <w:spacing w:val="-4"/>
              </w:rPr>
              <w:t>Input tariff assistance is negative</w:t>
            </w:r>
            <w:r w:rsidR="00E84CA3" w:rsidRPr="00BA2C10">
              <w:rPr>
                <w:spacing w:val="-4"/>
              </w:rPr>
              <w:t xml:space="preserve">; it </w:t>
            </w:r>
            <w:r w:rsidRPr="00BA2C10">
              <w:rPr>
                <w:spacing w:val="-4"/>
              </w:rPr>
              <w:t>represent</w:t>
            </w:r>
            <w:r w:rsidR="00E84CA3" w:rsidRPr="00BA2C10">
              <w:rPr>
                <w:spacing w:val="-4"/>
              </w:rPr>
              <w:t>s</w:t>
            </w:r>
            <w:r w:rsidRPr="00BA2C10">
              <w:rPr>
                <w:spacing w:val="-4"/>
              </w:rPr>
              <w:t xml:space="preserve"> the increased cost of inputs as a result of tariffs</w:t>
            </w:r>
            <w:r w:rsidR="00E84CA3" w:rsidRPr="00BA2C10">
              <w:rPr>
                <w:spacing w:val="-4"/>
              </w:rPr>
              <w:t xml:space="preserve"> levied on them</w:t>
            </w:r>
            <w:r w:rsidRPr="00BA2C10">
              <w:rPr>
                <w:spacing w:val="-4"/>
              </w:rPr>
              <w:t>.</w:t>
            </w:r>
          </w:p>
        </w:tc>
      </w:tr>
      <w:tr w:rsidR="00B03505" w14:paraId="70DDA9EF" w14:textId="77777777" w:rsidTr="00BA2C10">
        <w:tc>
          <w:tcPr>
            <w:tcW w:w="5000" w:type="pct"/>
            <w:tcBorders>
              <w:top w:val="nil"/>
              <w:left w:val="nil"/>
              <w:bottom w:val="single" w:sz="6" w:space="0" w:color="78A22F"/>
              <w:right w:val="nil"/>
            </w:tcBorders>
            <w:shd w:val="clear" w:color="auto" w:fill="auto"/>
          </w:tcPr>
          <w:p w14:paraId="70DDA9EE" w14:textId="77777777" w:rsidR="00B03505" w:rsidRDefault="00B03505" w:rsidP="00437799">
            <w:pPr>
              <w:pStyle w:val="Figurespace"/>
            </w:pPr>
          </w:p>
        </w:tc>
      </w:tr>
      <w:tr w:rsidR="00B03505" w:rsidRPr="000863A5" w14:paraId="70DDA9F1" w14:textId="77777777" w:rsidTr="00BA2C10">
        <w:tc>
          <w:tcPr>
            <w:tcW w:w="5000" w:type="pct"/>
            <w:tcBorders>
              <w:top w:val="single" w:sz="6" w:space="0" w:color="78A22F"/>
              <w:left w:val="nil"/>
              <w:bottom w:val="nil"/>
              <w:right w:val="nil"/>
            </w:tcBorders>
          </w:tcPr>
          <w:p w14:paraId="70DDA9F0" w14:textId="595E1B72" w:rsidR="00B03505" w:rsidRPr="00626D32" w:rsidRDefault="00B03505" w:rsidP="00437799">
            <w:pPr>
              <w:pStyle w:val="BoxSpaceBelow"/>
            </w:pPr>
          </w:p>
        </w:tc>
      </w:tr>
    </w:tbl>
    <w:p w14:paraId="70DDA9F2" w14:textId="77777777" w:rsidR="004E5D4F" w:rsidRDefault="004E5D4F" w:rsidP="004E5D4F">
      <w:pPr>
        <w:pStyle w:val="Heading3"/>
      </w:pPr>
      <w:r>
        <w:t>Industry aggregations</w:t>
      </w:r>
    </w:p>
    <w:p w14:paraId="70DDA9F3" w14:textId="3DC99528" w:rsidR="004E5D4F" w:rsidRPr="00964C77" w:rsidRDefault="004E5D4F" w:rsidP="004E5D4F">
      <w:pPr>
        <w:pStyle w:val="BodyText"/>
      </w:pPr>
      <w:r w:rsidRPr="00964C77">
        <w:t>Assistance estimates are disaggregated by industry</w:t>
      </w:r>
      <w:r>
        <w:t xml:space="preserve"> using a TAR-specific industry classification, based on ANZSIC categories (appendix A shows how this relates to various ABS industry classifications)</w:t>
      </w:r>
      <w:r w:rsidRPr="00964C77">
        <w:t xml:space="preserve">. </w:t>
      </w:r>
      <w:r>
        <w:t>Outputs are presented in total, and by TAR industry groupings which are based on ANZSIC industry categories. There are 34 TAR industries and four additional ‘industries’ to which unallocated assistance is assigned</w:t>
      </w:r>
      <w:r w:rsidR="00E84CA3">
        <w:t>; they</w:t>
      </w:r>
      <w:r>
        <w:t xml:space="preserve"> are aggregated from 46 ANZSIC categories and four unallocated categories. The ANZSIC categories are a mixture of ANZSIC Divisions, Subdivisions and Categories </w:t>
      </w:r>
      <w:r w:rsidRPr="00441085">
        <w:rPr>
          <w:szCs w:val="24"/>
        </w:rPr>
        <w:t>(ABS 2006)</w:t>
      </w:r>
      <w:r>
        <w:t xml:space="preserve">. There are also four TAR sectors (Primary production, Mining, Manufacturing and Services) and one ‘unallocated’ sector. </w:t>
      </w:r>
    </w:p>
    <w:p w14:paraId="70DDA9F4" w14:textId="2DB416FC" w:rsidR="001C0AED" w:rsidRDefault="008C264E" w:rsidP="00B03505">
      <w:pPr>
        <w:pStyle w:val="Heading2"/>
      </w:pPr>
      <w:r>
        <w:rPr>
          <w:noProof/>
        </w:rPr>
        <w:lastRenderedPageBreak/>
        <w:t>2</w:t>
      </w:r>
      <w:r w:rsidR="00B03505">
        <w:tab/>
        <w:t>How tariff assistance is calculated</w:t>
      </w:r>
    </w:p>
    <w:p w14:paraId="70DDA9F5" w14:textId="77777777" w:rsidR="004C5477" w:rsidRDefault="004C5477" w:rsidP="004C5477">
      <w:pPr>
        <w:pStyle w:val="BodyText"/>
      </w:pPr>
      <w:r>
        <w:t>T</w:t>
      </w:r>
      <w:r w:rsidRPr="00402927">
        <w:t xml:space="preserve">ariff assistance refers to assistance provided in the form of tariffs </w:t>
      </w:r>
      <w:r w:rsidR="00967E5A">
        <w:t xml:space="preserve">levied </w:t>
      </w:r>
      <w:r w:rsidRPr="00402927">
        <w:t>on import</w:t>
      </w:r>
      <w:r>
        <w:t>s</w:t>
      </w:r>
      <w:r w:rsidR="00967E5A">
        <w:t>.</w:t>
      </w:r>
      <w:r w:rsidR="00967E5A">
        <w:rPr>
          <w:rStyle w:val="FootnoteReference"/>
        </w:rPr>
        <w:footnoteReference w:id="3"/>
      </w:r>
      <w:r>
        <w:t xml:space="preserve"> The</w:t>
      </w:r>
      <w:r w:rsidRPr="00402927">
        <w:t xml:space="preserve"> manufacturing sector </w:t>
      </w:r>
      <w:r>
        <w:t xml:space="preserve">receives the bulk of this assistance, which </w:t>
      </w:r>
      <w:r w:rsidRPr="00402927">
        <w:t>result</w:t>
      </w:r>
      <w:r>
        <w:t>s</w:t>
      </w:r>
      <w:r w:rsidRPr="00402927">
        <w:t xml:space="preserve"> in increased costs to consumers</w:t>
      </w:r>
      <w:r w:rsidR="00967E5A">
        <w:t>,</w:t>
      </w:r>
      <w:r w:rsidRPr="00402927">
        <w:t xml:space="preserve"> and </w:t>
      </w:r>
      <w:r w:rsidR="00204285">
        <w:t xml:space="preserve">to </w:t>
      </w:r>
      <w:r w:rsidRPr="00402927">
        <w:t xml:space="preserve">industries that use </w:t>
      </w:r>
      <w:r>
        <w:t>these imported and domestically produced goods as</w:t>
      </w:r>
      <w:r w:rsidRPr="00402927">
        <w:t xml:space="preserve"> inputs. The estimates of tariff assistance are divided </w:t>
      </w:r>
      <w:r>
        <w:t>into two parts — outpu</w:t>
      </w:r>
      <w:r w:rsidRPr="00402927">
        <w:t xml:space="preserve">t assistance and </w:t>
      </w:r>
      <w:r>
        <w:t>‘</w:t>
      </w:r>
      <w:r w:rsidRPr="00402927">
        <w:t>input assistance</w:t>
      </w:r>
      <w:r>
        <w:t>’</w:t>
      </w:r>
      <w:r w:rsidRPr="00402927">
        <w:t>. Output assistance allows Australian pr</w:t>
      </w:r>
      <w:r w:rsidRPr="00794A64">
        <w:t>oducers to increase their prices.</w:t>
      </w:r>
      <w:r>
        <w:t xml:space="preserve"> Input assistance is the cost penalty that </w:t>
      </w:r>
      <w:r w:rsidRPr="00402927">
        <w:t xml:space="preserve">Australian producers experience </w:t>
      </w:r>
      <w:r>
        <w:t>where they</w:t>
      </w:r>
      <w:r w:rsidRPr="00402927">
        <w:t xml:space="preserve"> face higher input costs because of tariffs.</w:t>
      </w:r>
    </w:p>
    <w:p w14:paraId="70DDA9F6" w14:textId="77777777" w:rsidR="004C5477" w:rsidRDefault="004C5477" w:rsidP="004C5477">
      <w:pPr>
        <w:pStyle w:val="BodyText"/>
      </w:pPr>
      <w:r>
        <w:t>Tariff assistance on outputs consists of two parts:</w:t>
      </w:r>
    </w:p>
    <w:p w14:paraId="70DDA9F7" w14:textId="77777777" w:rsidR="004C5477" w:rsidRDefault="004C5477" w:rsidP="004C5477">
      <w:pPr>
        <w:pStyle w:val="ListBullet"/>
      </w:pPr>
      <w:r>
        <w:t xml:space="preserve">the increase in the cost of imports that is attributable to tariffs </w:t>
      </w:r>
    </w:p>
    <w:p w14:paraId="70DDA9F8" w14:textId="77777777" w:rsidR="004C5477" w:rsidRDefault="004C5477" w:rsidP="004C5477">
      <w:pPr>
        <w:pStyle w:val="ListBullet"/>
      </w:pPr>
      <w:r>
        <w:t xml:space="preserve">the increase in the price of domestically produced goods that is enabled by the presence of tariffs, expressed as a notional subsidy equivalent. </w:t>
      </w:r>
    </w:p>
    <w:p w14:paraId="70DDA9F9" w14:textId="77777777" w:rsidR="004C5477" w:rsidRDefault="004C5477" w:rsidP="004C5477">
      <w:pPr>
        <w:pStyle w:val="BodyText"/>
      </w:pPr>
      <w:r>
        <w:t xml:space="preserve">Input assistance is calculated in a similar way. However, as tariffs penalise local industries by increasing the price of local and imported goods that are used as inputs, the ‘assistance’ is negative. It is presented as the </w:t>
      </w:r>
      <w:r w:rsidR="00967E5A">
        <w:t>‘</w:t>
      </w:r>
      <w:r>
        <w:t>tax equivalent</w:t>
      </w:r>
      <w:r w:rsidR="00967E5A">
        <w:t>’,</w:t>
      </w:r>
      <w:r>
        <w:t xml:space="preserve"> or the increase in costs due to tariffs on goods used as inputs (whether they are produced locally or imported).</w:t>
      </w:r>
    </w:p>
    <w:p w14:paraId="70DDA9FA" w14:textId="77777777" w:rsidR="004E5D4F" w:rsidRDefault="004E5D4F" w:rsidP="004E5D4F">
      <w:pPr>
        <w:pStyle w:val="BodyText"/>
      </w:pPr>
      <w:r>
        <w:t>The estimates of net tariff assistance use a benchmark year to determine the:</w:t>
      </w:r>
    </w:p>
    <w:p w14:paraId="70DDA9FB" w14:textId="77777777" w:rsidR="004E5D4F" w:rsidRDefault="004E5D4F" w:rsidP="004E5D4F">
      <w:pPr>
        <w:pStyle w:val="ListBullet"/>
      </w:pPr>
      <w:r>
        <w:t>input mix used in production — from the benchmark year input-output tables; and</w:t>
      </w:r>
    </w:p>
    <w:p w14:paraId="70DDA9FC" w14:textId="77777777" w:rsidR="004E5D4F" w:rsidRDefault="004E5D4F" w:rsidP="004E5D4F">
      <w:pPr>
        <w:pStyle w:val="ListBullet"/>
      </w:pPr>
      <w:r>
        <w:t>import mix used for both intermediate inputs and consumption — from the benchmark year import data in the input-output tables.</w:t>
      </w:r>
    </w:p>
    <w:p w14:paraId="70DDA9FD" w14:textId="77777777" w:rsidR="004E5D4F" w:rsidRDefault="004E5D4F" w:rsidP="00B44695">
      <w:pPr>
        <w:pStyle w:val="BodyText"/>
      </w:pPr>
      <w:r>
        <w:t>The approach to calculating tariff assistance will vary slightly when estimates are re-benchmarked:</w:t>
      </w:r>
    </w:p>
    <w:p w14:paraId="70DDA9FE" w14:textId="77777777" w:rsidR="004E5D4F" w:rsidRDefault="004E5D4F" w:rsidP="00B44695">
      <w:pPr>
        <w:pStyle w:val="ListBullet"/>
      </w:pPr>
      <w:r>
        <w:t xml:space="preserve">When estimates are being re-benchmarked, the initial input and import mix benchmarks are used to calculate tariff assistance estimates at the benchmark year prices for that benchmark year and a number of subsequent years. </w:t>
      </w:r>
    </w:p>
    <w:p w14:paraId="70DDA9FF" w14:textId="77777777" w:rsidR="004E5D4F" w:rsidRDefault="004E5D4F" w:rsidP="00B44695">
      <w:pPr>
        <w:pStyle w:val="ListBullet"/>
      </w:pPr>
      <w:r>
        <w:t>When estimates are using existing benchmarks, the benchmark year estimates need to be updated to current year values.</w:t>
      </w:r>
    </w:p>
    <w:p w14:paraId="70DDAA00" w14:textId="77777777" w:rsidR="004E5D4F" w:rsidRDefault="004E5D4F" w:rsidP="00B44695">
      <w:pPr>
        <w:pStyle w:val="BodyText"/>
      </w:pPr>
      <w:r>
        <w:t>The latest re</w:t>
      </w:r>
      <w:r>
        <w:noBreakHyphen/>
      </w:r>
      <w:r w:rsidRPr="00D07261">
        <w:t xml:space="preserve">benchmarking </w:t>
      </w:r>
      <w:r w:rsidR="00204285">
        <w:t xml:space="preserve">occurred </w:t>
      </w:r>
      <w:r>
        <w:t xml:space="preserve">in </w:t>
      </w:r>
      <w:r w:rsidR="00204285">
        <w:t xml:space="preserve">the </w:t>
      </w:r>
      <w:r>
        <w:t>2011</w:t>
      </w:r>
      <w:r>
        <w:noBreakHyphen/>
        <w:t>12</w:t>
      </w:r>
      <w:r w:rsidR="00204285">
        <w:t xml:space="preserve"> </w:t>
      </w:r>
      <w:r w:rsidR="00094B40">
        <w:t>TAR</w:t>
      </w:r>
      <w:r>
        <w:t>, using 2008</w:t>
      </w:r>
      <w:r>
        <w:noBreakHyphen/>
      </w:r>
      <w:r w:rsidRPr="00D07261">
        <w:t xml:space="preserve">09 as the </w:t>
      </w:r>
      <w:r>
        <w:t>benchmark year. This resulted in a series of 2008</w:t>
      </w:r>
      <w:r>
        <w:noBreakHyphen/>
      </w:r>
      <w:r w:rsidRPr="00D07261">
        <w:t xml:space="preserve">09 </w:t>
      </w:r>
      <w:r w:rsidRPr="00912DE3">
        <w:t>constant value</w:t>
      </w:r>
      <w:r w:rsidRPr="002468F9">
        <w:t xml:space="preserve"> tariff assistance estimates for </w:t>
      </w:r>
      <w:r>
        <w:t>the years 2008</w:t>
      </w:r>
      <w:r>
        <w:noBreakHyphen/>
        <w:t>09 through to 2015</w:t>
      </w:r>
      <w:r>
        <w:noBreakHyphen/>
      </w:r>
      <w:r w:rsidRPr="00D07261">
        <w:t>16.</w:t>
      </w:r>
      <w:r>
        <w:rPr>
          <w:rStyle w:val="FootnoteReference"/>
        </w:rPr>
        <w:footnoteReference w:id="4"/>
      </w:r>
      <w:r>
        <w:t xml:space="preserve"> </w:t>
      </w:r>
    </w:p>
    <w:p w14:paraId="70DDAA01" w14:textId="77777777" w:rsidR="004C5477" w:rsidRDefault="004C5477" w:rsidP="004C5477">
      <w:pPr>
        <w:pStyle w:val="Heading3"/>
      </w:pPr>
      <w:r>
        <w:lastRenderedPageBreak/>
        <w:t xml:space="preserve">Re-benchmarking </w:t>
      </w:r>
      <w:r w:rsidR="004E5D4F">
        <w:t xml:space="preserve">tariff assistance </w:t>
      </w:r>
      <w:r>
        <w:t>estimates</w:t>
      </w:r>
    </w:p>
    <w:p w14:paraId="70DDAA02" w14:textId="77777777" w:rsidR="00E149B4" w:rsidRDefault="00E2115D" w:rsidP="004C5477">
      <w:pPr>
        <w:pStyle w:val="BodyText"/>
      </w:pPr>
      <w:r>
        <w:t>When</w:t>
      </w:r>
      <w:r w:rsidRPr="00967E5A">
        <w:t xml:space="preserve"> </w:t>
      </w:r>
      <w:r w:rsidR="004C5477" w:rsidRPr="00967E5A">
        <w:t>re</w:t>
      </w:r>
      <w:r w:rsidR="004C5477" w:rsidRPr="00967E5A">
        <w:noBreakHyphen/>
        <w:t xml:space="preserve">benchmarking, tariff assistance is estimated for the benchmark year and all subsequent years for which tariff policies are known, using </w:t>
      </w:r>
      <w:r>
        <w:t xml:space="preserve">benchmark </w:t>
      </w:r>
      <w:r w:rsidR="004C5477" w:rsidRPr="00967E5A">
        <w:t xml:space="preserve">year </w:t>
      </w:r>
      <w:r w:rsidR="00204285">
        <w:t>i</w:t>
      </w:r>
      <w:r w:rsidR="004C5477" w:rsidRPr="00967E5A">
        <w:t>nput</w:t>
      </w:r>
      <w:r w:rsidR="004C5477" w:rsidRPr="00967E5A">
        <w:noBreakHyphen/>
      </w:r>
      <w:r w:rsidR="00204285">
        <w:t>o</w:t>
      </w:r>
      <w:r w:rsidR="004C5477" w:rsidRPr="00967E5A">
        <w:t>utput and import</w:t>
      </w:r>
      <w:r w:rsidR="00967E5A">
        <w:t xml:space="preserve"> data</w:t>
      </w:r>
      <w:r w:rsidR="004C5477" w:rsidRPr="00967E5A">
        <w:t xml:space="preserve">. </w:t>
      </w:r>
      <w:r w:rsidR="00F65AD2">
        <w:t xml:space="preserve">This is done using the Commission’s </w:t>
      </w:r>
      <w:r w:rsidR="00F65AD2" w:rsidRPr="00327B61">
        <w:t>Tariff and Import Database and Estimating System</w:t>
      </w:r>
      <w:r w:rsidR="00F65AD2">
        <w:t xml:space="preserve"> (TIDES) model </w:t>
      </w:r>
      <w:r w:rsidR="0001333A">
        <w:t xml:space="preserve">to generate tariff price effects, which are then combined with confidential ABS </w:t>
      </w:r>
      <w:r w:rsidR="00204285">
        <w:t>i</w:t>
      </w:r>
      <w:r w:rsidR="0001333A">
        <w:t>nput-</w:t>
      </w:r>
      <w:r w:rsidR="00204285">
        <w:t>o</w:t>
      </w:r>
      <w:r w:rsidR="0001333A">
        <w:t xml:space="preserve">utput data (by the ABS) to produce estimates of tariff assistance. </w:t>
      </w:r>
    </w:p>
    <w:p w14:paraId="70DDAA03" w14:textId="77777777" w:rsidR="004C5477" w:rsidRDefault="004C5477" w:rsidP="004C5477">
      <w:pPr>
        <w:pStyle w:val="BodyText"/>
      </w:pPr>
      <w:r w:rsidRPr="00967E5A">
        <w:t>The output of the re</w:t>
      </w:r>
      <w:r w:rsidRPr="00967E5A">
        <w:noBreakHyphen/>
        <w:t>benchmarking exercise is a time</w:t>
      </w:r>
      <w:r w:rsidRPr="00967E5A">
        <w:noBreakHyphen/>
        <w:t xml:space="preserve">series of tariff assistance estimates, expressed in </w:t>
      </w:r>
      <w:r w:rsidR="00B44695">
        <w:t xml:space="preserve">the </w:t>
      </w:r>
      <w:r w:rsidRPr="00967E5A">
        <w:t>benchmark year’s volumes and prices.</w:t>
      </w:r>
      <w:r w:rsidR="00B44695">
        <w:t xml:space="preserve"> Estimates of combined assistance in non-benchmark years rely on this series of tariff assistance estimates as inputs. </w:t>
      </w:r>
      <w:r w:rsidR="00CC09DA">
        <w:t xml:space="preserve">An overview of the steps involved in re-benchmarking tariff assistance estimates is presented in box </w:t>
      </w:r>
      <w:r w:rsidR="00192FF8">
        <w:t>1</w:t>
      </w:r>
      <w:r w:rsidR="00B44695">
        <w:t>.</w:t>
      </w:r>
    </w:p>
    <w:p w14:paraId="70DDAA04" w14:textId="77777777" w:rsidR="00E149B4" w:rsidRDefault="00E149B4" w:rsidP="00E149B4">
      <w:pPr>
        <w:pStyle w:val="BodyText"/>
      </w:pPr>
      <w:r>
        <w:t xml:space="preserve">Using benchmark values for inputs and imports, means that any </w:t>
      </w:r>
      <w:r w:rsidR="00F50C82">
        <w:t xml:space="preserve">observed </w:t>
      </w:r>
      <w:r>
        <w:t xml:space="preserve">changes in rates of assistance </w:t>
      </w:r>
      <w:r w:rsidR="00F50C82">
        <w:t>are attributable to</w:t>
      </w:r>
      <w:r>
        <w:t xml:space="preserve"> changes in tariff arrangements, and not from changes in input or import mix. That is, using benchmarks abstracts from changes in assistance arising from changes in the mix of inputs used by an industry, the share of imported inputs used, or changes in the external competitiveness of import competing industries (which change the share of consumption that is imported in any industry). The approach makes it easy to compare tariff assistance rates over time, and distinguish between the changes in assistance arising from changes in effective rates and those due to changes in industry gross value added.</w:t>
      </w:r>
    </w:p>
    <w:p w14:paraId="70DDAA05" w14:textId="77777777" w:rsidR="0093171E" w:rsidRDefault="0093171E" w:rsidP="0093171E">
      <w:pPr>
        <w:pStyle w:val="BodyText"/>
      </w:pPr>
      <w:r>
        <w:t>The impact of technology and import mix on measured effective rate</w:t>
      </w:r>
      <w:r w:rsidR="009F234C">
        <w:t>s</w:t>
      </w:r>
      <w:r>
        <w:t xml:space="preserve"> of assistance can be gauged from </w:t>
      </w:r>
      <w:r w:rsidR="009F234C">
        <w:t xml:space="preserve">examining </w:t>
      </w:r>
      <w:r>
        <w:t>assistance estimates for overlap</w:t>
      </w:r>
      <w:r w:rsidR="009F234C">
        <w:t>ping years reported in TAR 2013</w:t>
      </w:r>
      <w:r w:rsidR="009F234C">
        <w:noBreakHyphen/>
      </w:r>
      <w:r>
        <w:t xml:space="preserve">14 </w:t>
      </w:r>
      <w:r w:rsidR="00461707">
        <w:t>(figure 2)</w:t>
      </w:r>
      <w:r w:rsidR="009F234C">
        <w:t>. W</w:t>
      </w:r>
      <w:r>
        <w:t>hen assistance estimates based on 2006</w:t>
      </w:r>
      <w:r>
        <w:noBreakHyphen/>
        <w:t>07 were re</w:t>
      </w:r>
      <w:r>
        <w:noBreakHyphen/>
        <w:t>benchmarked to  2008</w:t>
      </w:r>
      <w:r>
        <w:noBreakHyphen/>
        <w:t>09, they produced lower effective rate</w:t>
      </w:r>
      <w:r w:rsidR="009F234C">
        <w:t>s</w:t>
      </w:r>
      <w:r>
        <w:t xml:space="preserve"> of assistance between 2006</w:t>
      </w:r>
      <w:r>
        <w:noBreakHyphen/>
        <w:t>07 to 2008</w:t>
      </w:r>
      <w:r>
        <w:noBreakHyphen/>
        <w:t xml:space="preserve">09 for agriculture. </w:t>
      </w:r>
      <w:r w:rsidR="009F234C">
        <w:t>With re</w:t>
      </w:r>
      <w:r w:rsidR="009F234C">
        <w:noBreakHyphen/>
        <w:t xml:space="preserve">benchmarking, </w:t>
      </w:r>
      <w:r>
        <w:t>the in</w:t>
      </w:r>
      <w:r w:rsidR="009F234C">
        <w:t>p</w:t>
      </w:r>
      <w:r>
        <w:t>ut</w:t>
      </w:r>
      <w:r>
        <w:noBreakHyphen/>
        <w:t>output structure and the import mix changed, but the annual tariff arrangements were the same as before for respective years.</w:t>
      </w:r>
    </w:p>
    <w:p w14:paraId="70DDAA06" w14:textId="25FEC983" w:rsidR="0093171E" w:rsidRDefault="0093171E" w:rsidP="0093171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93171E" w14:paraId="70DDAA09" w14:textId="77777777" w:rsidTr="00C16694">
        <w:trPr>
          <w:tblHeader/>
        </w:trPr>
        <w:tc>
          <w:tcPr>
            <w:tcW w:w="8771" w:type="dxa"/>
            <w:tcBorders>
              <w:top w:val="single" w:sz="6" w:space="0" w:color="78A22F"/>
              <w:left w:val="nil"/>
              <w:bottom w:val="nil"/>
              <w:right w:val="nil"/>
            </w:tcBorders>
            <w:shd w:val="clear" w:color="auto" w:fill="auto"/>
          </w:tcPr>
          <w:p w14:paraId="70DDAA07" w14:textId="2F5254D3" w:rsidR="0093171E" w:rsidRDefault="0093171E" w:rsidP="00C16694">
            <w:pPr>
              <w:pStyle w:val="FigureTitle"/>
            </w:pPr>
            <w:r w:rsidRPr="00784A05">
              <w:rPr>
                <w:b w:val="0"/>
              </w:rPr>
              <w:t xml:space="preserve">Figure </w:t>
            </w:r>
            <w:r w:rsidR="008C264E">
              <w:rPr>
                <w:b w:val="0"/>
                <w:noProof/>
              </w:rPr>
              <w:t>2</w:t>
            </w:r>
            <w:r>
              <w:tab/>
              <w:t>Effective ra</w:t>
            </w:r>
            <w:r w:rsidR="009F234C">
              <w:t>t</w:t>
            </w:r>
            <w:r>
              <w:t>es of assistance to manufacturing and agriculture, 1970-71 to 2013-14</w:t>
            </w:r>
          </w:p>
          <w:p w14:paraId="70DDAA08" w14:textId="77777777" w:rsidR="0093171E" w:rsidRPr="00176D3F" w:rsidRDefault="0093171E" w:rsidP="00C16694">
            <w:pPr>
              <w:pStyle w:val="Subtitle"/>
            </w:pPr>
            <w:r>
              <w:t>Per cent</w:t>
            </w:r>
          </w:p>
        </w:tc>
      </w:tr>
      <w:tr w:rsidR="0093171E" w14:paraId="70DDAA0D" w14:textId="77777777" w:rsidTr="00C1669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93171E" w:rsidRPr="00B1465D" w14:paraId="70DDAA0B" w14:textId="77777777" w:rsidTr="00C16694">
              <w:trPr>
                <w:tblHeader/>
                <w:jc w:val="center"/>
              </w:trPr>
              <w:tc>
                <w:tcPr>
                  <w:tcW w:w="5000" w:type="pct"/>
                  <w:tcBorders>
                    <w:top w:val="nil"/>
                    <w:bottom w:val="nil"/>
                  </w:tcBorders>
                </w:tcPr>
                <w:p w14:paraId="70DDAA0A" w14:textId="30F68E87" w:rsidR="0093171E" w:rsidRPr="00B1465D" w:rsidRDefault="00C139BE" w:rsidP="00C16694">
                  <w:pPr>
                    <w:pStyle w:val="Figure"/>
                    <w:spacing w:before="60" w:after="6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14:anchorId="70DDAF68" wp14:editId="70DDAF69">
                            <wp:simplePos x="0" y="0"/>
                            <wp:positionH relativeFrom="column">
                              <wp:posOffset>3372485</wp:posOffset>
                            </wp:positionH>
                            <wp:positionV relativeFrom="paragraph">
                              <wp:posOffset>737870</wp:posOffset>
                            </wp:positionV>
                            <wp:extent cx="1162050" cy="469900"/>
                            <wp:effectExtent l="0" t="0" r="19050" b="25400"/>
                            <wp:wrapNone/>
                            <wp:docPr id="40" name="Text Box 40"/>
                            <wp:cNvGraphicFramePr/>
                            <a:graphic xmlns:a="http://schemas.openxmlformats.org/drawingml/2006/main">
                              <a:graphicData uri="http://schemas.microsoft.com/office/word/2010/wordprocessingShape">
                                <wps:wsp>
                                  <wps:cNvSpPr txBox="1"/>
                                  <wps:spPr>
                                    <a:xfrm>
                                      <a:off x="0" y="0"/>
                                      <a:ext cx="1162050" cy="4699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DAFDB" w14:textId="77777777" w:rsidR="00EE323B" w:rsidRPr="00C139BE" w:rsidRDefault="00EE323B" w:rsidP="00C139BE">
                                        <w:pPr>
                                          <w:jc w:val="center"/>
                                          <w:rPr>
                                            <w:rFonts w:asciiTheme="minorHAnsi" w:hAnsiTheme="minorHAnsi" w:cstheme="minorHAnsi"/>
                                            <w:sz w:val="16"/>
                                            <w:szCs w:val="16"/>
                                          </w:rPr>
                                        </w:pPr>
                                        <w:r w:rsidRPr="00C139BE">
                                          <w:rPr>
                                            <w:rFonts w:asciiTheme="minorHAnsi" w:hAnsiTheme="minorHAnsi" w:cstheme="minorHAnsi"/>
                                            <w:sz w:val="16"/>
                                            <w:szCs w:val="16"/>
                                          </w:rPr>
                                          <w:t>Estimates produced with alternative benchmarks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DAF68" id="_x0000_t202" coordsize="21600,21600" o:spt="202" path="m,l,21600r21600,l21600,xe">
                            <v:stroke joinstyle="miter"/>
                            <v:path gradientshapeok="t" o:connecttype="rect"/>
                          </v:shapetype>
                          <v:shape id="Text Box 40" o:spid="_x0000_s1026" type="#_x0000_t202" style="position:absolute;left:0;text-align:left;margin-left:265.55pt;margin-top:58.1pt;width:91.5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" fillcolor="white [3201]" strokeweight="1pt">
                            <v:textbox>
                              <w:txbxContent>
                                <w:p w14:paraId="70DDAFDB" w14:textId="77777777" w:rsidR="00EE323B" w:rsidRPr="00C139BE" w:rsidRDefault="00EE323B" w:rsidP="00C139BE">
                                  <w:pPr>
                                    <w:jc w:val="center"/>
                                    <w:rPr>
                                      <w:rFonts w:asciiTheme="minorHAnsi" w:hAnsiTheme="minorHAnsi" w:cstheme="minorHAnsi"/>
                                      <w:sz w:val="16"/>
                                      <w:szCs w:val="16"/>
                                    </w:rPr>
                                  </w:pPr>
                                  <w:r w:rsidRPr="00C139BE">
                                    <w:rPr>
                                      <w:rFonts w:asciiTheme="minorHAnsi" w:hAnsiTheme="minorHAnsi" w:cstheme="minorHAnsi"/>
                                      <w:sz w:val="16"/>
                                      <w:szCs w:val="16"/>
                                    </w:rPr>
                                    <w:t>Estimates produced with alternative benchmarks</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3360" behindDoc="0" locked="0" layoutInCell="1" allowOverlap="1" wp14:anchorId="70DDAF6A" wp14:editId="70DDAF6B">
                            <wp:simplePos x="0" y="0"/>
                            <wp:positionH relativeFrom="column">
                              <wp:posOffset>3918585</wp:posOffset>
                            </wp:positionH>
                            <wp:positionV relativeFrom="paragraph">
                              <wp:posOffset>1207770</wp:posOffset>
                            </wp:positionV>
                            <wp:extent cx="425450" cy="768350"/>
                            <wp:effectExtent l="0" t="0" r="50800" b="50800"/>
                            <wp:wrapNone/>
                            <wp:docPr id="38" name="Straight Arrow Connector 38"/>
                            <wp:cNvGraphicFramePr/>
                            <a:graphic xmlns:a="http://schemas.openxmlformats.org/drawingml/2006/main">
                              <a:graphicData uri="http://schemas.microsoft.com/office/word/2010/wordprocessingShape">
                                <wps:wsp>
                                  <wps:cNvCnPr/>
                                  <wps:spPr>
                                    <a:xfrm>
                                      <a:off x="0" y="0"/>
                                      <a:ext cx="425450" cy="768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27D634" id="_x0000_t32" coordsize="21600,21600" o:spt="32" o:oned="t" path="m,l21600,21600e" filled="f">
                            <v:path arrowok="t" fillok="f" o:connecttype="none"/>
                            <o:lock v:ext="edit" shapetype="t"/>
                          </v:shapetype>
                          <v:shape id="Straight Arrow Connector 38" o:spid="_x0000_s1026" type="#_x0000_t32" style="position:absolute;margin-left:308.55pt;margin-top:95.1pt;width:33.5pt;height:6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" strokecolor="black [3213]">
                            <v:stroke endarrow="open"/>
                          </v:shape>
                        </w:pict>
                      </mc:Fallback>
                    </mc:AlternateContent>
                  </w:r>
                  <w:r>
                    <w:rPr>
                      <w:rFonts w:ascii="Arial" w:hAnsi="Arial" w:cs="Arial"/>
                      <w:noProof/>
                      <w:sz w:val="18"/>
                      <w:szCs w:val="18"/>
                    </w:rPr>
                    <mc:AlternateContent>
                      <mc:Choice Requires="wps">
                        <w:drawing>
                          <wp:anchor distT="0" distB="0" distL="114300" distR="114300" simplePos="0" relativeHeight="251662336" behindDoc="0" locked="0" layoutInCell="1" allowOverlap="1" wp14:anchorId="70DDAF6C" wp14:editId="70DDAF6D">
                            <wp:simplePos x="0" y="0"/>
                            <wp:positionH relativeFrom="column">
                              <wp:posOffset>4185285</wp:posOffset>
                            </wp:positionH>
                            <wp:positionV relativeFrom="paragraph">
                              <wp:posOffset>1817370</wp:posOffset>
                            </wp:positionV>
                            <wp:extent cx="400050" cy="476250"/>
                            <wp:effectExtent l="0" t="0" r="19050" b="19050"/>
                            <wp:wrapNone/>
                            <wp:docPr id="37" name="Oval 37"/>
                            <wp:cNvGraphicFramePr/>
                            <a:graphic xmlns:a="http://schemas.openxmlformats.org/drawingml/2006/main">
                              <a:graphicData uri="http://schemas.microsoft.com/office/word/2010/wordprocessingShape">
                                <wps:wsp>
                                  <wps:cNvSpPr/>
                                  <wps:spPr>
                                    <a:xfrm>
                                      <a:off x="0" y="0"/>
                                      <a:ext cx="400050" cy="476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0C6C23" id="Oval 37" o:spid="_x0000_s1026" style="position:absolute;margin-left:329.55pt;margin-top:143.1pt;width:31.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" filled="f" strokecolor="red" strokeweight="2pt"/>
                        </w:pict>
                      </mc:Fallback>
                    </mc:AlternateContent>
                  </w:r>
                  <w:r w:rsidR="00D450C5" w:rsidRPr="00D450C5">
                    <w:rPr>
                      <w:rFonts w:ascii="Arial" w:hAnsi="Arial" w:cs="Arial"/>
                      <w:noProof/>
                      <w:sz w:val="18"/>
                      <w:szCs w:val="18"/>
                    </w:rPr>
                    <w:drawing>
                      <wp:inline distT="0" distB="0" distL="0" distR="0" wp14:anchorId="701D3DD1" wp14:editId="72B3E0DE">
                        <wp:extent cx="5394960" cy="2872740"/>
                        <wp:effectExtent l="0" t="0" r="0" b="3810"/>
                        <wp:docPr id="10" name="Picture 10" descr="Figure 2 Effective rates of assistance to manufacturing and agriculture, 1970 71 to 2013 14&#10;&#10;This figure shows the effective rate of assistance for manufacturing and agriculture have both declined from around 30 per cent in 1970 to around 5 per cent by 2000 with some further reduction to 2017-18. The figure highlights significant milestones over the period: the 1973 across the board cut in tariffs; commencement of phasing out of TCF quotas in 1987; tariff cuts in the May 1988 Economic Statement; tariff cuts in the 1991 Building Competitive Australia initiative; the end of TCF quotas in 1993; setting the maximum automotive tariff at 5 per cent in 2010 and setting the maximum TCF tariff at 5 per cent in 20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4960" cy="2872740"/>
                                </a:xfrm>
                                <a:prstGeom prst="rect">
                                  <a:avLst/>
                                </a:prstGeom>
                                <a:noFill/>
                                <a:ln>
                                  <a:noFill/>
                                </a:ln>
                              </pic:spPr>
                            </pic:pic>
                          </a:graphicData>
                        </a:graphic>
                      </wp:inline>
                    </w:drawing>
                  </w:r>
                </w:p>
              </w:tc>
            </w:tr>
          </w:tbl>
          <w:p w14:paraId="70DDAA0C" w14:textId="77777777" w:rsidR="0093171E" w:rsidRDefault="0093171E" w:rsidP="00C16694">
            <w:pPr>
              <w:pStyle w:val="Figure"/>
            </w:pPr>
          </w:p>
        </w:tc>
      </w:tr>
      <w:tr w:rsidR="0093171E" w:rsidRPr="00176D3F" w14:paraId="70DDAA0F" w14:textId="77777777" w:rsidTr="00C16694">
        <w:tc>
          <w:tcPr>
            <w:tcW w:w="8771" w:type="dxa"/>
            <w:tcBorders>
              <w:top w:val="nil"/>
              <w:left w:val="nil"/>
              <w:bottom w:val="nil"/>
              <w:right w:val="nil"/>
            </w:tcBorders>
            <w:shd w:val="clear" w:color="auto" w:fill="auto"/>
          </w:tcPr>
          <w:p w14:paraId="70DDAA0E" w14:textId="21129BF4" w:rsidR="0093171E" w:rsidRPr="00176D3F" w:rsidRDefault="0093171E" w:rsidP="00C16694">
            <w:pPr>
              <w:pStyle w:val="Source"/>
            </w:pPr>
            <w:r w:rsidRPr="00784A05">
              <w:rPr>
                <w:i/>
              </w:rPr>
              <w:t>Data source</w:t>
            </w:r>
            <w:r w:rsidRPr="00176D3F">
              <w:t xml:space="preserve">: </w:t>
            </w:r>
            <w:r w:rsidR="009F234C" w:rsidRPr="009F234C">
              <w:rPr>
                <w:rFonts w:cs="Arial"/>
                <w:szCs w:val="24"/>
              </w:rPr>
              <w:t>(PC 2015, p. 118)</w:t>
            </w:r>
          </w:p>
        </w:tc>
      </w:tr>
      <w:tr w:rsidR="0093171E" w14:paraId="70DDAA11" w14:textId="77777777" w:rsidTr="00C16694">
        <w:tc>
          <w:tcPr>
            <w:tcW w:w="8771" w:type="dxa"/>
            <w:tcBorders>
              <w:top w:val="nil"/>
              <w:left w:val="nil"/>
              <w:bottom w:val="single" w:sz="6" w:space="0" w:color="78A22F"/>
              <w:right w:val="nil"/>
            </w:tcBorders>
            <w:shd w:val="clear" w:color="auto" w:fill="auto"/>
          </w:tcPr>
          <w:p w14:paraId="70DDAA10" w14:textId="77777777" w:rsidR="0093171E" w:rsidRDefault="0093171E" w:rsidP="00C16694">
            <w:pPr>
              <w:pStyle w:val="Figurespace"/>
            </w:pPr>
          </w:p>
        </w:tc>
      </w:tr>
      <w:tr w:rsidR="0093171E" w:rsidRPr="000863A5" w14:paraId="70DDAA13" w14:textId="77777777" w:rsidTr="00C16694">
        <w:tc>
          <w:tcPr>
            <w:tcW w:w="8771" w:type="dxa"/>
            <w:tcBorders>
              <w:top w:val="single" w:sz="6" w:space="0" w:color="78A22F"/>
              <w:left w:val="nil"/>
              <w:bottom w:val="nil"/>
              <w:right w:val="nil"/>
            </w:tcBorders>
          </w:tcPr>
          <w:p w14:paraId="70DDAA12" w14:textId="2BA03009" w:rsidR="0093171E" w:rsidRPr="00626D32" w:rsidRDefault="0093171E" w:rsidP="00C16694">
            <w:pPr>
              <w:pStyle w:val="BoxSpaceBelow"/>
            </w:pPr>
          </w:p>
        </w:tc>
      </w:tr>
    </w:tbl>
    <w:p w14:paraId="70DDAA14" w14:textId="77777777" w:rsidR="00E149B4" w:rsidRDefault="00E149B4" w:rsidP="004C5477">
      <w:pPr>
        <w:pStyle w:val="BodyText"/>
      </w:pPr>
      <w:r>
        <w:t xml:space="preserve">To the extent that the </w:t>
      </w:r>
      <w:r w:rsidR="00204285">
        <w:t>structure</w:t>
      </w:r>
      <w:r>
        <w:t xml:space="preserve"> </w:t>
      </w:r>
      <w:r w:rsidR="00434BD9">
        <w:t xml:space="preserve">of </w:t>
      </w:r>
      <w:r>
        <w:t>inputs and imports change</w:t>
      </w:r>
      <w:r w:rsidR="00204285">
        <w:t>s</w:t>
      </w:r>
      <w:r>
        <w:t xml:space="preserve"> slowly, re</w:t>
      </w:r>
      <w:r>
        <w:noBreakHyphen/>
        <w:t>benchmarking can be undertaken every few years. In the past, re</w:t>
      </w:r>
      <w:r>
        <w:noBreakHyphen/>
        <w:t xml:space="preserve">benchmarking was determined by the production of the </w:t>
      </w:r>
      <w:r w:rsidR="00204285">
        <w:t>i</w:t>
      </w:r>
      <w:r>
        <w:t>nput</w:t>
      </w:r>
      <w:r>
        <w:noBreakHyphen/>
      </w:r>
      <w:r w:rsidR="00204285">
        <w:t>o</w:t>
      </w:r>
      <w:r>
        <w:t>utput tables. However, these are now being produced biannually. The import data is available annually, but at a substantial financial cost, so the approach has been to re</w:t>
      </w:r>
      <w:r>
        <w:noBreakHyphen/>
        <w:t>benchmark both the input and import mix at the same time. Re</w:t>
      </w:r>
      <w:r>
        <w:noBreakHyphen/>
        <w:t>benchmarking the import data separately to the input data is possible, but would involve large time costs, and would represent a change from previous practice.</w:t>
      </w:r>
    </w:p>
    <w:p w14:paraId="70DDAA15" w14:textId="3B5F9253" w:rsidR="00CC09DA" w:rsidRDefault="00CC09DA" w:rsidP="00CC09D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CC09DA" w14:paraId="70DDAA17" w14:textId="77777777" w:rsidTr="00B0718B">
        <w:tc>
          <w:tcPr>
            <w:tcW w:w="8771" w:type="dxa"/>
            <w:tcBorders>
              <w:top w:val="single" w:sz="6" w:space="0" w:color="78A22F"/>
              <w:left w:val="nil"/>
              <w:bottom w:val="nil"/>
              <w:right w:val="nil"/>
            </w:tcBorders>
            <w:shd w:val="clear" w:color="auto" w:fill="F2F2F2"/>
          </w:tcPr>
          <w:p w14:paraId="70DDAA16" w14:textId="71FDF36F" w:rsidR="00CC09DA" w:rsidRDefault="00CC09DA" w:rsidP="00B0718B">
            <w:pPr>
              <w:pStyle w:val="BoxTitle"/>
            </w:pPr>
            <w:r>
              <w:rPr>
                <w:b w:val="0"/>
              </w:rPr>
              <w:t xml:space="preserve">Box </w:t>
            </w:r>
            <w:bookmarkStart w:id="4" w:name="OLE_LINK6"/>
            <w:r w:rsidR="008C264E">
              <w:rPr>
                <w:b w:val="0"/>
                <w:noProof/>
              </w:rPr>
              <w:t>1</w:t>
            </w:r>
            <w:bookmarkEnd w:id="4"/>
            <w:r>
              <w:tab/>
              <w:t>Steps in re</w:t>
            </w:r>
            <w:r>
              <w:noBreakHyphen/>
              <w:t>benchmarking tariff assistance</w:t>
            </w:r>
          </w:p>
        </w:tc>
      </w:tr>
      <w:tr w:rsidR="00CC09DA" w14:paraId="70DDAA1B" w14:textId="77777777" w:rsidTr="00B0718B">
        <w:tc>
          <w:tcPr>
            <w:tcW w:w="8771" w:type="dxa"/>
            <w:tcBorders>
              <w:top w:val="nil"/>
              <w:left w:val="nil"/>
              <w:bottom w:val="nil"/>
              <w:right w:val="nil"/>
            </w:tcBorders>
            <w:shd w:val="clear" w:color="auto" w:fill="F2F2F2"/>
          </w:tcPr>
          <w:p w14:paraId="70DDAA18" w14:textId="77777777" w:rsidR="00CC09DA" w:rsidRDefault="00CC09DA" w:rsidP="00B0718B">
            <w:pPr>
              <w:pStyle w:val="Box"/>
            </w:pPr>
            <w:r>
              <w:t>Re</w:t>
            </w:r>
            <w:r>
              <w:noBreakHyphen/>
              <w:t xml:space="preserve">benchmarking tariff assistance is undertaken periodically, and requires estimation of tariff assistance for the base and subsequent years. Estimates of assistance for subsequent years are derived from the benchmark year assuming that the mix of inputs and outputs, and the mix of imports for intermediate inputs remain constant. </w:t>
            </w:r>
            <w:r w:rsidR="00204285">
              <w:t>Current e</w:t>
            </w:r>
            <w:r>
              <w:t>stimates for subsequent years are produced in constant 2008</w:t>
            </w:r>
            <w:r w:rsidR="00BF67AC">
              <w:noBreakHyphen/>
            </w:r>
            <w:r>
              <w:t xml:space="preserve">09 dollars using input-output data from the benchmark year and expected tariff rates for the relevant year. </w:t>
            </w:r>
          </w:p>
          <w:p w14:paraId="70DDAA19" w14:textId="77777777" w:rsidR="00CC09DA" w:rsidRDefault="00CC09DA" w:rsidP="00B0718B">
            <w:pPr>
              <w:pStyle w:val="Box"/>
            </w:pPr>
            <w:r>
              <w:t>The process consists of three steps, as summarised in the following diagram.</w:t>
            </w:r>
          </w:p>
          <w:p w14:paraId="70DDAA1A" w14:textId="30F27BF0" w:rsidR="00CC09DA" w:rsidRDefault="00D450C5" w:rsidP="00B0718B">
            <w:pPr>
              <w:pStyle w:val="Box"/>
              <w:jc w:val="center"/>
            </w:pPr>
            <w:r w:rsidRPr="00D450C5">
              <w:rPr>
                <w:noProof/>
              </w:rPr>
              <w:drawing>
                <wp:inline distT="0" distB="0" distL="0" distR="0" wp14:anchorId="51CB3291" wp14:editId="3B8F6052">
                  <wp:extent cx="5364480" cy="4160520"/>
                  <wp:effectExtent l="0" t="0" r="7620" b="0"/>
                  <wp:docPr id="11" name="Picture 11" descr="Figure in Box 1 Steps in re benchmarking tariff assistance&#10;&#10;This figure is a flow diagram showing various steps undertaken in re benchmarking of tariff assistance estimates. The first step involves estimating impact of tariffs on domestic output and input prices by using the Commission’s TIDES model. The second step applies these price vectors to an input output data to produce estimates of output assistance and input penalties due to tariffs by using the Commission’s TAM model. The third step involves consolidating the estimated results to produce assistance estimates for 38 industries as reported in Trade and Assistance Revie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4480" cy="4160520"/>
                          </a:xfrm>
                          <a:prstGeom prst="rect">
                            <a:avLst/>
                          </a:prstGeom>
                          <a:noFill/>
                          <a:ln>
                            <a:noFill/>
                          </a:ln>
                        </pic:spPr>
                      </pic:pic>
                    </a:graphicData>
                  </a:graphic>
                </wp:inline>
              </w:drawing>
            </w:r>
          </w:p>
        </w:tc>
      </w:tr>
      <w:tr w:rsidR="00CC09DA" w14:paraId="70DDAA1D" w14:textId="77777777" w:rsidTr="00B0718B">
        <w:tc>
          <w:tcPr>
            <w:tcW w:w="8771" w:type="dxa"/>
            <w:tcBorders>
              <w:top w:val="nil"/>
              <w:left w:val="nil"/>
              <w:bottom w:val="single" w:sz="6" w:space="0" w:color="78A22F"/>
              <w:right w:val="nil"/>
            </w:tcBorders>
            <w:shd w:val="clear" w:color="auto" w:fill="F2F2F2"/>
          </w:tcPr>
          <w:p w14:paraId="70DDAA1C" w14:textId="77777777" w:rsidR="00CC09DA" w:rsidRDefault="00CC09DA" w:rsidP="00B0718B">
            <w:pPr>
              <w:pStyle w:val="Box"/>
              <w:spacing w:before="0" w:line="120" w:lineRule="exact"/>
            </w:pPr>
          </w:p>
        </w:tc>
      </w:tr>
      <w:tr w:rsidR="00CC09DA" w:rsidRPr="000863A5" w14:paraId="70DDAA1F" w14:textId="77777777" w:rsidTr="00B0718B">
        <w:tc>
          <w:tcPr>
            <w:tcW w:w="8771" w:type="dxa"/>
            <w:tcBorders>
              <w:top w:val="single" w:sz="6" w:space="0" w:color="78A22F"/>
              <w:left w:val="nil"/>
              <w:bottom w:val="nil"/>
              <w:right w:val="nil"/>
            </w:tcBorders>
          </w:tcPr>
          <w:p w14:paraId="70DDAA1E" w14:textId="5C7D57D0" w:rsidR="00CC09DA" w:rsidRPr="00626D32" w:rsidRDefault="00CC09DA" w:rsidP="00B0718B">
            <w:pPr>
              <w:pStyle w:val="BoxSpaceBelow"/>
            </w:pPr>
          </w:p>
        </w:tc>
      </w:tr>
    </w:tbl>
    <w:p w14:paraId="70DDAA20" w14:textId="0A3EBC16" w:rsidR="00967E5A" w:rsidRDefault="00967E5A" w:rsidP="004C5477">
      <w:pPr>
        <w:pStyle w:val="BodyText"/>
      </w:pPr>
      <w:r w:rsidRPr="00CE6936">
        <w:t>More information on the production of the initial benchmarks is provided in the Methodological Annex to the 2011</w:t>
      </w:r>
      <w:r w:rsidRPr="00CE6936">
        <w:noBreakHyphen/>
        <w:t>12 TAR (PC 2014).</w:t>
      </w:r>
      <w:r>
        <w:t xml:space="preserve"> Documentation of the procedures involved in updating the TAR benchmarks could be produced as part of the next re-benchmarking process.</w:t>
      </w:r>
    </w:p>
    <w:p w14:paraId="70DDAA21" w14:textId="77777777" w:rsidR="004C5477" w:rsidRDefault="004C5477" w:rsidP="004C5477">
      <w:pPr>
        <w:pStyle w:val="Heading3"/>
      </w:pPr>
      <w:r>
        <w:t xml:space="preserve">Updating constant value </w:t>
      </w:r>
      <w:r w:rsidR="00E149B4">
        <w:t xml:space="preserve">tariff assistance </w:t>
      </w:r>
      <w:r>
        <w:t>estimates to current year values</w:t>
      </w:r>
    </w:p>
    <w:p w14:paraId="70DDAA22" w14:textId="77777777" w:rsidR="004C5477" w:rsidRDefault="0053684D" w:rsidP="00F12718">
      <w:pPr>
        <w:pStyle w:val="BodyText"/>
      </w:pPr>
      <w:r>
        <w:t>After tariff assistance estimates have been calculated at ‘</w:t>
      </w:r>
      <w:r w:rsidR="00E2115D">
        <w:t>benchmark</w:t>
      </w:r>
      <w:r>
        <w:t xml:space="preserve"> year constant value’, they are updated to current year values </w:t>
      </w:r>
      <w:r w:rsidR="004C5477">
        <w:t xml:space="preserve">using </w:t>
      </w:r>
      <w:r w:rsidR="00F12718">
        <w:t>‘</w:t>
      </w:r>
      <w:r w:rsidR="004C5477">
        <w:t>adjustment factors</w:t>
      </w:r>
      <w:r w:rsidR="00F12718">
        <w:t>’</w:t>
      </w:r>
      <w:r w:rsidR="004C5477">
        <w:t xml:space="preserve"> reflecting the rate of growth </w:t>
      </w:r>
      <w:r w:rsidR="00204285">
        <w:t xml:space="preserve">of the </w:t>
      </w:r>
      <w:r w:rsidR="00204285" w:rsidRPr="00434BD9">
        <w:rPr>
          <w:i/>
        </w:rPr>
        <w:t>value</w:t>
      </w:r>
      <w:r w:rsidR="00204285">
        <w:t xml:space="preserve"> of industry outputs</w:t>
      </w:r>
      <w:r w:rsidR="00F12718">
        <w:t xml:space="preserve">. </w:t>
      </w:r>
      <w:r w:rsidR="0093171E">
        <w:t xml:space="preserve">As the rate of growth is different across industries, </w:t>
      </w:r>
      <w:r w:rsidR="0093171E">
        <w:lastRenderedPageBreak/>
        <w:t xml:space="preserve">the relativities between the updated estimates will change. </w:t>
      </w:r>
      <w:r w:rsidR="00F12718">
        <w:t xml:space="preserve">The process for updating tariff assistance measures is shown in </w:t>
      </w:r>
      <w:r w:rsidR="004C5477">
        <w:t>figure </w:t>
      </w:r>
      <w:r w:rsidR="00192FF8">
        <w:t>3</w:t>
      </w:r>
      <w:r w:rsidR="004C5477">
        <w:t xml:space="preserve">. ABS estimates of gross value added (GVA) at current prices by industry division are used to calculate the adjustment factors. Implicit in this approach is the simplifying assumption that the values of inputs and outputs have moved proportionately between the base year and current year. </w:t>
      </w:r>
    </w:p>
    <w:p w14:paraId="70DDAA23" w14:textId="77777777" w:rsidR="00204285" w:rsidRDefault="00204285" w:rsidP="00E278AE">
      <w:pPr>
        <w:pStyle w:val="Heading4"/>
      </w:pPr>
      <w:r>
        <w:t>Mining is a special case</w:t>
      </w:r>
    </w:p>
    <w:p w14:paraId="70DDAA24" w14:textId="77777777" w:rsidR="00063679" w:rsidRDefault="004C5477" w:rsidP="004C5477">
      <w:pPr>
        <w:pStyle w:val="BodyText"/>
      </w:pPr>
      <w:r>
        <w:t xml:space="preserve">This assumption of </w:t>
      </w:r>
      <w:r w:rsidR="00204285">
        <w:t>no</w:t>
      </w:r>
      <w:r>
        <w:t xml:space="preserve"> change in the input mix for each industry may not apply in the event of substantial changes in an industry’s input and output prices</w:t>
      </w:r>
      <w:r w:rsidR="00BE489E">
        <w:t xml:space="preserve"> and exchange rates</w:t>
      </w:r>
      <w:r>
        <w:t xml:space="preserve">, as was observed during the recent boom and bust in the Mining industry. As the bust set in (during the period covering 2013-14), the </w:t>
      </w:r>
      <w:r w:rsidR="00F12718">
        <w:t xml:space="preserve">change in the </w:t>
      </w:r>
      <w:r>
        <w:t>GVA at current prices was driven by a significant fall in commodity prices without a corresponding fall in the input side, and the industry continued to expand. Mining gains little benefit from tariffs, but is penalized by tariffs on its inputs.</w:t>
      </w:r>
    </w:p>
    <w:p w14:paraId="70DDAA25" w14:textId="77777777" w:rsidR="004C5477" w:rsidRDefault="00E278AE" w:rsidP="004C5477">
      <w:pPr>
        <w:pStyle w:val="BodyText"/>
      </w:pPr>
      <w:r>
        <w:t>A</w:t>
      </w:r>
      <w:r w:rsidR="004C5477">
        <w:t>pplying the change in GVA at current prices to input assistance would understate the input cost penalty faced by the industry</w:t>
      </w:r>
      <w:r w:rsidR="00063679">
        <w:t>, an alternative treatment was applied</w:t>
      </w:r>
      <w:r w:rsidR="004C5477">
        <w:t xml:space="preserve">. To overcome this valuation problem, the chain volume measure of GVA was taken to represent what was happening to the </w:t>
      </w:r>
      <w:r w:rsidR="00063679">
        <w:t xml:space="preserve">input and import mix for the </w:t>
      </w:r>
      <w:r w:rsidR="004C5477">
        <w:t>industry.</w:t>
      </w:r>
    </w:p>
    <w:p w14:paraId="70DDAA26" w14:textId="4F9EA259" w:rsidR="004C5477" w:rsidRDefault="004C5477" w:rsidP="004C5477">
      <w:pPr>
        <w:pStyle w:val="BodyText"/>
        <w:keepNext/>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C5477" w14:paraId="70DDAA28" w14:textId="77777777" w:rsidTr="00B0718B">
        <w:trPr>
          <w:tblHeader/>
        </w:trPr>
        <w:tc>
          <w:tcPr>
            <w:tcW w:w="8771" w:type="dxa"/>
            <w:tcBorders>
              <w:top w:val="single" w:sz="6" w:space="0" w:color="78A22F"/>
              <w:left w:val="nil"/>
              <w:bottom w:val="nil"/>
              <w:right w:val="nil"/>
            </w:tcBorders>
            <w:shd w:val="clear" w:color="auto" w:fill="auto"/>
          </w:tcPr>
          <w:p w14:paraId="70DDAA27" w14:textId="3707EB51" w:rsidR="004C5477" w:rsidRPr="00176D3F" w:rsidRDefault="004C5477" w:rsidP="00B0718B">
            <w:pPr>
              <w:pStyle w:val="FigureTitle"/>
            </w:pPr>
            <w:r w:rsidRPr="00784A05">
              <w:rPr>
                <w:b w:val="0"/>
              </w:rPr>
              <w:t xml:space="preserve">Figure </w:t>
            </w:r>
            <w:bookmarkStart w:id="5" w:name="OLE_LINK7"/>
            <w:r w:rsidR="00192FF8">
              <w:rPr>
                <w:b w:val="0"/>
                <w:noProof/>
              </w:rPr>
              <w:t>3</w:t>
            </w:r>
            <w:bookmarkEnd w:id="5"/>
            <w:r w:rsidRPr="00F12718">
              <w:tab/>
            </w:r>
            <w:r>
              <w:t>U</w:t>
            </w:r>
            <w:r w:rsidRPr="00033B57">
              <w:rPr>
                <w:bCs/>
              </w:rPr>
              <w:t>pdating tariff assistance estimates</w:t>
            </w:r>
            <w:r>
              <w:rPr>
                <w:bCs/>
              </w:rPr>
              <w:t xml:space="preserve"> to 2013</w:t>
            </w:r>
            <w:r>
              <w:rPr>
                <w:bCs/>
              </w:rPr>
              <w:noBreakHyphen/>
              <w:t>14 prices</w:t>
            </w:r>
          </w:p>
        </w:tc>
      </w:tr>
      <w:tr w:rsidR="004C5477" w14:paraId="70DDAA2C" w14:textId="77777777" w:rsidTr="00B0718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4C5477" w:rsidRPr="00B1465D" w14:paraId="70DDAA2A" w14:textId="77777777" w:rsidTr="00B0718B">
              <w:trPr>
                <w:tblHeader/>
                <w:jc w:val="center"/>
              </w:trPr>
              <w:tc>
                <w:tcPr>
                  <w:tcW w:w="5000" w:type="pct"/>
                  <w:tcBorders>
                    <w:top w:val="nil"/>
                    <w:bottom w:val="nil"/>
                  </w:tcBorders>
                </w:tcPr>
                <w:p w14:paraId="70DDAA29" w14:textId="29ED441B" w:rsidR="004C5477" w:rsidRPr="00B1465D" w:rsidRDefault="00D450C5" w:rsidP="00B0718B">
                  <w:pPr>
                    <w:pStyle w:val="Figure"/>
                    <w:spacing w:before="60" w:after="60"/>
                    <w:rPr>
                      <w:rFonts w:ascii="Arial" w:hAnsi="Arial" w:cs="Arial"/>
                      <w:sz w:val="18"/>
                      <w:szCs w:val="18"/>
                    </w:rPr>
                  </w:pPr>
                  <w:r w:rsidRPr="00D450C5">
                    <w:rPr>
                      <w:rFonts w:ascii="Arial" w:hAnsi="Arial" w:cs="Arial"/>
                      <w:noProof/>
                      <w:sz w:val="18"/>
                      <w:szCs w:val="18"/>
                    </w:rPr>
                    <w:drawing>
                      <wp:inline distT="0" distB="0" distL="0" distR="0" wp14:anchorId="6C2F060A" wp14:editId="5767F735">
                        <wp:extent cx="5387340" cy="3619500"/>
                        <wp:effectExtent l="0" t="0" r="3810" b="0"/>
                        <wp:docPr id="12" name="Picture 12" descr="Figure 3 Updating tariff assistance estimates to 2013 14 prices&#10;&#10;This figure is a flow diagram showing the process for updating constant value tariff assistance measures to current year values using ‘adjustment factors’ reflecting the rate of growth of the value of industry outpu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340" cy="3619500"/>
                                </a:xfrm>
                                <a:prstGeom prst="rect">
                                  <a:avLst/>
                                </a:prstGeom>
                                <a:noFill/>
                                <a:ln>
                                  <a:noFill/>
                                </a:ln>
                              </pic:spPr>
                            </pic:pic>
                          </a:graphicData>
                        </a:graphic>
                      </wp:inline>
                    </w:drawing>
                  </w:r>
                </w:p>
              </w:tc>
            </w:tr>
          </w:tbl>
          <w:p w14:paraId="70DDAA2B" w14:textId="77777777" w:rsidR="004C5477" w:rsidRDefault="004C5477" w:rsidP="00B0718B">
            <w:pPr>
              <w:pStyle w:val="Figure"/>
            </w:pPr>
          </w:p>
        </w:tc>
      </w:tr>
      <w:tr w:rsidR="004C5477" w14:paraId="70DDAA2E" w14:textId="77777777" w:rsidTr="00B0718B">
        <w:tc>
          <w:tcPr>
            <w:tcW w:w="8771" w:type="dxa"/>
            <w:tcBorders>
              <w:top w:val="nil"/>
              <w:left w:val="nil"/>
              <w:bottom w:val="single" w:sz="6" w:space="0" w:color="78A22F"/>
              <w:right w:val="nil"/>
            </w:tcBorders>
            <w:shd w:val="clear" w:color="auto" w:fill="auto"/>
          </w:tcPr>
          <w:p w14:paraId="70DDAA2D" w14:textId="77777777" w:rsidR="004C5477" w:rsidRDefault="004C5477" w:rsidP="00B0718B">
            <w:pPr>
              <w:pStyle w:val="Figurespace"/>
            </w:pPr>
          </w:p>
        </w:tc>
      </w:tr>
      <w:tr w:rsidR="004C5477" w:rsidRPr="000863A5" w14:paraId="70DDAA30" w14:textId="77777777" w:rsidTr="00B0718B">
        <w:tc>
          <w:tcPr>
            <w:tcW w:w="8771" w:type="dxa"/>
            <w:tcBorders>
              <w:top w:val="single" w:sz="6" w:space="0" w:color="78A22F"/>
              <w:left w:val="nil"/>
              <w:bottom w:val="nil"/>
              <w:right w:val="nil"/>
            </w:tcBorders>
          </w:tcPr>
          <w:p w14:paraId="70DDAA2F" w14:textId="13C71DBB" w:rsidR="004C5477" w:rsidRPr="00626D32" w:rsidRDefault="004C5477" w:rsidP="00B0718B">
            <w:pPr>
              <w:pStyle w:val="BoxSpaceBelow"/>
            </w:pPr>
          </w:p>
        </w:tc>
      </w:tr>
    </w:tbl>
    <w:p w14:paraId="70DDAA31" w14:textId="77777777" w:rsidR="004C5477" w:rsidRDefault="004C5477" w:rsidP="00090C29">
      <w:pPr>
        <w:pStyle w:val="Heading4"/>
      </w:pPr>
      <w:r>
        <w:lastRenderedPageBreak/>
        <w:t>The updating process</w:t>
      </w:r>
    </w:p>
    <w:p w14:paraId="70DDAA32" w14:textId="77777777" w:rsidR="004C5477" w:rsidRDefault="004C5477" w:rsidP="004C5477">
      <w:pPr>
        <w:pStyle w:val="BodyText"/>
      </w:pPr>
      <w:r>
        <w:t>The updating process involves:</w:t>
      </w:r>
    </w:p>
    <w:p w14:paraId="70DDAA33" w14:textId="77777777" w:rsidR="004C5477" w:rsidRDefault="004C5477" w:rsidP="004C5477">
      <w:pPr>
        <w:pStyle w:val="ListBullet"/>
      </w:pPr>
      <w:r>
        <w:t>producing a time</w:t>
      </w:r>
      <w:r>
        <w:noBreakHyphen/>
        <w:t>series of current price GVA that has been disaggregated into the Commission’s ANZSIC</w:t>
      </w:r>
      <w:r>
        <w:noBreakHyphen/>
        <w:t>based industry groupings</w:t>
      </w:r>
    </w:p>
    <w:p w14:paraId="70DDAA34" w14:textId="77777777" w:rsidR="004C5477" w:rsidRDefault="004C5477" w:rsidP="004C5477">
      <w:pPr>
        <w:pStyle w:val="ListBullet"/>
      </w:pPr>
      <w:r>
        <w:t>estimating an index of growth from the benchmark year (the industry-specific adjustment factors, which reflect both price and volume changes)</w:t>
      </w:r>
    </w:p>
    <w:p w14:paraId="70DDAA35" w14:textId="77777777" w:rsidR="004C5477" w:rsidRDefault="004C5477" w:rsidP="004C5477">
      <w:pPr>
        <w:pStyle w:val="ListBullet"/>
      </w:pPr>
      <w:r>
        <w:t>applying the adjustment factors to estimates of tariff assistance that are based on 2008</w:t>
      </w:r>
      <w:r>
        <w:noBreakHyphen/>
        <w:t xml:space="preserve">09 </w:t>
      </w:r>
      <w:r w:rsidR="007A3E45">
        <w:t>values</w:t>
      </w:r>
      <w:r>
        <w:t>.</w:t>
      </w:r>
      <w:r>
        <w:rPr>
          <w:rStyle w:val="FootnoteReference"/>
        </w:rPr>
        <w:footnoteReference w:id="5"/>
      </w:r>
      <w:r>
        <w:t xml:space="preserve"> </w:t>
      </w:r>
    </w:p>
    <w:p w14:paraId="70DDAA36" w14:textId="77777777" w:rsidR="004C5477" w:rsidRDefault="004C5477" w:rsidP="004C5477">
      <w:pPr>
        <w:pStyle w:val="BodyText"/>
      </w:pPr>
      <w:r>
        <w:t xml:space="preserve">Current price GVA data are published by the ABS for 20 industry divisions (appendix A). However, the process of updating requires GVA values for 46 ANZSIC-based industry groupings. This requires splitting GVA values for two divisions — Agriculture, forestry &amp; fishing (AFF) and Manufacturing: </w:t>
      </w:r>
    </w:p>
    <w:p w14:paraId="70DDAA37" w14:textId="77777777" w:rsidR="004C5477" w:rsidRDefault="004C5477" w:rsidP="004C5477">
      <w:pPr>
        <w:pStyle w:val="ListBullet"/>
      </w:pPr>
      <w:r>
        <w:t>the AFF division is split into 13 industries (using agricultural production data and I</w:t>
      </w:r>
      <w:r>
        <w:noBreakHyphen/>
        <w:t>O data — both sources are required to provide the necessary detail)</w:t>
      </w:r>
    </w:p>
    <w:p w14:paraId="70DDAA38" w14:textId="77777777" w:rsidR="004C5477" w:rsidRDefault="004C5477" w:rsidP="004C5477">
      <w:pPr>
        <w:pStyle w:val="ListBullet"/>
      </w:pPr>
      <w:r>
        <w:t>the Manufacturing division is split into 16 industries (using GVA sub-division chain volume and I</w:t>
      </w:r>
      <w:r>
        <w:noBreakHyphen/>
        <w:t>O data — both sources are required to provide the necessary detail).</w:t>
      </w:r>
      <w:r>
        <w:rPr>
          <w:rStyle w:val="FootnoteReference"/>
        </w:rPr>
        <w:footnoteReference w:id="6"/>
      </w:r>
      <w:r>
        <w:t xml:space="preserve"> </w:t>
      </w:r>
    </w:p>
    <w:p w14:paraId="70DDAA39" w14:textId="77777777" w:rsidR="004C5477" w:rsidRDefault="004C5477" w:rsidP="004C5477">
      <w:pPr>
        <w:pStyle w:val="BodyText"/>
      </w:pPr>
      <w:r>
        <w:t>For the other 18 industries, mapping from ANZSIC 2006 industry divisions in the National Accounts to the Commission’s ANZSIC</w:t>
      </w:r>
      <w:r>
        <w:noBreakHyphen/>
        <w:t>based industry groupings is one</w:t>
      </w:r>
      <w:r>
        <w:noBreakHyphen/>
        <w:t>to</w:t>
      </w:r>
      <w:r>
        <w:noBreakHyphen/>
        <w:t>one except for Rental, hiring and real estate services and Ownership of dwellings industries, which are combined into a single industry. The concordance between the Commission’s ANZSIC</w:t>
      </w:r>
      <w:r>
        <w:noBreakHyphen/>
        <w:t xml:space="preserve">based industry groupings and the national accounts divisions is provided in appendix A. </w:t>
      </w:r>
    </w:p>
    <w:p w14:paraId="70DDAA3A" w14:textId="77777777" w:rsidR="004C5477" w:rsidRDefault="004C5477" w:rsidP="004C5477">
      <w:pPr>
        <w:pStyle w:val="BodyText"/>
      </w:pPr>
      <w:r>
        <w:t>The industry</w:t>
      </w:r>
      <w:r>
        <w:noBreakHyphen/>
        <w:t>specific adjustment factors, derived from the index of growth in industry GVA, is calculated as:</w:t>
      </w:r>
    </w:p>
    <w:p w14:paraId="70DDAA3B" w14:textId="77777777" w:rsidR="004C5477" w:rsidRDefault="004C5477" w:rsidP="004C5477">
      <w:pPr>
        <w:pStyle w:val="BodyText"/>
      </w:pPr>
      <w:r>
        <w:tab/>
      </w:r>
      <m:oMath>
        <m:sSubSup>
          <m:sSubSupPr>
            <m:ctrlPr>
              <w:rPr>
                <w:rFonts w:ascii="Cambria Math" w:hAnsi="Cambria Math"/>
              </w:rPr>
            </m:ctrlPr>
          </m:sSubSupPr>
          <m:e>
            <m:r>
              <m:rPr>
                <m:sty m:val="p"/>
              </m:rPr>
              <w:rPr>
                <w:rFonts w:ascii="Cambria Math" w:hAnsi="Cambria Math"/>
                <w:szCs w:val="24"/>
              </w:rPr>
              <m:t>Index</m:t>
            </m:r>
          </m:e>
          <m:sub>
            <m:r>
              <m:rPr>
                <m:sty m:val="p"/>
              </m:rPr>
              <w:rPr>
                <w:rFonts w:ascii="Cambria Math" w:hAnsi="Cambria Math"/>
              </w:rPr>
              <m:t>industry i</m:t>
            </m:r>
          </m:sub>
          <m:sup/>
        </m:sSubSup>
      </m:oMath>
      <w:r>
        <w:t xml:space="preserve"> = </w:t>
      </w:r>
      <m:oMath>
        <m:sSubSup>
          <m:sSubSupPr>
            <m:ctrlPr>
              <w:rPr>
                <w:rFonts w:ascii="Cambria Math" w:hAnsi="Cambria Math"/>
                <w:szCs w:val="24"/>
              </w:rPr>
            </m:ctrlPr>
          </m:sSubSupPr>
          <m:e>
            <m:r>
              <m:rPr>
                <m:sty m:val="p"/>
              </m:rPr>
              <w:rPr>
                <w:rFonts w:ascii="Cambria Math" w:hAnsi="Cambria Math"/>
                <w:szCs w:val="24"/>
              </w:rPr>
              <m:t>100*(GVA</m:t>
            </m:r>
          </m:e>
          <m:sub>
            <m:r>
              <m:rPr>
                <m:sty m:val="p"/>
              </m:rPr>
              <w:rPr>
                <w:rFonts w:ascii="Cambria Math" w:hAnsi="Cambria Math"/>
                <w:szCs w:val="24"/>
              </w:rPr>
              <m:t>industry i</m:t>
            </m:r>
          </m:sub>
          <m:sup>
            <m:r>
              <m:rPr>
                <m:sty m:val="p"/>
              </m:rPr>
              <w:rPr>
                <w:rFonts w:ascii="Cambria Math" w:hAnsi="Cambria Math"/>
                <w:szCs w:val="24"/>
              </w:rPr>
              <m:t>2013-14</m:t>
            </m:r>
          </m:sup>
        </m:sSubSup>
      </m:oMath>
      <w:r>
        <w:rPr>
          <w:szCs w:val="24"/>
        </w:rPr>
        <w:t xml:space="preserve"> </w:t>
      </w:r>
      <w:r>
        <w:rPr>
          <w:sz w:val="44"/>
          <w:szCs w:val="44"/>
        </w:rPr>
        <w:t>—</w:t>
      </w:r>
      <w:r>
        <w:rPr>
          <w:szCs w:val="24"/>
        </w:rPr>
        <w:t xml:space="preserve"> </w:t>
      </w:r>
      <m:oMath>
        <m:sSubSup>
          <m:sSubSupPr>
            <m:ctrlPr>
              <w:rPr>
                <w:rFonts w:ascii="Cambria Math" w:hAnsi="Cambria Math"/>
                <w:szCs w:val="24"/>
              </w:rPr>
            </m:ctrlPr>
          </m:sSubSupPr>
          <m:e>
            <m:r>
              <m:rPr>
                <m:sty m:val="p"/>
              </m:rPr>
              <w:rPr>
                <w:rFonts w:ascii="Cambria Math" w:hAnsi="Cambria Math"/>
                <w:szCs w:val="24"/>
              </w:rPr>
              <m:t>GVA</m:t>
            </m:r>
          </m:e>
          <m:sub>
            <m:r>
              <m:rPr>
                <m:sty m:val="p"/>
              </m:rPr>
              <w:rPr>
                <w:rFonts w:ascii="Cambria Math" w:hAnsi="Cambria Math"/>
                <w:szCs w:val="24"/>
              </w:rPr>
              <m:t>industry i</m:t>
            </m:r>
          </m:sub>
          <m:sup>
            <m:r>
              <m:rPr>
                <m:sty m:val="p"/>
              </m:rPr>
              <w:rPr>
                <w:rFonts w:ascii="Cambria Math" w:hAnsi="Cambria Math"/>
                <w:szCs w:val="24"/>
              </w:rPr>
              <m:t>2008-09</m:t>
            </m:r>
          </m:sup>
        </m:sSubSup>
      </m:oMath>
      <w:r w:rsidRPr="006D7DC2">
        <w:rPr>
          <w:rFonts w:ascii="Cambria Math" w:hAnsi="Cambria Math"/>
          <w:szCs w:val="24"/>
        </w:rPr>
        <w:t>)</w:t>
      </w:r>
      <w:r>
        <w:rPr>
          <w:szCs w:val="24"/>
        </w:rPr>
        <w:t xml:space="preserve"> </w:t>
      </w:r>
      <w:r w:rsidRPr="00F33C81">
        <w:rPr>
          <w:sz w:val="40"/>
          <w:szCs w:val="40"/>
        </w:rPr>
        <w:t>/</w:t>
      </w:r>
      <w:r>
        <w:rPr>
          <w:sz w:val="40"/>
          <w:szCs w:val="40"/>
        </w:rPr>
        <w:t xml:space="preserve"> </w:t>
      </w:r>
      <m:oMath>
        <m:sSubSup>
          <m:sSubSupPr>
            <m:ctrlPr>
              <w:rPr>
                <w:rFonts w:ascii="Cambria Math" w:hAnsi="Cambria Math"/>
                <w:szCs w:val="24"/>
              </w:rPr>
            </m:ctrlPr>
          </m:sSubSupPr>
          <m:e>
            <m:r>
              <m:rPr>
                <m:sty m:val="p"/>
              </m:rPr>
              <w:rPr>
                <w:rFonts w:ascii="Cambria Math" w:hAnsi="Cambria Math"/>
                <w:szCs w:val="24"/>
              </w:rPr>
              <m:t>GVA</m:t>
            </m:r>
          </m:e>
          <m:sub>
            <m:r>
              <m:rPr>
                <m:sty m:val="p"/>
              </m:rPr>
              <w:rPr>
                <w:rFonts w:ascii="Cambria Math" w:hAnsi="Cambria Math"/>
                <w:szCs w:val="24"/>
              </w:rPr>
              <m:t>industry i</m:t>
            </m:r>
          </m:sub>
          <m:sup>
            <m:r>
              <m:rPr>
                <m:sty m:val="p"/>
              </m:rPr>
              <w:rPr>
                <w:rFonts w:ascii="Cambria Math" w:hAnsi="Cambria Math"/>
                <w:szCs w:val="24"/>
              </w:rPr>
              <m:t>2008-09</m:t>
            </m:r>
          </m:sup>
        </m:sSubSup>
      </m:oMath>
    </w:p>
    <w:p w14:paraId="70DDAA3C" w14:textId="77777777" w:rsidR="004C5477" w:rsidRDefault="004C5477" w:rsidP="004C5477">
      <w:pPr>
        <w:pStyle w:val="BodyText"/>
      </w:pPr>
      <w:r>
        <w:t>Updated tariff assistance estimates are then obtained by multiplying the industry-specific adjustment factors by the tariff assistance to outputs and the input costs penalty for 2013</w:t>
      </w:r>
      <w:r>
        <w:noBreakHyphen/>
        <w:t>14</w:t>
      </w:r>
      <w:r w:rsidR="007A3E45">
        <w:t>,</w:t>
      </w:r>
      <w:r>
        <w:t xml:space="preserve"> </w:t>
      </w:r>
      <w:r w:rsidR="007A3E45">
        <w:t xml:space="preserve">which are </w:t>
      </w:r>
      <w:r>
        <w:t>based on 2008</w:t>
      </w:r>
      <w:r>
        <w:noBreakHyphen/>
        <w:t>09 values, the two shaded boxes in figure 1. The constant value estimates for 2008</w:t>
      </w:r>
      <w:r>
        <w:noBreakHyphen/>
        <w:t>09 to 2013-14 are produced at the time of re</w:t>
      </w:r>
      <w:r>
        <w:noBreakHyphen/>
        <w:t>benchmarking, based on 2008-09 trade and production values and projected tariff rates. Updating the tariff assistance to outputs (gross subsidy equivalent (GSE)) and input cost penalties (tax equivalent on materials (TEM)) involves:</w:t>
      </w:r>
    </w:p>
    <w:p w14:paraId="70DDAA3D" w14:textId="77777777" w:rsidR="004C5477" w:rsidRDefault="004C5477" w:rsidP="004C5477">
      <w:pPr>
        <w:pStyle w:val="BodyText"/>
      </w:pPr>
      <w:r>
        <w:lastRenderedPageBreak/>
        <w:tab/>
      </w:r>
      <m:oMath>
        <m:sSubSup>
          <m:sSubSupPr>
            <m:ctrlPr>
              <w:rPr>
                <w:rFonts w:ascii="Cambria Math" w:hAnsi="Cambria Math"/>
              </w:rPr>
            </m:ctrlPr>
          </m:sSubSupPr>
          <m:e>
            <m:r>
              <m:rPr>
                <m:sty m:val="p"/>
              </m:rPr>
              <w:rPr>
                <w:rFonts w:ascii="Cambria Math" w:hAnsi="Cambria Math"/>
              </w:rPr>
              <m:t>GSE</m:t>
            </m:r>
          </m:e>
          <m:sub>
            <m:r>
              <m:rPr>
                <m:sty m:val="p"/>
              </m:rPr>
              <w:rPr>
                <w:rFonts w:ascii="Cambria Math" w:hAnsi="Cambria Math"/>
              </w:rPr>
              <m:t xml:space="preserve">tariff </m:t>
            </m:r>
          </m:sub>
          <m:sup>
            <m:r>
              <m:rPr>
                <m:sty m:val="p"/>
              </m:rPr>
              <w:rPr>
                <w:rFonts w:ascii="Cambria Math" w:hAnsi="Cambria Math"/>
              </w:rPr>
              <m:t xml:space="preserve">2013-14 in 2013-14 value </m:t>
            </m:r>
          </m:sup>
        </m:sSubSup>
      </m:oMath>
      <w:r>
        <w:t xml:space="preserve"> = </w:t>
      </w:r>
      <m:oMath>
        <m:sSubSup>
          <m:sSubSupPr>
            <m:ctrlPr>
              <w:rPr>
                <w:rFonts w:ascii="Cambria Math" w:hAnsi="Cambria Math"/>
              </w:rPr>
            </m:ctrlPr>
          </m:sSubSupPr>
          <m:e>
            <m:r>
              <m:rPr>
                <m:sty m:val="p"/>
              </m:rPr>
              <w:rPr>
                <w:rFonts w:ascii="Cambria Math" w:hAnsi="Cambria Math"/>
                <w:szCs w:val="24"/>
              </w:rPr>
              <m:t>Index</m:t>
            </m:r>
          </m:e>
          <m:sub>
            <m:r>
              <m:rPr>
                <m:sty m:val="p"/>
              </m:rPr>
              <w:rPr>
                <w:rFonts w:ascii="Cambria Math" w:hAnsi="Cambria Math"/>
              </w:rPr>
              <m:t>industry i</m:t>
            </m:r>
          </m:sub>
          <m:sup/>
        </m:sSubSup>
        <m:r>
          <w:rPr>
            <w:rFonts w:ascii="Cambria Math" w:hAnsi="Cambria Math"/>
          </w:rPr>
          <m:t xml:space="preserve">* </m:t>
        </m:r>
      </m:oMath>
      <w:r>
        <w:t xml:space="preserve"> </w:t>
      </w:r>
      <m:oMath>
        <m:sSubSup>
          <m:sSubSupPr>
            <m:ctrlPr>
              <w:rPr>
                <w:rFonts w:ascii="Cambria Math" w:hAnsi="Cambria Math"/>
              </w:rPr>
            </m:ctrlPr>
          </m:sSubSupPr>
          <m:e>
            <m:r>
              <m:rPr>
                <m:sty m:val="p"/>
              </m:rPr>
              <w:rPr>
                <w:rFonts w:ascii="Cambria Math" w:hAnsi="Cambria Math"/>
              </w:rPr>
              <m:t>GSE</m:t>
            </m:r>
          </m:e>
          <m:sub>
            <m:r>
              <m:rPr>
                <m:sty m:val="p"/>
              </m:rPr>
              <w:rPr>
                <w:rFonts w:ascii="Cambria Math" w:hAnsi="Cambria Math"/>
              </w:rPr>
              <m:t xml:space="preserve">tariff </m:t>
            </m:r>
          </m:sub>
          <m:sup>
            <m:r>
              <m:rPr>
                <m:sty m:val="p"/>
              </m:rPr>
              <w:rPr>
                <w:rFonts w:ascii="Cambria Math" w:hAnsi="Cambria Math"/>
              </w:rPr>
              <m:t xml:space="preserve">2013-14 in 2008-09 value </m:t>
            </m:r>
          </m:sup>
        </m:sSubSup>
      </m:oMath>
    </w:p>
    <w:p w14:paraId="70DDAA3E" w14:textId="77777777" w:rsidR="004C5477" w:rsidRDefault="004C5477" w:rsidP="004C5477">
      <w:pPr>
        <w:pStyle w:val="BodyText"/>
      </w:pPr>
      <w:r>
        <w:tab/>
      </w:r>
      <m:oMath>
        <m:sSubSup>
          <m:sSubSupPr>
            <m:ctrlPr>
              <w:rPr>
                <w:rFonts w:ascii="Cambria Math" w:hAnsi="Cambria Math"/>
              </w:rPr>
            </m:ctrlPr>
          </m:sSubSupPr>
          <m:e>
            <m:r>
              <m:rPr>
                <m:sty m:val="p"/>
              </m:rPr>
              <w:rPr>
                <w:rFonts w:ascii="Cambria Math" w:hAnsi="Cambria Math"/>
              </w:rPr>
              <m:t>TEM</m:t>
            </m:r>
          </m:e>
          <m:sub>
            <m:r>
              <m:rPr>
                <m:sty m:val="p"/>
              </m:rPr>
              <w:rPr>
                <w:rFonts w:ascii="Cambria Math" w:hAnsi="Cambria Math"/>
              </w:rPr>
              <m:t xml:space="preserve">tariff </m:t>
            </m:r>
          </m:sub>
          <m:sup>
            <m:r>
              <m:rPr>
                <m:sty m:val="p"/>
              </m:rPr>
              <w:rPr>
                <w:rFonts w:ascii="Cambria Math" w:hAnsi="Cambria Math"/>
              </w:rPr>
              <m:t>2013-14 in 2013-14 value</m:t>
            </m:r>
          </m:sup>
        </m:sSubSup>
      </m:oMath>
      <w:r>
        <w:t xml:space="preserve"> = </w:t>
      </w:r>
      <m:oMath>
        <m:sSubSup>
          <m:sSubSupPr>
            <m:ctrlPr>
              <w:rPr>
                <w:rFonts w:ascii="Cambria Math" w:hAnsi="Cambria Math"/>
              </w:rPr>
            </m:ctrlPr>
          </m:sSubSupPr>
          <m:e>
            <m:r>
              <m:rPr>
                <m:sty m:val="p"/>
              </m:rPr>
              <w:rPr>
                <w:rFonts w:ascii="Cambria Math" w:hAnsi="Cambria Math"/>
                <w:szCs w:val="24"/>
              </w:rPr>
              <m:t>Index</m:t>
            </m:r>
          </m:e>
          <m:sub>
            <m:r>
              <m:rPr>
                <m:sty m:val="p"/>
              </m:rPr>
              <w:rPr>
                <w:rFonts w:ascii="Cambria Math" w:hAnsi="Cambria Math"/>
              </w:rPr>
              <m:t>industry i</m:t>
            </m:r>
          </m:sub>
          <m:sup/>
        </m:sSubSup>
        <m:r>
          <w:rPr>
            <w:rFonts w:ascii="Cambria Math" w:hAnsi="Cambria Math"/>
          </w:rPr>
          <m:t xml:space="preserve">* </m:t>
        </m:r>
      </m:oMath>
      <w:r>
        <w:t xml:space="preserve"> </w:t>
      </w:r>
      <m:oMath>
        <m:sSubSup>
          <m:sSubSupPr>
            <m:ctrlPr>
              <w:rPr>
                <w:rFonts w:ascii="Cambria Math" w:hAnsi="Cambria Math"/>
              </w:rPr>
            </m:ctrlPr>
          </m:sSubSupPr>
          <m:e>
            <m:r>
              <m:rPr>
                <m:sty m:val="p"/>
              </m:rPr>
              <w:rPr>
                <w:rFonts w:ascii="Cambria Math" w:hAnsi="Cambria Math"/>
              </w:rPr>
              <m:t>TEM</m:t>
            </m:r>
          </m:e>
          <m:sub>
            <m:r>
              <m:rPr>
                <m:sty m:val="p"/>
              </m:rPr>
              <w:rPr>
                <w:rFonts w:ascii="Cambria Math" w:hAnsi="Cambria Math"/>
              </w:rPr>
              <m:t xml:space="preserve">tariff </m:t>
            </m:r>
          </m:sub>
          <m:sup>
            <m:r>
              <m:rPr>
                <m:sty m:val="p"/>
              </m:rPr>
              <w:rPr>
                <w:rFonts w:ascii="Cambria Math" w:hAnsi="Cambria Math"/>
              </w:rPr>
              <m:t>2013-14 in 2008-09 value</m:t>
            </m:r>
          </m:sup>
        </m:sSubSup>
      </m:oMath>
    </w:p>
    <w:p w14:paraId="70DDAA3F" w14:textId="77777777" w:rsidR="004C5477" w:rsidRPr="006A2BCC" w:rsidRDefault="004C5477" w:rsidP="0053684D">
      <w:pPr>
        <w:pStyle w:val="BodyText"/>
      </w:pPr>
      <w:r>
        <w:t>The 2013</w:t>
      </w:r>
      <w:r>
        <w:noBreakHyphen/>
        <w:t>14 estimates of tariff assistance on outputs and the input cost penalt</w:t>
      </w:r>
      <w:r w:rsidR="007A3E45">
        <w:t>ies</w:t>
      </w:r>
      <w:r>
        <w:t xml:space="preserve"> are then aggregated to the 34 TAR industry groupings that are used for publication.</w:t>
      </w:r>
    </w:p>
    <w:p w14:paraId="70DDAA40" w14:textId="65DFE30A" w:rsidR="00B03505" w:rsidRDefault="008C264E" w:rsidP="00B03505">
      <w:pPr>
        <w:pStyle w:val="Heading2"/>
      </w:pPr>
      <w:r>
        <w:rPr>
          <w:noProof/>
        </w:rPr>
        <w:t>3</w:t>
      </w:r>
      <w:r w:rsidR="00B03505">
        <w:rPr>
          <w:noProof/>
        </w:rPr>
        <w:tab/>
      </w:r>
      <w:r w:rsidR="00B03505">
        <w:t>How budgetary assistance is calculated</w:t>
      </w:r>
    </w:p>
    <w:p w14:paraId="70DDAA41" w14:textId="1C70FB45" w:rsidR="00B03505" w:rsidRDefault="00B03505" w:rsidP="00B03505">
      <w:pPr>
        <w:pStyle w:val="BodyText"/>
      </w:pPr>
      <w:r>
        <w:t>Budgetary a</w:t>
      </w:r>
      <w:r w:rsidRPr="00EC16AA">
        <w:t xml:space="preserve">ssistance estimates </w:t>
      </w:r>
      <w:r>
        <w:t>cover Australian Government programs</w:t>
      </w:r>
      <w:r w:rsidRPr="00EC16AA">
        <w:t xml:space="preserve"> that ‘afford substantive support to industry and that can be readily quantified on a consistent annual basis’ (PC 2016, p. 9).</w:t>
      </w:r>
      <w:r>
        <w:t xml:space="preserve"> In practice, this covers budgetary outlays and industry- specific tax concessions that have industry policy objectives. Budgetary assistance may be provided directly to firms in the form of subsidies, or indirectly to an industry by funding </w:t>
      </w:r>
      <w:r w:rsidR="007A3E45">
        <w:t xml:space="preserve">an </w:t>
      </w:r>
      <w:r>
        <w:t>intermediate organisation, such as funding for CSIRO.</w:t>
      </w:r>
      <w:r w:rsidRPr="00443B7F">
        <w:rPr>
          <w:rStyle w:val="FootnoteReference"/>
        </w:rPr>
        <w:footnoteReference w:id="7"/>
      </w:r>
    </w:p>
    <w:p w14:paraId="70DDAA42" w14:textId="77777777" w:rsidR="00B03505" w:rsidRDefault="00B03505" w:rsidP="00B03505">
      <w:pPr>
        <w:pStyle w:val="BodyText"/>
      </w:pPr>
      <w:r>
        <w:t xml:space="preserve">TAR estimates of budgetary assistance include </w:t>
      </w:r>
      <w:r w:rsidR="007213B5">
        <w:t xml:space="preserve">most </w:t>
      </w:r>
      <w:r>
        <w:t xml:space="preserve">budgetary measures </w:t>
      </w:r>
      <w:r w:rsidR="007213B5">
        <w:t xml:space="preserve">designed with the intent of </w:t>
      </w:r>
      <w:r>
        <w:t>provid</w:t>
      </w:r>
      <w:r w:rsidR="007213B5">
        <w:t>ing</w:t>
      </w:r>
      <w:r>
        <w:t xml:space="preserve"> support for industry. Budgetary outlays that are </w:t>
      </w:r>
      <w:r w:rsidR="008E6CAF">
        <w:t xml:space="preserve">excluded from </w:t>
      </w:r>
      <w:r>
        <w:t>the TAR estimates include:</w:t>
      </w:r>
    </w:p>
    <w:p w14:paraId="70DDAA43" w14:textId="77777777" w:rsidR="00B03505" w:rsidRDefault="00B03505" w:rsidP="00B03505">
      <w:pPr>
        <w:pStyle w:val="ListBullet"/>
      </w:pPr>
      <w:r w:rsidRPr="007B66CC">
        <w:t xml:space="preserve">budgetary measures which </w:t>
      </w:r>
      <w:r w:rsidR="00B20EB5">
        <w:t>appl</w:t>
      </w:r>
      <w:r w:rsidR="007A3E45">
        <w:t>y</w:t>
      </w:r>
      <w:r w:rsidR="00B20EB5" w:rsidRPr="007B66CC">
        <w:t xml:space="preserve"> </w:t>
      </w:r>
      <w:r w:rsidRPr="007B66CC">
        <w:t xml:space="preserve">to all firms </w:t>
      </w:r>
      <w:r>
        <w:t>(eg.</w:t>
      </w:r>
      <w:r w:rsidRPr="007B66CC">
        <w:t xml:space="preserve"> reductions in company t</w:t>
      </w:r>
      <w:r>
        <w:t>ax rates)</w:t>
      </w:r>
    </w:p>
    <w:p w14:paraId="70DDAA44" w14:textId="77777777" w:rsidR="00B03505" w:rsidRDefault="00B03505" w:rsidP="00B03505">
      <w:pPr>
        <w:pStyle w:val="ListBullet"/>
      </w:pPr>
      <w:r>
        <w:t>fuel tax credits</w:t>
      </w:r>
    </w:p>
    <w:p w14:paraId="70DDAA45" w14:textId="77777777" w:rsidR="00B03505" w:rsidRPr="007B66CC" w:rsidRDefault="00B03505" w:rsidP="00B03505">
      <w:pPr>
        <w:pStyle w:val="ListBullet"/>
      </w:pPr>
      <w:r w:rsidRPr="007B66CC">
        <w:t>outlays on public administration, defence, health, education, the env</w:t>
      </w:r>
      <w:r>
        <w:t>ironment and the labour market</w:t>
      </w:r>
    </w:p>
    <w:p w14:paraId="70DDAA46" w14:textId="77777777" w:rsidR="00B03505" w:rsidRPr="007B66CC" w:rsidRDefault="00B03505" w:rsidP="00B03505">
      <w:pPr>
        <w:pStyle w:val="ListBullet"/>
      </w:pPr>
      <w:r w:rsidRPr="007B66CC">
        <w:t xml:space="preserve">budgetary assistance provided by </w:t>
      </w:r>
      <w:r w:rsidR="00B9600B">
        <w:t>s</w:t>
      </w:r>
      <w:r w:rsidRPr="007B66CC">
        <w:t xml:space="preserve">tate, </w:t>
      </w:r>
      <w:r w:rsidR="00B9600B">
        <w:t>t</w:t>
      </w:r>
      <w:r w:rsidRPr="007B66CC">
        <w:t xml:space="preserve">erritory and local governments </w:t>
      </w:r>
    </w:p>
    <w:p w14:paraId="70DDAA47" w14:textId="77777777" w:rsidR="00B03505" w:rsidRPr="007B66CC" w:rsidRDefault="00B03505" w:rsidP="00B03505">
      <w:pPr>
        <w:pStyle w:val="ListBullet"/>
      </w:pPr>
      <w:r w:rsidRPr="007B66CC">
        <w:t>spending on infrastructure, except where it clearly is intended to afford selective support to spe</w:t>
      </w:r>
      <w:r>
        <w:t>cific industries or activities.</w:t>
      </w:r>
    </w:p>
    <w:p w14:paraId="70DDAA48" w14:textId="24E8D64D" w:rsidR="004B772E" w:rsidRDefault="008E6CAF" w:rsidP="00B03505">
      <w:pPr>
        <w:pStyle w:val="BodyText"/>
      </w:pPr>
      <w:r>
        <w:t xml:space="preserve">A guide to the </w:t>
      </w:r>
      <w:r w:rsidR="002E20B3">
        <w:t>inclusion or exclusion of government programs as bu</w:t>
      </w:r>
      <w:r>
        <w:t xml:space="preserve">dgetary assistance </w:t>
      </w:r>
      <w:r w:rsidR="007E748A">
        <w:t xml:space="preserve">in the TAR </w:t>
      </w:r>
      <w:r>
        <w:t xml:space="preserve">are presented in </w:t>
      </w:r>
      <w:r w:rsidR="005A0BD3">
        <w:t>box</w:t>
      </w:r>
      <w:r>
        <w:t xml:space="preserve"> </w:t>
      </w:r>
      <w:r w:rsidR="00096024">
        <w:t>2</w:t>
      </w:r>
      <w:r>
        <w: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B772E" w14:paraId="70DDAA4B" w14:textId="77777777" w:rsidTr="00D85C25">
        <w:tc>
          <w:tcPr>
            <w:tcW w:w="5000" w:type="pct"/>
            <w:tcBorders>
              <w:top w:val="single" w:sz="6" w:space="0" w:color="78A22F"/>
              <w:left w:val="nil"/>
              <w:bottom w:val="nil"/>
              <w:right w:val="nil"/>
            </w:tcBorders>
            <w:shd w:val="clear" w:color="auto" w:fill="F2F2F2"/>
          </w:tcPr>
          <w:p w14:paraId="70DDAA4A" w14:textId="45836B6A" w:rsidR="004B772E" w:rsidRDefault="004B772E" w:rsidP="004E5D4F">
            <w:pPr>
              <w:pStyle w:val="TableTitle"/>
            </w:pPr>
            <w:r>
              <w:rPr>
                <w:b w:val="0"/>
              </w:rPr>
              <w:lastRenderedPageBreak/>
              <w:t xml:space="preserve">Box </w:t>
            </w:r>
            <w:r w:rsidR="008C264E">
              <w:rPr>
                <w:b w:val="0"/>
                <w:noProof/>
              </w:rPr>
              <w:t>2</w:t>
            </w:r>
            <w:r>
              <w:tab/>
              <w:t>What is measured as budgetary assistance in the TAR?</w:t>
            </w:r>
          </w:p>
        </w:tc>
      </w:tr>
      <w:tr w:rsidR="004B772E" w14:paraId="70DDAA62" w14:textId="77777777" w:rsidTr="00D85C25">
        <w:tc>
          <w:tcPr>
            <w:tcW w:w="5000" w:type="pct"/>
            <w:tcBorders>
              <w:top w:val="nil"/>
              <w:left w:val="nil"/>
              <w:bottom w:val="nil"/>
              <w:right w:val="nil"/>
            </w:tcBorders>
            <w:shd w:val="clear" w:color="auto" w:fill="F2F2F2"/>
          </w:tcPr>
          <w:p w14:paraId="70DDAA4C" w14:textId="77777777" w:rsidR="004B772E" w:rsidRPr="00BA2C10" w:rsidRDefault="004B772E" w:rsidP="00B95D5F">
            <w:pPr>
              <w:pStyle w:val="Box"/>
              <w:spacing w:before="100"/>
              <w:rPr>
                <w:sz w:val="18"/>
                <w:szCs w:val="18"/>
              </w:rPr>
            </w:pPr>
            <w:r w:rsidRPr="00BA2C10">
              <w:rPr>
                <w:sz w:val="18"/>
                <w:szCs w:val="18"/>
              </w:rPr>
              <w:t>For the purposes of the TAR, budgetary assistance can be described as either a budgetary outlay or tax concession that:</w:t>
            </w:r>
          </w:p>
          <w:p w14:paraId="70DDAA4D" w14:textId="77777777" w:rsidR="004B772E" w:rsidRPr="00BA2C10" w:rsidRDefault="004B772E" w:rsidP="004E5D4F">
            <w:pPr>
              <w:pStyle w:val="BoxQuote"/>
              <w:rPr>
                <w:szCs w:val="18"/>
              </w:rPr>
            </w:pPr>
            <w:r w:rsidRPr="00BA2C10">
              <w:rPr>
                <w:szCs w:val="18"/>
              </w:rPr>
              <w:t>… directly or indirectly:</w:t>
            </w:r>
          </w:p>
          <w:p w14:paraId="70DDAA4E" w14:textId="77777777" w:rsidR="004B772E" w:rsidRPr="00BA2C10" w:rsidRDefault="004B772E" w:rsidP="004B772E">
            <w:pPr>
              <w:pStyle w:val="BoxQuote"/>
              <w:numPr>
                <w:ilvl w:val="0"/>
                <w:numId w:val="29"/>
              </w:numPr>
              <w:rPr>
                <w:szCs w:val="18"/>
              </w:rPr>
            </w:pPr>
            <w:r w:rsidRPr="00BA2C10">
              <w:rPr>
                <w:szCs w:val="18"/>
              </w:rPr>
              <w:t xml:space="preserve">assists a person to carry on a business or activity; or </w:t>
            </w:r>
          </w:p>
          <w:p w14:paraId="70DDAA4F" w14:textId="77777777" w:rsidR="004B772E" w:rsidRPr="00BA2C10" w:rsidRDefault="004B772E" w:rsidP="004B772E">
            <w:pPr>
              <w:pStyle w:val="BoxQuote"/>
              <w:numPr>
                <w:ilvl w:val="0"/>
                <w:numId w:val="29"/>
              </w:numPr>
              <w:rPr>
                <w:szCs w:val="18"/>
              </w:rPr>
            </w:pPr>
            <w:r w:rsidRPr="00BA2C10">
              <w:rPr>
                <w:szCs w:val="18"/>
              </w:rPr>
              <w:t xml:space="preserve">confers a pecuniary benefit on, or results in a pecuniary benefit accruing to, a person in respect of carrying on a business or activity (s.10(6), </w:t>
            </w:r>
            <w:r w:rsidRPr="00BA2C10">
              <w:rPr>
                <w:i/>
                <w:szCs w:val="18"/>
              </w:rPr>
              <w:t>Productivity Commission Act 1998</w:t>
            </w:r>
            <w:r w:rsidRPr="00BA2C10">
              <w:rPr>
                <w:szCs w:val="18"/>
              </w:rPr>
              <w:t xml:space="preserve"> (Cwlth)).</w:t>
            </w:r>
          </w:p>
          <w:p w14:paraId="70DDAA50" w14:textId="77777777" w:rsidR="004B772E" w:rsidRPr="00F61338" w:rsidRDefault="004B772E" w:rsidP="00D85C25">
            <w:pPr>
              <w:pStyle w:val="BoxHeading1"/>
              <w:spacing w:before="160"/>
            </w:pPr>
            <w:r w:rsidRPr="00F61338">
              <w:t>Measured budgetary assistance</w:t>
            </w:r>
          </w:p>
          <w:p w14:paraId="70DDAA51" w14:textId="77777777" w:rsidR="004B772E" w:rsidRPr="00BA2C10" w:rsidRDefault="004B772E" w:rsidP="00B95D5F">
            <w:pPr>
              <w:pStyle w:val="Box"/>
              <w:spacing w:before="100"/>
              <w:rPr>
                <w:sz w:val="18"/>
                <w:szCs w:val="18"/>
              </w:rPr>
            </w:pPr>
            <w:r w:rsidRPr="00BA2C10">
              <w:rPr>
                <w:sz w:val="18"/>
                <w:szCs w:val="18"/>
              </w:rPr>
              <w:t xml:space="preserve">In order to be included in the TAR as measured budgetary assistance, a program </w:t>
            </w:r>
            <w:r w:rsidR="00B9600B" w:rsidRPr="00BA2C10">
              <w:rPr>
                <w:sz w:val="18"/>
                <w:szCs w:val="18"/>
              </w:rPr>
              <w:t xml:space="preserve">must </w:t>
            </w:r>
            <w:r w:rsidRPr="00BA2C10">
              <w:rPr>
                <w:sz w:val="18"/>
                <w:szCs w:val="18"/>
              </w:rPr>
              <w:t>meet the definition above. This assistance may be direct (for example, in the form of industry-specific tax concessions), or indirect (for example, in the form of provision of goods and services that support specific firms). In addition, to be included as budgetary assistance for the TAR:</w:t>
            </w:r>
          </w:p>
          <w:p w14:paraId="70DDAA52" w14:textId="77777777" w:rsidR="004B772E" w:rsidRPr="00BA2C10" w:rsidRDefault="00B9600B" w:rsidP="00D85C25">
            <w:pPr>
              <w:pStyle w:val="BoxListBullet"/>
              <w:spacing w:before="80"/>
              <w:rPr>
                <w:sz w:val="18"/>
                <w:szCs w:val="18"/>
              </w:rPr>
            </w:pPr>
            <w:r w:rsidRPr="00BA2C10">
              <w:rPr>
                <w:sz w:val="18"/>
                <w:szCs w:val="18"/>
              </w:rPr>
              <w:t>t</w:t>
            </w:r>
            <w:r w:rsidR="004B772E" w:rsidRPr="00BA2C10">
              <w:rPr>
                <w:sz w:val="18"/>
                <w:szCs w:val="18"/>
              </w:rPr>
              <w:t xml:space="preserve">he cost of the program </w:t>
            </w:r>
            <w:r w:rsidRPr="00BA2C10">
              <w:rPr>
                <w:sz w:val="18"/>
                <w:szCs w:val="18"/>
              </w:rPr>
              <w:t xml:space="preserve">must </w:t>
            </w:r>
            <w:r w:rsidR="004B772E" w:rsidRPr="00BA2C10">
              <w:rPr>
                <w:sz w:val="18"/>
                <w:szCs w:val="18"/>
              </w:rPr>
              <w:t>be measur</w:t>
            </w:r>
            <w:r w:rsidRPr="00BA2C10">
              <w:rPr>
                <w:sz w:val="18"/>
                <w:szCs w:val="18"/>
              </w:rPr>
              <w:t>eable</w:t>
            </w:r>
            <w:r w:rsidR="004B772E" w:rsidRPr="00BA2C10">
              <w:rPr>
                <w:sz w:val="18"/>
                <w:szCs w:val="18"/>
              </w:rPr>
              <w:t>.</w:t>
            </w:r>
          </w:p>
          <w:p w14:paraId="70DDAA53" w14:textId="77777777" w:rsidR="004B772E" w:rsidRPr="00BA2C10" w:rsidRDefault="00B9600B" w:rsidP="00D85C25">
            <w:pPr>
              <w:pStyle w:val="BoxListBullet"/>
              <w:spacing w:before="80"/>
              <w:rPr>
                <w:sz w:val="18"/>
                <w:szCs w:val="18"/>
              </w:rPr>
            </w:pPr>
            <w:r w:rsidRPr="00BA2C10">
              <w:rPr>
                <w:sz w:val="18"/>
                <w:szCs w:val="18"/>
              </w:rPr>
              <w:t>t</w:t>
            </w:r>
            <w:r w:rsidR="004B772E" w:rsidRPr="00BA2C10">
              <w:rPr>
                <w:sz w:val="18"/>
                <w:szCs w:val="18"/>
              </w:rPr>
              <w:t xml:space="preserve">he program </w:t>
            </w:r>
            <w:r w:rsidRPr="00BA2C10">
              <w:rPr>
                <w:sz w:val="18"/>
                <w:szCs w:val="18"/>
              </w:rPr>
              <w:t xml:space="preserve">must be </w:t>
            </w:r>
            <w:r w:rsidR="004B772E" w:rsidRPr="00BA2C10">
              <w:rPr>
                <w:sz w:val="18"/>
                <w:szCs w:val="18"/>
              </w:rPr>
              <w:t>an Australian Government program.</w:t>
            </w:r>
          </w:p>
          <w:p w14:paraId="70DDAA54" w14:textId="77777777" w:rsidR="004B772E" w:rsidRDefault="004B772E" w:rsidP="00D85C25">
            <w:pPr>
              <w:pStyle w:val="BoxHeading1"/>
              <w:spacing w:before="160"/>
            </w:pPr>
            <w:r>
              <w:t>Unmeasured budgetary assistance</w:t>
            </w:r>
          </w:p>
          <w:p w14:paraId="70DDAA55" w14:textId="77777777" w:rsidR="004B772E" w:rsidRPr="00BA2C10" w:rsidRDefault="004B772E" w:rsidP="00B95D5F">
            <w:pPr>
              <w:pStyle w:val="Box"/>
              <w:spacing w:before="100"/>
              <w:rPr>
                <w:sz w:val="18"/>
                <w:szCs w:val="18"/>
              </w:rPr>
            </w:pPr>
            <w:r w:rsidRPr="00BA2C10">
              <w:rPr>
                <w:sz w:val="18"/>
                <w:szCs w:val="18"/>
              </w:rPr>
              <w:t>Government programs may be considered to provide budgetary assistance, but are not included in TAR budgetary assistance measures for a number of reasons. ‘Assistance unmeasured’, consists of programs that advantage some firms relative to others, but that are not included because of a lack of data. This can occur because:</w:t>
            </w:r>
          </w:p>
          <w:p w14:paraId="70DDAA56" w14:textId="77777777" w:rsidR="004B772E" w:rsidRPr="00BA2C10" w:rsidRDefault="004B772E" w:rsidP="004E5D4F">
            <w:pPr>
              <w:pStyle w:val="BoxListBullet"/>
              <w:rPr>
                <w:sz w:val="18"/>
                <w:szCs w:val="18"/>
              </w:rPr>
            </w:pPr>
            <w:r w:rsidRPr="00BA2C10">
              <w:rPr>
                <w:sz w:val="18"/>
                <w:szCs w:val="18"/>
              </w:rPr>
              <w:t>there is difficulty separating the firm and community benefits of the program</w:t>
            </w:r>
          </w:p>
          <w:p w14:paraId="70DDAA57" w14:textId="77777777" w:rsidR="004B772E" w:rsidRPr="00BA2C10" w:rsidRDefault="004B772E" w:rsidP="004E5D4F">
            <w:pPr>
              <w:pStyle w:val="BoxListBullet"/>
              <w:rPr>
                <w:sz w:val="18"/>
                <w:szCs w:val="18"/>
              </w:rPr>
            </w:pPr>
            <w:r w:rsidRPr="00BA2C10">
              <w:rPr>
                <w:sz w:val="18"/>
                <w:szCs w:val="18"/>
              </w:rPr>
              <w:t>Australian Treasury do not estimate the value of some tax concessions.</w:t>
            </w:r>
          </w:p>
          <w:p w14:paraId="70DDAA58" w14:textId="77777777" w:rsidR="004B772E" w:rsidRPr="00BA2C10" w:rsidRDefault="004B772E" w:rsidP="00B95D5F">
            <w:pPr>
              <w:pStyle w:val="Box"/>
              <w:spacing w:before="100"/>
              <w:rPr>
                <w:sz w:val="18"/>
                <w:szCs w:val="18"/>
              </w:rPr>
            </w:pPr>
            <w:r w:rsidRPr="00BA2C10">
              <w:rPr>
                <w:sz w:val="18"/>
                <w:szCs w:val="18"/>
              </w:rPr>
              <w:t>Similarly government purchases at above</w:t>
            </w:r>
            <w:r w:rsidR="00B9600B" w:rsidRPr="00BA2C10">
              <w:rPr>
                <w:sz w:val="18"/>
                <w:szCs w:val="18"/>
              </w:rPr>
              <w:t>-</w:t>
            </w:r>
            <w:r w:rsidRPr="00BA2C10">
              <w:rPr>
                <w:sz w:val="18"/>
                <w:szCs w:val="18"/>
              </w:rPr>
              <w:t>market price (such as the local purchase of submarines) are regarded as unmeasured assistance. It is difficult to reliably estimate the extra cost faced by government as a result of the decision to purchase locally, relative to the cost from purchasing from the least-cost provider.</w:t>
            </w:r>
          </w:p>
          <w:p w14:paraId="70DDAA59" w14:textId="77777777" w:rsidR="004B772E" w:rsidRDefault="004B772E" w:rsidP="00D85C25">
            <w:pPr>
              <w:pStyle w:val="BoxHeading1"/>
              <w:spacing w:before="160"/>
            </w:pPr>
            <w:r>
              <w:t>Not included as budgetary assistance in the TAR</w:t>
            </w:r>
          </w:p>
          <w:p w14:paraId="70DDAA5A" w14:textId="77777777" w:rsidR="004B772E" w:rsidRPr="00BA2C10" w:rsidRDefault="004B772E" w:rsidP="00B95D5F">
            <w:pPr>
              <w:pStyle w:val="Box"/>
              <w:spacing w:before="100"/>
              <w:rPr>
                <w:sz w:val="18"/>
                <w:szCs w:val="18"/>
              </w:rPr>
            </w:pPr>
            <w:r w:rsidRPr="00BA2C10">
              <w:rPr>
                <w:sz w:val="18"/>
                <w:szCs w:val="18"/>
              </w:rPr>
              <w:t>Some government programs are excluded from the TAR. These include:</w:t>
            </w:r>
          </w:p>
          <w:p w14:paraId="70DDAA5B" w14:textId="77777777" w:rsidR="004B772E" w:rsidRPr="00BA2C10" w:rsidRDefault="004B772E" w:rsidP="00D85C25">
            <w:pPr>
              <w:pStyle w:val="BoxListBullet"/>
              <w:spacing w:before="80"/>
              <w:rPr>
                <w:sz w:val="18"/>
                <w:szCs w:val="18"/>
              </w:rPr>
            </w:pPr>
            <w:r w:rsidRPr="00BA2C10">
              <w:rPr>
                <w:sz w:val="18"/>
                <w:szCs w:val="18"/>
              </w:rPr>
              <w:t>all budgetary assistance provided by state, territory and local governments</w:t>
            </w:r>
          </w:p>
          <w:p w14:paraId="70DDAA5C" w14:textId="77777777" w:rsidR="004B772E" w:rsidRPr="00BA2C10" w:rsidRDefault="004B772E" w:rsidP="00D85C25">
            <w:pPr>
              <w:pStyle w:val="BoxListBullet"/>
              <w:spacing w:before="80"/>
              <w:rPr>
                <w:sz w:val="18"/>
                <w:szCs w:val="18"/>
              </w:rPr>
            </w:pPr>
            <w:r w:rsidRPr="00BA2C10">
              <w:rPr>
                <w:sz w:val="18"/>
                <w:szCs w:val="18"/>
              </w:rPr>
              <w:t xml:space="preserve">potential ‘under-pricing’ of access to resources (such as water, minerals, forests and fishing) </w:t>
            </w:r>
          </w:p>
          <w:p w14:paraId="70DDAA5D" w14:textId="77777777" w:rsidR="004B772E" w:rsidRPr="00BA2C10" w:rsidRDefault="004B772E" w:rsidP="00D85C25">
            <w:pPr>
              <w:pStyle w:val="BoxListBullet"/>
              <w:spacing w:before="80"/>
              <w:rPr>
                <w:sz w:val="18"/>
                <w:szCs w:val="18"/>
              </w:rPr>
            </w:pPr>
            <w:r w:rsidRPr="00BA2C10">
              <w:rPr>
                <w:sz w:val="18"/>
                <w:szCs w:val="18"/>
              </w:rPr>
              <w:t>subsidies that directly benefit consumers, and indirectly benefit particular firms or industries (for example, superannuation tax concessions, private health insurance rebates, fringe benefit tax exemptions, and negative gearing)</w:t>
            </w:r>
          </w:p>
          <w:p w14:paraId="70DDAA5E" w14:textId="77777777" w:rsidR="004B772E" w:rsidRPr="00BA2C10" w:rsidRDefault="004B772E" w:rsidP="00D85C25">
            <w:pPr>
              <w:pStyle w:val="BoxListBullet"/>
              <w:spacing w:before="80"/>
              <w:rPr>
                <w:sz w:val="18"/>
                <w:szCs w:val="18"/>
              </w:rPr>
            </w:pPr>
            <w:r w:rsidRPr="00BA2C10">
              <w:rPr>
                <w:sz w:val="18"/>
                <w:szCs w:val="18"/>
              </w:rPr>
              <w:t>government purchases that are competitively tendered</w:t>
            </w:r>
          </w:p>
          <w:p w14:paraId="70DDAA5F" w14:textId="77777777" w:rsidR="004B772E" w:rsidRPr="00BA2C10" w:rsidRDefault="004B772E" w:rsidP="00D85C25">
            <w:pPr>
              <w:pStyle w:val="BoxListBullet"/>
              <w:spacing w:before="80"/>
              <w:rPr>
                <w:sz w:val="18"/>
                <w:szCs w:val="18"/>
              </w:rPr>
            </w:pPr>
            <w:r w:rsidRPr="00BA2C10">
              <w:rPr>
                <w:sz w:val="18"/>
                <w:szCs w:val="18"/>
              </w:rPr>
              <w:t>infrastructure investments that have a general purpose</w:t>
            </w:r>
          </w:p>
          <w:p w14:paraId="70DDAA60" w14:textId="77777777" w:rsidR="004B772E" w:rsidRPr="00BA2C10" w:rsidRDefault="004B772E" w:rsidP="00D85C25">
            <w:pPr>
              <w:pStyle w:val="BoxListBullet"/>
              <w:spacing w:before="80"/>
              <w:rPr>
                <w:sz w:val="18"/>
                <w:szCs w:val="18"/>
              </w:rPr>
            </w:pPr>
            <w:r w:rsidRPr="00BA2C10">
              <w:rPr>
                <w:sz w:val="18"/>
                <w:szCs w:val="18"/>
              </w:rPr>
              <w:t>research and development that does not have immediate or obvious commercial application by a firm</w:t>
            </w:r>
          </w:p>
          <w:p w14:paraId="70DDAA61" w14:textId="77777777" w:rsidR="004B772E" w:rsidRPr="00B95D5F" w:rsidRDefault="004B772E" w:rsidP="00D85C25">
            <w:pPr>
              <w:pStyle w:val="BoxListBullet"/>
              <w:spacing w:before="80"/>
              <w:rPr>
                <w:spacing w:val="2"/>
              </w:rPr>
            </w:pPr>
            <w:r w:rsidRPr="00BA2C10">
              <w:rPr>
                <w:spacing w:val="2"/>
                <w:sz w:val="18"/>
                <w:szCs w:val="18"/>
              </w:rPr>
              <w:t xml:space="preserve">tax exemptions where the tax is related to an activity which the firm does not undertake. For example, fuel excise notionally funds public roads and fuel tax credits are allowed for businesses that do not use public roads. This logic seems to have disappeared with the incorporation of fuel excise into consolidated revenue. </w:t>
            </w:r>
            <w:r w:rsidR="002B77A8" w:rsidRPr="00BA2C10">
              <w:rPr>
                <w:spacing w:val="2"/>
                <w:sz w:val="18"/>
                <w:szCs w:val="18"/>
              </w:rPr>
              <w:t>F</w:t>
            </w:r>
            <w:r w:rsidRPr="00BA2C10">
              <w:rPr>
                <w:spacing w:val="2"/>
                <w:sz w:val="18"/>
                <w:szCs w:val="18"/>
              </w:rPr>
              <w:t>uel tax credits could potentially be considered assistance that favours some firms, or as a cost penalty experienced by some firms but not others. It is worth noting that the status of fuel tax credits as a form of industry assistance is contentious, and has not been formally established by the Commission.</w:t>
            </w:r>
            <w:r w:rsidRPr="00B95D5F">
              <w:rPr>
                <w:spacing w:val="2"/>
              </w:rPr>
              <w:t xml:space="preserve"> </w:t>
            </w:r>
          </w:p>
        </w:tc>
      </w:tr>
      <w:tr w:rsidR="004B772E" w14:paraId="70DDAA64" w14:textId="77777777" w:rsidTr="00D85C25">
        <w:tc>
          <w:tcPr>
            <w:tcW w:w="5000" w:type="pct"/>
            <w:tcBorders>
              <w:top w:val="nil"/>
              <w:left w:val="nil"/>
              <w:bottom w:val="single" w:sz="6" w:space="0" w:color="78A22F"/>
              <w:right w:val="nil"/>
            </w:tcBorders>
            <w:shd w:val="clear" w:color="auto" w:fill="F2F2F2"/>
          </w:tcPr>
          <w:p w14:paraId="70DDAA63" w14:textId="77777777" w:rsidR="004B772E" w:rsidRDefault="004B772E" w:rsidP="00D85C25">
            <w:pPr>
              <w:pStyle w:val="Box"/>
              <w:keepNext w:val="0"/>
              <w:spacing w:before="0" w:line="120" w:lineRule="exact"/>
            </w:pPr>
          </w:p>
        </w:tc>
      </w:tr>
    </w:tbl>
    <w:p w14:paraId="70DDAA67" w14:textId="34E2F27F" w:rsidR="00B03505" w:rsidRPr="002D4134" w:rsidRDefault="00B03505" w:rsidP="004B772E">
      <w:pPr>
        <w:pStyle w:val="BodyText"/>
      </w:pPr>
      <w:r w:rsidRPr="002D4134">
        <w:lastRenderedPageBreak/>
        <w:t>Budgetary assistance estimates are derived primarily</w:t>
      </w:r>
      <w:r>
        <w:t xml:space="preserve"> from figures</w:t>
      </w:r>
      <w:r w:rsidRPr="002D4134">
        <w:t xml:space="preserve"> in departmental and agency annual reports and the annual Tax Expenditures Statement (TES) </w:t>
      </w:r>
      <w:r w:rsidR="00F93A2A" w:rsidRPr="00F93A2A">
        <w:rPr>
          <w:szCs w:val="24"/>
        </w:rPr>
        <w:t>(Australian Government 2016)</w:t>
      </w:r>
      <w:r w:rsidRPr="002D4134">
        <w:t xml:space="preserve">. </w:t>
      </w:r>
      <w:r>
        <w:t>Where necessary, b</w:t>
      </w:r>
      <w:r w:rsidRPr="002D4134">
        <w:t xml:space="preserve">udgetary assistance </w:t>
      </w:r>
      <w:r>
        <w:t xml:space="preserve">is disaggregated on the </w:t>
      </w:r>
      <w:r w:rsidRPr="002D4134">
        <w:t>basis of supplementary information provided by relevant departments or agencies.</w:t>
      </w:r>
    </w:p>
    <w:p w14:paraId="70DDAA68" w14:textId="71874D3D" w:rsidR="00B03505" w:rsidRDefault="00B03505" w:rsidP="00B03505">
      <w:pPr>
        <w:pStyle w:val="BodyText"/>
      </w:pPr>
      <w:r>
        <w:t>The construction of the budgetary assistance measures requires a detailed itemisation and classification of programs regarded as Australian Government budgetary assistance (figure </w:t>
      </w:r>
      <w:r w:rsidR="00E278AE">
        <w:t>4</w:t>
      </w:r>
      <w:r>
        <w:t>).</w:t>
      </w:r>
      <w:r>
        <w:rPr>
          <w:rStyle w:val="FootnoteReference"/>
        </w:rPr>
        <w:footnoteReference w:id="8"/>
      </w:r>
      <w:r>
        <w:t xml:space="preserve"> The result of this process is a database of Australian Government budgetary assistance items that are used to produce:</w:t>
      </w:r>
    </w:p>
    <w:p w14:paraId="70DDAA69" w14:textId="77777777" w:rsidR="00B03505" w:rsidRDefault="00B03505" w:rsidP="00B03505">
      <w:pPr>
        <w:pStyle w:val="ListBullet"/>
      </w:pPr>
      <w:r>
        <w:t>a set of tables detailing the assistance provided by individual programs to different industries (tables A.10 to A.14 in Appendix A of the 2013-14 TAR)</w:t>
      </w:r>
    </w:p>
    <w:p w14:paraId="70DDAA6A" w14:textId="77777777" w:rsidR="00B03505" w:rsidRDefault="00B03505" w:rsidP="00B03505">
      <w:pPr>
        <w:pStyle w:val="ListBullet"/>
      </w:pPr>
      <w:r>
        <w:t xml:space="preserve">an aggregated dataset of budgetary assistance that is an input into combined assistance estimates (section </w:t>
      </w:r>
      <w:r w:rsidR="00192FF8">
        <w:t>4</w:t>
      </w:r>
      <w:r>
        <w:t>).</w:t>
      </w:r>
    </w:p>
    <w:p w14:paraId="70DDAA6B" w14:textId="08149363" w:rsidR="00B03505" w:rsidRDefault="00B03505" w:rsidP="00B0350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03505" w14:paraId="70DDAA6D" w14:textId="77777777" w:rsidTr="00437799">
        <w:trPr>
          <w:tblHeader/>
        </w:trPr>
        <w:tc>
          <w:tcPr>
            <w:tcW w:w="8771" w:type="dxa"/>
            <w:tcBorders>
              <w:top w:val="single" w:sz="6" w:space="0" w:color="78A22F"/>
              <w:left w:val="nil"/>
              <w:bottom w:val="nil"/>
              <w:right w:val="nil"/>
            </w:tcBorders>
            <w:shd w:val="clear" w:color="auto" w:fill="auto"/>
          </w:tcPr>
          <w:p w14:paraId="70DDAA6C" w14:textId="70ED85D7" w:rsidR="00B03505" w:rsidRPr="00176D3F" w:rsidRDefault="00B03505" w:rsidP="00437799">
            <w:pPr>
              <w:pStyle w:val="FigureTitle"/>
            </w:pPr>
            <w:r w:rsidRPr="00784A05">
              <w:rPr>
                <w:b w:val="0"/>
              </w:rPr>
              <w:t xml:space="preserve">Figure </w:t>
            </w:r>
            <w:bookmarkStart w:id="6" w:name="OLE_LINK1"/>
            <w:r w:rsidR="008C264E">
              <w:rPr>
                <w:b w:val="0"/>
                <w:noProof/>
              </w:rPr>
              <w:t>4</w:t>
            </w:r>
            <w:bookmarkEnd w:id="6"/>
            <w:r>
              <w:tab/>
              <w:t>Compiling a budgetary assistance database</w:t>
            </w:r>
          </w:p>
        </w:tc>
      </w:tr>
      <w:tr w:rsidR="00B03505" w14:paraId="70DDAA71" w14:textId="77777777" w:rsidTr="0043779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B03505" w:rsidRPr="00B1465D" w14:paraId="70DDAA6F" w14:textId="77777777" w:rsidTr="00437799">
              <w:trPr>
                <w:tblHeader/>
                <w:jc w:val="center"/>
              </w:trPr>
              <w:tc>
                <w:tcPr>
                  <w:tcW w:w="5000" w:type="pct"/>
                  <w:tcBorders>
                    <w:top w:val="nil"/>
                    <w:bottom w:val="nil"/>
                  </w:tcBorders>
                </w:tcPr>
                <w:p w14:paraId="70DDAA6E" w14:textId="71818538" w:rsidR="00B03505" w:rsidRPr="00B1465D" w:rsidRDefault="00D450C5" w:rsidP="00437799">
                  <w:pPr>
                    <w:pStyle w:val="Figure"/>
                    <w:spacing w:before="60" w:after="60"/>
                    <w:jc w:val="left"/>
                    <w:rPr>
                      <w:rFonts w:ascii="Arial" w:hAnsi="Arial" w:cs="Arial"/>
                      <w:sz w:val="18"/>
                      <w:szCs w:val="18"/>
                    </w:rPr>
                  </w:pPr>
                  <w:r w:rsidRPr="00D450C5">
                    <w:rPr>
                      <w:rFonts w:ascii="Arial" w:hAnsi="Arial" w:cs="Arial"/>
                      <w:noProof/>
                      <w:sz w:val="18"/>
                      <w:szCs w:val="18"/>
                    </w:rPr>
                    <w:drawing>
                      <wp:inline distT="0" distB="0" distL="0" distR="0" wp14:anchorId="0C56AB5C" wp14:editId="14B804FC">
                        <wp:extent cx="4892040" cy="2842260"/>
                        <wp:effectExtent l="0" t="0" r="3810" b="0"/>
                        <wp:docPr id="13" name="Picture 13" descr="Figure 4 Compiling a budgetary assistance database &#10;&#10;This figure is a flow diagram showing various steps undertaken to estimate budgetary assistance. The first step requires collecting budgetary assistance data from various sources and then collating them. The second step categorises the data by portfolio, activity and types of allocation and duration of funding. The third step allocates the categorised budgetary assistance data to 38 industries, as reported in Trade and Assistance Review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2040" cy="2842260"/>
                                </a:xfrm>
                                <a:prstGeom prst="rect">
                                  <a:avLst/>
                                </a:prstGeom>
                                <a:noFill/>
                                <a:ln>
                                  <a:noFill/>
                                </a:ln>
                              </pic:spPr>
                            </pic:pic>
                          </a:graphicData>
                        </a:graphic>
                      </wp:inline>
                    </w:drawing>
                  </w:r>
                </w:p>
              </w:tc>
            </w:tr>
          </w:tbl>
          <w:p w14:paraId="70DDAA70" w14:textId="77777777" w:rsidR="00B03505" w:rsidRDefault="00B03505" w:rsidP="00437799">
            <w:pPr>
              <w:pStyle w:val="Figure"/>
            </w:pPr>
          </w:p>
        </w:tc>
      </w:tr>
      <w:tr w:rsidR="00B03505" w14:paraId="70DDAA73" w14:textId="77777777" w:rsidTr="00437799">
        <w:tc>
          <w:tcPr>
            <w:tcW w:w="8771" w:type="dxa"/>
            <w:tcBorders>
              <w:top w:val="nil"/>
              <w:left w:val="nil"/>
              <w:bottom w:val="single" w:sz="6" w:space="0" w:color="78A22F"/>
              <w:right w:val="nil"/>
            </w:tcBorders>
            <w:shd w:val="clear" w:color="auto" w:fill="auto"/>
          </w:tcPr>
          <w:p w14:paraId="70DDAA72" w14:textId="77777777" w:rsidR="00B03505" w:rsidRDefault="00B03505" w:rsidP="00437799">
            <w:pPr>
              <w:pStyle w:val="Figurespace"/>
            </w:pPr>
          </w:p>
        </w:tc>
      </w:tr>
      <w:tr w:rsidR="00B03505" w:rsidRPr="000863A5" w14:paraId="70DDAA75" w14:textId="77777777" w:rsidTr="00437799">
        <w:tc>
          <w:tcPr>
            <w:tcW w:w="8771" w:type="dxa"/>
            <w:tcBorders>
              <w:top w:val="single" w:sz="6" w:space="0" w:color="78A22F"/>
              <w:left w:val="nil"/>
              <w:bottom w:val="nil"/>
              <w:right w:val="nil"/>
            </w:tcBorders>
          </w:tcPr>
          <w:p w14:paraId="70DDAA74" w14:textId="1866E3EE" w:rsidR="00B03505" w:rsidRPr="00626D32" w:rsidRDefault="00B03505" w:rsidP="00437799">
            <w:pPr>
              <w:pStyle w:val="BoxSpaceBelow"/>
            </w:pPr>
          </w:p>
        </w:tc>
      </w:tr>
    </w:tbl>
    <w:p w14:paraId="70DDAA76" w14:textId="77777777" w:rsidR="00B03505" w:rsidRDefault="00B03505" w:rsidP="00B03505">
      <w:pPr>
        <w:pStyle w:val="Heading3"/>
      </w:pPr>
      <w:r>
        <w:lastRenderedPageBreak/>
        <w:t xml:space="preserve">Stage 1 — </w:t>
      </w:r>
      <w:r w:rsidRPr="00AD5275">
        <w:t>Coll</w:t>
      </w:r>
      <w:r>
        <w:t>ating budgetary assistance data</w:t>
      </w:r>
    </w:p>
    <w:p w14:paraId="70DDAA77" w14:textId="77777777" w:rsidR="00B03505" w:rsidRDefault="00B03505" w:rsidP="00B03505">
      <w:pPr>
        <w:pStyle w:val="BodyText"/>
      </w:pPr>
      <w:r>
        <w:t xml:space="preserve">The first stage of calculating budgetary assistance by industry involves identifying new programs that are to be included as budgetary assistance, and updating any previous budgetary assistance measures that have been revised. </w:t>
      </w:r>
    </w:p>
    <w:p w14:paraId="70DDAA78" w14:textId="77777777" w:rsidR="006E5DE0" w:rsidRDefault="006E5DE0" w:rsidP="00B03505">
      <w:pPr>
        <w:pStyle w:val="BodyText"/>
      </w:pPr>
      <w:r>
        <w:t>I</w:t>
      </w:r>
      <w:r w:rsidR="00B03505">
        <w:t xml:space="preserve">nformation about new and updated budgetary assistance programs </w:t>
      </w:r>
      <w:r>
        <w:t>comes from:</w:t>
      </w:r>
    </w:p>
    <w:p w14:paraId="70DDAA79" w14:textId="77777777" w:rsidR="006E5DE0" w:rsidRDefault="00B03505" w:rsidP="006E3205">
      <w:pPr>
        <w:pStyle w:val="ListBullet"/>
      </w:pPr>
      <w:r>
        <w:t xml:space="preserve">the Treasury’s Tax Expenditure Statement </w:t>
      </w:r>
    </w:p>
    <w:p w14:paraId="70DDAA7A" w14:textId="77777777" w:rsidR="00B03505" w:rsidRDefault="00B03505" w:rsidP="006E3205">
      <w:pPr>
        <w:pStyle w:val="ListBullet"/>
      </w:pPr>
      <w:r>
        <w:t>departmental annual reports</w:t>
      </w:r>
    </w:p>
    <w:p w14:paraId="70DDAA7B" w14:textId="02C9DC7B" w:rsidR="00B03505" w:rsidRDefault="00B03505" w:rsidP="00B03505">
      <w:pPr>
        <w:pStyle w:val="ListBullet"/>
      </w:pPr>
      <w:r>
        <w:t>email</w:t>
      </w:r>
      <w:r w:rsidR="006E3205">
        <w:t xml:space="preserve"> correspondence with </w:t>
      </w:r>
      <w:r>
        <w:t>contacts in relevant government departments asking for information about newly implemented assistance programs (table 1)</w:t>
      </w:r>
      <w:r w:rsidR="00F3421C">
        <w:rPr>
          <w:rStyle w:val="FootnoteReference"/>
        </w:rPr>
        <w:footnoteReference w:id="9"/>
      </w:r>
      <w:r w:rsidR="006E5DE0">
        <w:t>.</w:t>
      </w:r>
    </w:p>
    <w:p w14:paraId="70DDAA7C" w14:textId="77777777" w:rsidR="00B03505" w:rsidRDefault="006E5DE0" w:rsidP="00A116E5">
      <w:pPr>
        <w:pStyle w:val="BodyText"/>
      </w:pPr>
      <w:r>
        <w:t xml:space="preserve">Further information that informs </w:t>
      </w:r>
      <w:r w:rsidR="00B03505">
        <w:t xml:space="preserve">the ‘Recent developments’ section in the TAR about </w:t>
      </w:r>
      <w:r>
        <w:t xml:space="preserve">selected </w:t>
      </w:r>
      <w:r w:rsidR="00B03505">
        <w:t>newly implemented programs</w:t>
      </w:r>
      <w:r>
        <w:t xml:space="preserve"> is gathered from media releases, program documentation, and through requests to the relevant department</w:t>
      </w:r>
      <w:r w:rsidR="00B03505">
        <w:t>.</w:t>
      </w:r>
      <w:r>
        <w:t xml:space="preserve"> Recent developments focus on:</w:t>
      </w:r>
    </w:p>
    <w:p w14:paraId="70DDAA7D" w14:textId="77777777" w:rsidR="006E5DE0" w:rsidRDefault="006E5DE0">
      <w:pPr>
        <w:pStyle w:val="ListBullet"/>
      </w:pPr>
      <w:r>
        <w:t>new programs that are large</w:t>
      </w:r>
    </w:p>
    <w:p w14:paraId="70DDAA7E" w14:textId="77777777" w:rsidR="006E5DE0" w:rsidRDefault="006E5DE0">
      <w:pPr>
        <w:pStyle w:val="ListBullet"/>
      </w:pPr>
      <w:r>
        <w:t>new programs that assist industries that have not previously received much assistance</w:t>
      </w:r>
      <w:r w:rsidR="00292341">
        <w:t>, or assist a small number of firms</w:t>
      </w:r>
    </w:p>
    <w:p w14:paraId="70DDAA7F" w14:textId="77777777" w:rsidR="006E5DE0" w:rsidRDefault="006E5DE0">
      <w:pPr>
        <w:pStyle w:val="ListBullet"/>
      </w:pPr>
      <w:r>
        <w:t>new programs that have new features in how they provide assistance</w:t>
      </w:r>
    </w:p>
    <w:p w14:paraId="70DDAA80" w14:textId="77777777" w:rsidR="006E5DE0" w:rsidRDefault="006E5DE0">
      <w:pPr>
        <w:pStyle w:val="ListBullet"/>
      </w:pPr>
      <w:r>
        <w:t>major changes to existing programs, including their closure, major eligibility changes, or shifts in the form and/or quantum of assistance.</w:t>
      </w:r>
    </w:p>
    <w:p w14:paraId="70DDAA81" w14:textId="3E42E652" w:rsidR="00B03505" w:rsidRDefault="00B03505" w:rsidP="00B0350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03505" w14:paraId="70DDAA83" w14:textId="77777777" w:rsidTr="00D450C5">
        <w:tc>
          <w:tcPr>
            <w:tcW w:w="5000" w:type="pct"/>
            <w:tcBorders>
              <w:top w:val="single" w:sz="6" w:space="0" w:color="78A22F"/>
              <w:left w:val="nil"/>
              <w:bottom w:val="nil"/>
              <w:right w:val="nil"/>
            </w:tcBorders>
            <w:shd w:val="clear" w:color="auto" w:fill="auto"/>
          </w:tcPr>
          <w:p w14:paraId="70DDAA82" w14:textId="38B0DF78" w:rsidR="00B03505" w:rsidRPr="00784A05" w:rsidRDefault="00B03505" w:rsidP="00437799">
            <w:pPr>
              <w:pStyle w:val="TableTitle"/>
            </w:pPr>
            <w:r>
              <w:rPr>
                <w:b w:val="0"/>
              </w:rPr>
              <w:t xml:space="preserve">Table </w:t>
            </w:r>
            <w:r w:rsidR="008C264E">
              <w:rPr>
                <w:b w:val="0"/>
                <w:noProof/>
              </w:rPr>
              <w:t>1</w:t>
            </w:r>
            <w:r>
              <w:tab/>
              <w:t>Departmental contact list, 2014-15 TAR</w:t>
            </w:r>
          </w:p>
        </w:tc>
      </w:tr>
      <w:tr w:rsidR="00B03505" w14:paraId="70DDAAB3" w14:textId="77777777" w:rsidTr="00D450C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41"/>
              <w:gridCol w:w="2441"/>
              <w:gridCol w:w="1439"/>
              <w:gridCol w:w="2684"/>
            </w:tblGrid>
            <w:tr w:rsidR="00B03505" w14:paraId="70DDAA88" w14:textId="77777777" w:rsidTr="00D85C25">
              <w:trPr>
                <w:tblHeader/>
              </w:trPr>
              <w:tc>
                <w:tcPr>
                  <w:tcW w:w="1141" w:type="pct"/>
                  <w:tcBorders>
                    <w:top w:val="single" w:sz="6" w:space="0" w:color="BFBFBF"/>
                    <w:bottom w:val="single" w:sz="6" w:space="0" w:color="BFBFBF"/>
                  </w:tcBorders>
                  <w:shd w:val="clear" w:color="auto" w:fill="auto"/>
                  <w:tcMar>
                    <w:top w:w="28" w:type="dxa"/>
                  </w:tcMar>
                </w:tcPr>
                <w:p w14:paraId="70DDAA84" w14:textId="77777777" w:rsidR="00B03505" w:rsidRDefault="00B03505" w:rsidP="00D85C25">
                  <w:pPr>
                    <w:pStyle w:val="TableColumnHeading"/>
                    <w:jc w:val="left"/>
                  </w:pPr>
                  <w:r>
                    <w:t>Department</w:t>
                  </w:r>
                </w:p>
              </w:tc>
              <w:tc>
                <w:tcPr>
                  <w:tcW w:w="1435" w:type="pct"/>
                  <w:tcBorders>
                    <w:top w:val="single" w:sz="6" w:space="0" w:color="BFBFBF"/>
                    <w:bottom w:val="single" w:sz="6" w:space="0" w:color="BFBFBF"/>
                  </w:tcBorders>
                </w:tcPr>
                <w:p w14:paraId="70DDAA85" w14:textId="77777777" w:rsidR="00B03505" w:rsidRDefault="00B03505" w:rsidP="00D85C25">
                  <w:pPr>
                    <w:pStyle w:val="TableColumnHeading"/>
                    <w:jc w:val="left"/>
                  </w:pPr>
                  <w:r>
                    <w:t>Contact</w:t>
                  </w:r>
                </w:p>
              </w:tc>
              <w:tc>
                <w:tcPr>
                  <w:tcW w:w="846" w:type="pct"/>
                  <w:tcBorders>
                    <w:top w:val="single" w:sz="6" w:space="0" w:color="BFBFBF"/>
                    <w:bottom w:val="single" w:sz="6" w:space="0" w:color="BFBFBF"/>
                  </w:tcBorders>
                  <w:shd w:val="clear" w:color="auto" w:fill="auto"/>
                  <w:tcMar>
                    <w:top w:w="28" w:type="dxa"/>
                  </w:tcMar>
                </w:tcPr>
                <w:p w14:paraId="70DDAA86" w14:textId="77777777" w:rsidR="00B03505" w:rsidRDefault="00B03505" w:rsidP="00D85C25">
                  <w:pPr>
                    <w:pStyle w:val="TableColumnHeading"/>
                    <w:jc w:val="left"/>
                  </w:pPr>
                  <w:r>
                    <w:t>Phone</w:t>
                  </w:r>
                </w:p>
              </w:tc>
              <w:tc>
                <w:tcPr>
                  <w:tcW w:w="1578" w:type="pct"/>
                  <w:tcBorders>
                    <w:top w:val="single" w:sz="6" w:space="0" w:color="BFBFBF"/>
                    <w:bottom w:val="single" w:sz="6" w:space="0" w:color="BFBFBF"/>
                  </w:tcBorders>
                  <w:shd w:val="clear" w:color="auto" w:fill="auto"/>
                  <w:tcMar>
                    <w:top w:w="28" w:type="dxa"/>
                  </w:tcMar>
                </w:tcPr>
                <w:p w14:paraId="70DDAA87" w14:textId="77777777" w:rsidR="00B03505" w:rsidRDefault="00B03505" w:rsidP="00D85C25">
                  <w:pPr>
                    <w:pStyle w:val="TableColumnHeading"/>
                    <w:ind w:right="28"/>
                    <w:jc w:val="left"/>
                  </w:pPr>
                  <w:r>
                    <w:t>Email</w:t>
                  </w:r>
                </w:p>
              </w:tc>
            </w:tr>
            <w:tr w:rsidR="00B03505" w14:paraId="70DDAA8D" w14:textId="77777777" w:rsidTr="00D85C25">
              <w:tc>
                <w:tcPr>
                  <w:tcW w:w="1141" w:type="pct"/>
                  <w:tcBorders>
                    <w:top w:val="single" w:sz="6" w:space="0" w:color="BFBFBF"/>
                  </w:tcBorders>
                </w:tcPr>
                <w:p w14:paraId="70DDAA89" w14:textId="77777777" w:rsidR="00B03505" w:rsidRDefault="000B7FAF" w:rsidP="00437799">
                  <w:pPr>
                    <w:pStyle w:val="TableUnitsRow"/>
                    <w:jc w:val="left"/>
                  </w:pPr>
                  <w:r>
                    <w:t>Dept. of Industry, Innovation and Science</w:t>
                  </w:r>
                </w:p>
              </w:tc>
              <w:tc>
                <w:tcPr>
                  <w:tcW w:w="1435" w:type="pct"/>
                  <w:tcBorders>
                    <w:top w:val="single" w:sz="6" w:space="0" w:color="BFBFBF"/>
                  </w:tcBorders>
                </w:tcPr>
                <w:p w14:paraId="70DDAA8A" w14:textId="77777777" w:rsidR="00B03505" w:rsidRDefault="00B03505" w:rsidP="00437799">
                  <w:pPr>
                    <w:pStyle w:val="TableUnitsRow"/>
                    <w:jc w:val="left"/>
                  </w:pPr>
                  <w:r w:rsidRPr="000268BE">
                    <w:t>Cheryl Kong</w:t>
                  </w:r>
                  <w:r w:rsidR="00AF4A6B">
                    <w:br/>
                  </w:r>
                  <w:r w:rsidRPr="000268BE">
                    <w:t>Senior Finance Officer, Corporate Network</w:t>
                  </w:r>
                </w:p>
              </w:tc>
              <w:tc>
                <w:tcPr>
                  <w:tcW w:w="846" w:type="pct"/>
                  <w:tcBorders>
                    <w:top w:val="single" w:sz="6" w:space="0" w:color="BFBFBF"/>
                  </w:tcBorders>
                </w:tcPr>
                <w:p w14:paraId="70DDAA8B" w14:textId="77777777" w:rsidR="00B03505" w:rsidRDefault="00B03505" w:rsidP="00D85C25">
                  <w:pPr>
                    <w:pStyle w:val="TableUnitsRow"/>
                    <w:jc w:val="left"/>
                  </w:pPr>
                  <w:r>
                    <w:t xml:space="preserve">02 </w:t>
                  </w:r>
                  <w:r w:rsidRPr="000268BE">
                    <w:t>6102 9579</w:t>
                  </w:r>
                </w:p>
              </w:tc>
              <w:tc>
                <w:tcPr>
                  <w:tcW w:w="1578" w:type="pct"/>
                  <w:tcBorders>
                    <w:top w:val="single" w:sz="6" w:space="0" w:color="BFBFBF"/>
                  </w:tcBorders>
                </w:tcPr>
                <w:p w14:paraId="70DDAA8C" w14:textId="14A81FDC" w:rsidR="00B03505" w:rsidRDefault="00B03505" w:rsidP="00D85C25">
                  <w:pPr>
                    <w:pStyle w:val="TableUnitsRow"/>
                    <w:ind w:right="28"/>
                    <w:jc w:val="left"/>
                  </w:pPr>
                  <w:r w:rsidRPr="000533F8">
                    <w:t>Cheryl.Kong@industry.gov.au</w:t>
                  </w:r>
                </w:p>
              </w:tc>
            </w:tr>
            <w:tr w:rsidR="00B03505" w14:paraId="70DDAA92" w14:textId="77777777" w:rsidTr="00D85C25">
              <w:tc>
                <w:tcPr>
                  <w:tcW w:w="1141" w:type="pct"/>
                </w:tcPr>
                <w:p w14:paraId="70DDAA8E" w14:textId="77777777" w:rsidR="00B03505" w:rsidRDefault="000B7FAF" w:rsidP="000B7FAF">
                  <w:pPr>
                    <w:pStyle w:val="TableBodyText"/>
                    <w:jc w:val="left"/>
                  </w:pPr>
                  <w:r>
                    <w:t>Dept. of Industry, Innovation and Science</w:t>
                  </w:r>
                </w:p>
              </w:tc>
              <w:tc>
                <w:tcPr>
                  <w:tcW w:w="1435" w:type="pct"/>
                </w:tcPr>
                <w:p w14:paraId="70DDAA8F" w14:textId="77777777" w:rsidR="00B03505" w:rsidRDefault="00B03505" w:rsidP="000B7FAF">
                  <w:pPr>
                    <w:pStyle w:val="TableBodyText"/>
                    <w:jc w:val="left"/>
                  </w:pPr>
                  <w:r w:rsidRPr="000268BE">
                    <w:t>Cecilia Tran</w:t>
                  </w:r>
                  <w:r w:rsidR="000B7FAF">
                    <w:br/>
                    <w:t>Cooperative Research Centres</w:t>
                  </w:r>
                </w:p>
              </w:tc>
              <w:tc>
                <w:tcPr>
                  <w:tcW w:w="846" w:type="pct"/>
                </w:tcPr>
                <w:p w14:paraId="70DDAA90" w14:textId="77777777" w:rsidR="00B03505" w:rsidRDefault="00B03505" w:rsidP="00D85C25">
                  <w:pPr>
                    <w:pStyle w:val="TableBodyText"/>
                    <w:jc w:val="left"/>
                  </w:pPr>
                  <w:r>
                    <w:t xml:space="preserve">02 </w:t>
                  </w:r>
                  <w:r w:rsidRPr="000268BE">
                    <w:t>6213 6034</w:t>
                  </w:r>
                </w:p>
              </w:tc>
              <w:tc>
                <w:tcPr>
                  <w:tcW w:w="1578" w:type="pct"/>
                </w:tcPr>
                <w:p w14:paraId="70DDAA91" w14:textId="178BF71D" w:rsidR="00B03505" w:rsidRDefault="00B03505" w:rsidP="00D85C25">
                  <w:pPr>
                    <w:pStyle w:val="TableUnitsRow"/>
                    <w:ind w:right="28"/>
                    <w:jc w:val="left"/>
                  </w:pPr>
                  <w:r w:rsidRPr="000268BE">
                    <w:t xml:space="preserve">coordcrcbranch@industry.gov.au </w:t>
                  </w:r>
                  <w:r w:rsidRPr="000533F8">
                    <w:t>cecilia.tran@industry.gov.au</w:t>
                  </w:r>
                </w:p>
              </w:tc>
            </w:tr>
            <w:tr w:rsidR="000B7FAF" w14:paraId="70DDAA97" w14:textId="77777777" w:rsidTr="00D85C25">
              <w:tc>
                <w:tcPr>
                  <w:tcW w:w="1141" w:type="pct"/>
                  <w:shd w:val="clear" w:color="auto" w:fill="auto"/>
                </w:tcPr>
                <w:p w14:paraId="70DDAA93" w14:textId="77777777" w:rsidR="000B7FAF" w:rsidRDefault="000B7FAF" w:rsidP="00437799">
                  <w:pPr>
                    <w:pStyle w:val="TableBodyText"/>
                    <w:jc w:val="left"/>
                  </w:pPr>
                  <w:r>
                    <w:t>Tradex, Dept. of Industry, Innovation and Science</w:t>
                  </w:r>
                </w:p>
              </w:tc>
              <w:tc>
                <w:tcPr>
                  <w:tcW w:w="1435" w:type="pct"/>
                </w:tcPr>
                <w:p w14:paraId="70DDAA94" w14:textId="77777777" w:rsidR="000B7FAF" w:rsidRDefault="000B7FAF" w:rsidP="00437799">
                  <w:pPr>
                    <w:pStyle w:val="TableBodyText"/>
                    <w:jc w:val="left"/>
                  </w:pPr>
                  <w:r w:rsidRPr="001F0925">
                    <w:t>Tom Lees</w:t>
                  </w:r>
                  <w:r>
                    <w:br/>
                    <w:t>Acting Director, Trade Policy</w:t>
                  </w:r>
                </w:p>
              </w:tc>
              <w:tc>
                <w:tcPr>
                  <w:tcW w:w="846" w:type="pct"/>
                  <w:shd w:val="clear" w:color="auto" w:fill="auto"/>
                </w:tcPr>
                <w:p w14:paraId="70DDAA95" w14:textId="77777777" w:rsidR="000B7FAF" w:rsidRDefault="000B7FAF" w:rsidP="00D85C25">
                  <w:pPr>
                    <w:pStyle w:val="TableBodyText"/>
                    <w:jc w:val="left"/>
                  </w:pPr>
                  <w:r>
                    <w:t xml:space="preserve">02 </w:t>
                  </w:r>
                  <w:r w:rsidRPr="001F0925">
                    <w:t>6198 7878</w:t>
                  </w:r>
                </w:p>
              </w:tc>
              <w:tc>
                <w:tcPr>
                  <w:tcW w:w="1578" w:type="pct"/>
                  <w:shd w:val="clear" w:color="auto" w:fill="auto"/>
                </w:tcPr>
                <w:p w14:paraId="70DDAA96" w14:textId="77777777" w:rsidR="000B7FAF" w:rsidRDefault="000B7FAF" w:rsidP="00D85C25">
                  <w:pPr>
                    <w:pStyle w:val="TableUnitsRow"/>
                    <w:ind w:right="28"/>
                    <w:jc w:val="left"/>
                  </w:pPr>
                  <w:r>
                    <w:t>–</w:t>
                  </w:r>
                </w:p>
              </w:tc>
            </w:tr>
            <w:tr w:rsidR="00B03505" w14:paraId="70DDAA9C" w14:textId="77777777" w:rsidTr="00D85C25">
              <w:tc>
                <w:tcPr>
                  <w:tcW w:w="1141" w:type="pct"/>
                  <w:shd w:val="clear" w:color="auto" w:fill="auto"/>
                </w:tcPr>
                <w:p w14:paraId="70DDAA98" w14:textId="77777777" w:rsidR="00B03505" w:rsidRDefault="00B03505" w:rsidP="00437799">
                  <w:pPr>
                    <w:pStyle w:val="TableBodyText"/>
                    <w:jc w:val="left"/>
                  </w:pPr>
                  <w:r>
                    <w:t>CSIRO</w:t>
                  </w:r>
                </w:p>
              </w:tc>
              <w:tc>
                <w:tcPr>
                  <w:tcW w:w="1435" w:type="pct"/>
                </w:tcPr>
                <w:p w14:paraId="70DDAA99" w14:textId="77777777" w:rsidR="00B03505" w:rsidRDefault="00B03505" w:rsidP="00437799">
                  <w:pPr>
                    <w:pStyle w:val="TableBodyText"/>
                    <w:jc w:val="left"/>
                  </w:pPr>
                  <w:r>
                    <w:t>Mark Bazzaco</w:t>
                  </w:r>
                  <w:r w:rsidR="00AF4A6B">
                    <w:br/>
                  </w:r>
                  <w:r w:rsidR="00AF4A6B" w:rsidRPr="00AF4A6B">
                    <w:t>Executive Manager, Planning &amp; Performance</w:t>
                  </w:r>
                </w:p>
              </w:tc>
              <w:tc>
                <w:tcPr>
                  <w:tcW w:w="846" w:type="pct"/>
                  <w:shd w:val="clear" w:color="auto" w:fill="auto"/>
                </w:tcPr>
                <w:p w14:paraId="70DDAA9A" w14:textId="77777777" w:rsidR="00B03505" w:rsidRDefault="00B03505" w:rsidP="00D85C25">
                  <w:pPr>
                    <w:pStyle w:val="TableBodyText"/>
                    <w:jc w:val="left"/>
                  </w:pPr>
                  <w:r>
                    <w:t xml:space="preserve">02 </w:t>
                  </w:r>
                  <w:r w:rsidRPr="000268BE">
                    <w:t>6276 6534</w:t>
                  </w:r>
                </w:p>
              </w:tc>
              <w:tc>
                <w:tcPr>
                  <w:tcW w:w="1578" w:type="pct"/>
                  <w:shd w:val="clear" w:color="auto" w:fill="auto"/>
                </w:tcPr>
                <w:p w14:paraId="70DDAA9B" w14:textId="6CAA33D2" w:rsidR="00B03505" w:rsidRDefault="00B03505" w:rsidP="00D85C25">
                  <w:pPr>
                    <w:pStyle w:val="TableUnitsRow"/>
                    <w:ind w:right="28"/>
                    <w:jc w:val="left"/>
                  </w:pPr>
                  <w:r w:rsidRPr="000533F8">
                    <w:t>mark.bazzacco@csiro.au</w:t>
                  </w:r>
                </w:p>
              </w:tc>
            </w:tr>
            <w:tr w:rsidR="00B03505" w14:paraId="70DDAAA1" w14:textId="77777777" w:rsidTr="00D85C25">
              <w:tc>
                <w:tcPr>
                  <w:tcW w:w="1141" w:type="pct"/>
                  <w:shd w:val="clear" w:color="auto" w:fill="auto"/>
                </w:tcPr>
                <w:p w14:paraId="70DDAA9D" w14:textId="77777777" w:rsidR="00B03505" w:rsidRDefault="00B03505" w:rsidP="00437799">
                  <w:pPr>
                    <w:pStyle w:val="TableBodyText"/>
                    <w:jc w:val="left"/>
                  </w:pPr>
                  <w:r>
                    <w:t>Australian Taxation Office</w:t>
                  </w:r>
                </w:p>
              </w:tc>
              <w:tc>
                <w:tcPr>
                  <w:tcW w:w="1435" w:type="pct"/>
                </w:tcPr>
                <w:p w14:paraId="70DDAA9E" w14:textId="77777777" w:rsidR="00B03505" w:rsidRDefault="00B03505" w:rsidP="00AF4A6B">
                  <w:pPr>
                    <w:pStyle w:val="TableBodyText"/>
                    <w:jc w:val="left"/>
                  </w:pPr>
                  <w:r>
                    <w:t>Matt Powe</w:t>
                  </w:r>
                  <w:r w:rsidR="00AF4A6B">
                    <w:t>r</w:t>
                  </w:r>
                  <w:r w:rsidR="00AF4A6B">
                    <w:br/>
                  </w:r>
                  <w:r>
                    <w:t>Director</w:t>
                  </w:r>
                  <w:r w:rsidR="00AF4A6B">
                    <w:t xml:space="preserve">, </w:t>
                  </w:r>
                  <w:r>
                    <w:t>Taxation Statistics</w:t>
                  </w:r>
                </w:p>
              </w:tc>
              <w:tc>
                <w:tcPr>
                  <w:tcW w:w="846" w:type="pct"/>
                  <w:shd w:val="clear" w:color="auto" w:fill="auto"/>
                </w:tcPr>
                <w:p w14:paraId="70DDAA9F" w14:textId="77777777" w:rsidR="00B03505" w:rsidRDefault="00B03505" w:rsidP="00D85C25">
                  <w:pPr>
                    <w:pStyle w:val="TableBodyText"/>
                    <w:jc w:val="left"/>
                  </w:pPr>
                  <w:r>
                    <w:t>13 28 69</w:t>
                  </w:r>
                </w:p>
              </w:tc>
              <w:tc>
                <w:tcPr>
                  <w:tcW w:w="1578" w:type="pct"/>
                  <w:shd w:val="clear" w:color="auto" w:fill="auto"/>
                </w:tcPr>
                <w:p w14:paraId="70DDAAA0" w14:textId="5CD9530D" w:rsidR="00B03505" w:rsidRDefault="00B03505" w:rsidP="00D85C25">
                  <w:pPr>
                    <w:pStyle w:val="TableUnitsRow"/>
                    <w:ind w:right="28"/>
                    <w:jc w:val="left"/>
                  </w:pPr>
                  <w:r w:rsidRPr="000533F8">
                    <w:t>matt.power@ato.gov.au</w:t>
                  </w:r>
                </w:p>
              </w:tc>
            </w:tr>
            <w:tr w:rsidR="00B03505" w14:paraId="70DDAAA7" w14:textId="77777777" w:rsidTr="00D85C25">
              <w:tc>
                <w:tcPr>
                  <w:tcW w:w="1141" w:type="pct"/>
                  <w:shd w:val="clear" w:color="auto" w:fill="auto"/>
                </w:tcPr>
                <w:p w14:paraId="70DDAAA2" w14:textId="77777777" w:rsidR="00B03505" w:rsidRDefault="00B03505" w:rsidP="00437799">
                  <w:pPr>
                    <w:pStyle w:val="TableBodyText"/>
                    <w:jc w:val="left"/>
                  </w:pPr>
                  <w:r>
                    <w:t>Dept. of Agriculture, Forestry and Fishing</w:t>
                  </w:r>
                </w:p>
              </w:tc>
              <w:tc>
                <w:tcPr>
                  <w:tcW w:w="1435" w:type="pct"/>
                </w:tcPr>
                <w:p w14:paraId="70DDAAA3" w14:textId="77777777" w:rsidR="00B03505" w:rsidRDefault="00B03505" w:rsidP="00437799">
                  <w:pPr>
                    <w:pStyle w:val="TableBodyText"/>
                    <w:jc w:val="left"/>
                  </w:pPr>
                  <w:r>
                    <w:t>Kate Tominac</w:t>
                  </w:r>
                  <w:r w:rsidR="00AF4A6B">
                    <w:br/>
                    <w:t>Director, External Budgets</w:t>
                  </w:r>
                </w:p>
              </w:tc>
              <w:tc>
                <w:tcPr>
                  <w:tcW w:w="846" w:type="pct"/>
                  <w:shd w:val="clear" w:color="auto" w:fill="auto"/>
                </w:tcPr>
                <w:p w14:paraId="70DDAAA4" w14:textId="77777777" w:rsidR="00B03505" w:rsidRDefault="00B03505" w:rsidP="00D85C25">
                  <w:pPr>
                    <w:pStyle w:val="TableBodyText"/>
                    <w:jc w:val="left"/>
                  </w:pPr>
                  <w:r>
                    <w:t>02 6272 4790</w:t>
                  </w:r>
                </w:p>
              </w:tc>
              <w:tc>
                <w:tcPr>
                  <w:tcW w:w="1578" w:type="pct"/>
                  <w:shd w:val="clear" w:color="auto" w:fill="auto"/>
                </w:tcPr>
                <w:p w14:paraId="70DDAAA5" w14:textId="77777777" w:rsidR="00B03505" w:rsidRDefault="00B03505" w:rsidP="00D85C25">
                  <w:pPr>
                    <w:pStyle w:val="TableUnitsRow"/>
                    <w:ind w:right="28"/>
                    <w:jc w:val="left"/>
                  </w:pPr>
                  <w:r>
                    <w:t>kate.tominac@agriculture.gov.au</w:t>
                  </w:r>
                </w:p>
                <w:p w14:paraId="70DDAAA6" w14:textId="77777777" w:rsidR="00B03505" w:rsidRDefault="00B03505" w:rsidP="00D85C25">
                  <w:pPr>
                    <w:pStyle w:val="TableUnitsRow"/>
                    <w:ind w:right="28"/>
                    <w:jc w:val="left"/>
                  </w:pPr>
                </w:p>
              </w:tc>
            </w:tr>
            <w:tr w:rsidR="00B03505" w14:paraId="70DDAAAC" w14:textId="77777777" w:rsidTr="00D85C25">
              <w:tc>
                <w:tcPr>
                  <w:tcW w:w="1141" w:type="pct"/>
                  <w:shd w:val="clear" w:color="auto" w:fill="auto"/>
                </w:tcPr>
                <w:p w14:paraId="70DDAAA8" w14:textId="77777777" w:rsidR="00B03505" w:rsidRDefault="00B03505" w:rsidP="00437799">
                  <w:pPr>
                    <w:pStyle w:val="TableBodyText"/>
                    <w:jc w:val="left"/>
                  </w:pPr>
                  <w:r>
                    <w:t>Export Market Development Grants, Dept. of Foreign Affairs and Trade</w:t>
                  </w:r>
                </w:p>
              </w:tc>
              <w:tc>
                <w:tcPr>
                  <w:tcW w:w="1435" w:type="pct"/>
                </w:tcPr>
                <w:p w14:paraId="70DDAAA9" w14:textId="77777777" w:rsidR="00B03505" w:rsidRDefault="00B03505" w:rsidP="00437799">
                  <w:pPr>
                    <w:pStyle w:val="TableBodyText"/>
                    <w:jc w:val="left"/>
                  </w:pPr>
                  <w:r>
                    <w:t>Ian Chesterfield</w:t>
                  </w:r>
                  <w:r w:rsidR="00AF4A6B">
                    <w:br/>
                  </w:r>
                  <w:r w:rsidR="00AF4A6B">
                    <w:rPr>
                      <w:rFonts w:cs="Arial"/>
                      <w:color w:val="3D3935"/>
                      <w:shd w:val="clear" w:color="auto" w:fill="FFFFFF"/>
                    </w:rPr>
                    <w:t>General Manager, EMDG</w:t>
                  </w:r>
                </w:p>
              </w:tc>
              <w:tc>
                <w:tcPr>
                  <w:tcW w:w="846" w:type="pct"/>
                  <w:shd w:val="clear" w:color="auto" w:fill="auto"/>
                </w:tcPr>
                <w:p w14:paraId="70DDAAAA" w14:textId="77777777" w:rsidR="00B03505" w:rsidRDefault="00B03505" w:rsidP="00D85C25">
                  <w:pPr>
                    <w:pStyle w:val="TableBodyText"/>
                    <w:jc w:val="left"/>
                  </w:pPr>
                  <w:r w:rsidRPr="000268BE">
                    <w:t>02 6201 7532</w:t>
                  </w:r>
                </w:p>
              </w:tc>
              <w:tc>
                <w:tcPr>
                  <w:tcW w:w="1578" w:type="pct"/>
                  <w:shd w:val="clear" w:color="auto" w:fill="auto"/>
                </w:tcPr>
                <w:p w14:paraId="70DDAAAB" w14:textId="77777777" w:rsidR="00B03505" w:rsidRDefault="00B03505" w:rsidP="00D85C25">
                  <w:pPr>
                    <w:pStyle w:val="TableBodyText"/>
                    <w:ind w:right="28"/>
                    <w:jc w:val="left"/>
                  </w:pPr>
                  <w:r>
                    <w:t>–</w:t>
                  </w:r>
                </w:p>
              </w:tc>
            </w:tr>
            <w:tr w:rsidR="00B03505" w14:paraId="70DDAAB1" w14:textId="77777777" w:rsidTr="00D85C25">
              <w:tc>
                <w:tcPr>
                  <w:tcW w:w="1141" w:type="pct"/>
                  <w:shd w:val="clear" w:color="auto" w:fill="auto"/>
                </w:tcPr>
                <w:p w14:paraId="70DDAAAD" w14:textId="77777777" w:rsidR="00B03505" w:rsidRDefault="00AF4A6B" w:rsidP="000B7FAF">
                  <w:pPr>
                    <w:pStyle w:val="TableBodyText"/>
                    <w:jc w:val="left"/>
                  </w:pPr>
                  <w:r>
                    <w:t xml:space="preserve">Duty Drawback, </w:t>
                  </w:r>
                  <w:r w:rsidR="00B03505">
                    <w:t>Dept. of Immigration</w:t>
                  </w:r>
                  <w:r>
                    <w:t xml:space="preserve"> and Border Protection</w:t>
                  </w:r>
                </w:p>
              </w:tc>
              <w:tc>
                <w:tcPr>
                  <w:tcW w:w="1435" w:type="pct"/>
                </w:tcPr>
                <w:p w14:paraId="70DDAAAE" w14:textId="77777777" w:rsidR="00B03505" w:rsidRDefault="00B03505" w:rsidP="00437799">
                  <w:pPr>
                    <w:pStyle w:val="TableBodyText"/>
                    <w:jc w:val="left"/>
                  </w:pPr>
                  <w:r>
                    <w:t>Craig Schenk</w:t>
                  </w:r>
                  <w:r w:rsidR="00AF4A6B">
                    <w:br/>
                    <w:t>Drawback Section, Trade Branch</w:t>
                  </w:r>
                  <w:r w:rsidR="000B7FAF">
                    <w:t>.</w:t>
                  </w:r>
                </w:p>
              </w:tc>
              <w:tc>
                <w:tcPr>
                  <w:tcW w:w="846" w:type="pct"/>
                  <w:shd w:val="clear" w:color="auto" w:fill="auto"/>
                </w:tcPr>
                <w:p w14:paraId="70DDAAAF" w14:textId="77777777" w:rsidR="00B03505" w:rsidRDefault="00B03505" w:rsidP="00D85C25">
                  <w:pPr>
                    <w:pStyle w:val="TableBodyText"/>
                    <w:jc w:val="left"/>
                  </w:pPr>
                  <w:r w:rsidRPr="001F0925">
                    <w:t>03 9244 8898</w:t>
                  </w:r>
                </w:p>
              </w:tc>
              <w:tc>
                <w:tcPr>
                  <w:tcW w:w="1578" w:type="pct"/>
                  <w:shd w:val="clear" w:color="auto" w:fill="auto"/>
                </w:tcPr>
                <w:p w14:paraId="70DDAAB0" w14:textId="77777777" w:rsidR="00B03505" w:rsidRDefault="00B03505" w:rsidP="00D85C25">
                  <w:pPr>
                    <w:pStyle w:val="TableBodyText"/>
                    <w:ind w:right="28"/>
                    <w:jc w:val="left"/>
                  </w:pPr>
                  <w:r w:rsidRPr="001F0925">
                    <w:t>craig.schenk@customs.gov.au</w:t>
                  </w:r>
                </w:p>
              </w:tc>
            </w:tr>
          </w:tbl>
          <w:p w14:paraId="70DDAAB2" w14:textId="77777777" w:rsidR="00B03505" w:rsidRDefault="00B03505" w:rsidP="00437799">
            <w:pPr>
              <w:pStyle w:val="Box"/>
            </w:pPr>
          </w:p>
        </w:tc>
      </w:tr>
      <w:tr w:rsidR="00B03505" w14:paraId="70DDAAB5" w14:textId="77777777" w:rsidTr="00D450C5">
        <w:tc>
          <w:tcPr>
            <w:tcW w:w="5000" w:type="pct"/>
            <w:tcBorders>
              <w:top w:val="nil"/>
              <w:left w:val="nil"/>
              <w:bottom w:val="single" w:sz="6" w:space="0" w:color="78A22F"/>
              <w:right w:val="nil"/>
            </w:tcBorders>
            <w:shd w:val="clear" w:color="auto" w:fill="auto"/>
          </w:tcPr>
          <w:p w14:paraId="70DDAAB4" w14:textId="77777777" w:rsidR="00B03505" w:rsidRDefault="00B03505" w:rsidP="00437799">
            <w:pPr>
              <w:pStyle w:val="Box"/>
              <w:spacing w:before="0" w:line="120" w:lineRule="exact"/>
            </w:pPr>
          </w:p>
        </w:tc>
      </w:tr>
      <w:tr w:rsidR="00B03505" w:rsidRPr="000863A5" w14:paraId="70DDAAB7" w14:textId="77777777" w:rsidTr="00D450C5">
        <w:tc>
          <w:tcPr>
            <w:tcW w:w="5000" w:type="pct"/>
            <w:tcBorders>
              <w:top w:val="single" w:sz="6" w:space="0" w:color="78A22F"/>
              <w:left w:val="nil"/>
              <w:bottom w:val="nil"/>
              <w:right w:val="nil"/>
            </w:tcBorders>
          </w:tcPr>
          <w:p w14:paraId="70DDAAB6" w14:textId="278AAEDC" w:rsidR="00B03505" w:rsidRPr="00626D32" w:rsidRDefault="00B03505" w:rsidP="00437799">
            <w:pPr>
              <w:pStyle w:val="BoxSpaceBelow"/>
            </w:pPr>
          </w:p>
        </w:tc>
      </w:tr>
    </w:tbl>
    <w:p w14:paraId="70DDAAB8" w14:textId="77777777" w:rsidR="00B03505" w:rsidRDefault="00B03505" w:rsidP="00B03505">
      <w:pPr>
        <w:pStyle w:val="BodyText"/>
      </w:pPr>
      <w:r>
        <w:t>It can be unclear whether a new program should be considered as a form of industry assistance. The approach to resolving this in the past has been to discuss within the TAR group the characteristics of the program in question in order to decide whether or not the program comprises ‘industry policy’, whether it confers an industry-specific advantage to some firms, and whether it is readily quantified.</w:t>
      </w:r>
      <w:r w:rsidR="00A116E5">
        <w:t xml:space="preserve"> </w:t>
      </w:r>
    </w:p>
    <w:p w14:paraId="70DDAAB9" w14:textId="77777777" w:rsidR="00B03505" w:rsidRDefault="00B03505" w:rsidP="00B03505">
      <w:pPr>
        <w:pStyle w:val="Heading4"/>
      </w:pPr>
      <w:r>
        <w:t>Constructing a new budgetary assistance workbook</w:t>
      </w:r>
    </w:p>
    <w:p w14:paraId="70DDAABA" w14:textId="77777777" w:rsidR="00B03505" w:rsidRDefault="00B03505" w:rsidP="00B03505">
      <w:pPr>
        <w:pStyle w:val="BodyText"/>
      </w:pPr>
      <w:r>
        <w:t>In practice, the simplest way to go about constructing a new budgetary assistance workbook is to use the worksheet from the previous year as a template. For the 2013-14 TAR, the budgetary assistance workbook from the previous year was copied and renamed.</w:t>
      </w:r>
      <w:r w:rsidRPr="00443B7F">
        <w:rPr>
          <w:rStyle w:val="FootnoteReference"/>
        </w:rPr>
        <w:footnoteReference w:id="10"/>
      </w:r>
    </w:p>
    <w:p w14:paraId="70DDAABB" w14:textId="77777777" w:rsidR="00B03505" w:rsidRDefault="00B03505" w:rsidP="00B03505">
      <w:pPr>
        <w:pStyle w:val="BodyText"/>
      </w:pPr>
      <w:r>
        <w:t>In the new workbook, the ‘Total_T 1314’ worksheet itemises budgetary assistance programs included in the TAR, going back to 1996-97, and includes detailed source notes as to the origins of each figure. A new column ‘1314’ was added to the worksheet as it previously appeared, and the worksheet was renamed. New budgetary assistance programs and revised estimates of previous assistance programs were then added to the new worksheet.</w:t>
      </w:r>
    </w:p>
    <w:p w14:paraId="70DDAABC" w14:textId="77777777" w:rsidR="00B03505" w:rsidRDefault="00B03505" w:rsidP="00B03505">
      <w:pPr>
        <w:pStyle w:val="Heading3"/>
      </w:pPr>
      <w:r>
        <w:lastRenderedPageBreak/>
        <w:t xml:space="preserve">Stage 2 — </w:t>
      </w:r>
      <w:r w:rsidRPr="00AD5275">
        <w:t>Categorising the budgetary assistance</w:t>
      </w:r>
    </w:p>
    <w:p w14:paraId="70DDAABD" w14:textId="77777777" w:rsidR="00B03505" w:rsidRDefault="00B03505" w:rsidP="00B03505">
      <w:pPr>
        <w:pStyle w:val="BodyText"/>
      </w:pPr>
      <w:r w:rsidRPr="00491A42">
        <w:t>After a current list of budgetary assistance programs has been compiled, each program is classified according to the type of assistance,</w:t>
      </w:r>
      <w:r>
        <w:t xml:space="preserve"> and the type of ‘acti</w:t>
      </w:r>
      <w:r w:rsidRPr="00491A42">
        <w:t>vity</w:t>
      </w:r>
      <w:r>
        <w:t>’</w:t>
      </w:r>
      <w:r w:rsidRPr="00491A42">
        <w:t xml:space="preserve"> it supports.</w:t>
      </w:r>
      <w:r>
        <w:t xml:space="preserve"> This classification process is conducted on the ‘</w:t>
      </w:r>
      <w:r w:rsidRPr="00EB2726">
        <w:rPr>
          <w:i/>
        </w:rPr>
        <w:t>Total_</w:t>
      </w:r>
      <w:r>
        <w:rPr>
          <w:i/>
        </w:rPr>
        <w:t>T</w:t>
      </w:r>
      <w:r>
        <w:rPr>
          <w:i/>
        </w:rPr>
        <w:noBreakHyphen/>
      </w:r>
      <w:r w:rsidRPr="003F04C0">
        <w:rPr>
          <w:i/>
        </w:rPr>
        <w:t>13</w:t>
      </w:r>
      <w:r>
        <w:rPr>
          <w:i/>
        </w:rPr>
        <w:t xml:space="preserve">14’ </w:t>
      </w:r>
      <w:r w:rsidRPr="00CA733C">
        <w:t>worksheet.</w:t>
      </w:r>
      <w:r>
        <w:t xml:space="preserve"> </w:t>
      </w:r>
    </w:p>
    <w:p w14:paraId="70DDAABE" w14:textId="33AE0C00" w:rsidR="00B03505" w:rsidRDefault="00B03505" w:rsidP="00B03505">
      <w:pPr>
        <w:pStyle w:val="BodyText"/>
      </w:pPr>
      <w:r>
        <w:t>In addition to the dollar value of the assistance program, several fields need to be manually coded or updated. There are also several fields in ‘Total T-1314’ worksheet that do not need updating as they are a legacy of past work. The fields that are required are described in table 2.</w:t>
      </w:r>
    </w:p>
    <w:p w14:paraId="70DDAABF" w14:textId="0E62E3F3" w:rsidR="00B03505" w:rsidRDefault="00B03505" w:rsidP="00B0350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03505" w14:paraId="70DDAAC2" w14:textId="77777777" w:rsidTr="00D85C25">
        <w:tc>
          <w:tcPr>
            <w:tcW w:w="5000" w:type="pct"/>
            <w:tcBorders>
              <w:top w:val="single" w:sz="6" w:space="0" w:color="78A22F"/>
              <w:left w:val="nil"/>
              <w:bottom w:val="nil"/>
              <w:right w:val="nil"/>
            </w:tcBorders>
            <w:shd w:val="clear" w:color="auto" w:fill="auto"/>
          </w:tcPr>
          <w:p w14:paraId="70DDAAC0" w14:textId="51A1DF27" w:rsidR="00B03505" w:rsidRPr="00B5795C" w:rsidRDefault="00B03505" w:rsidP="00437799">
            <w:pPr>
              <w:pStyle w:val="TableTitle"/>
            </w:pPr>
            <w:r w:rsidRPr="00B5795C">
              <w:t xml:space="preserve">Table </w:t>
            </w:r>
            <w:bookmarkStart w:id="7" w:name="OLE_LINK3"/>
            <w:r w:rsidR="008C264E">
              <w:rPr>
                <w:noProof/>
              </w:rPr>
              <w:t>2</w:t>
            </w:r>
            <w:bookmarkEnd w:id="7"/>
            <w:r w:rsidRPr="00B5795C">
              <w:tab/>
              <w:t>Budgetary assistance fields</w:t>
            </w:r>
          </w:p>
          <w:p w14:paraId="70DDAAC1" w14:textId="77777777" w:rsidR="00B03505" w:rsidRPr="00C64E57" w:rsidRDefault="00B03505" w:rsidP="00437799">
            <w:pPr>
              <w:pStyle w:val="Subtitle"/>
            </w:pPr>
            <w:r w:rsidRPr="00B5795C">
              <w:t>To be completed in the ‘Total_T 13-14’ worksheet</w:t>
            </w:r>
          </w:p>
        </w:tc>
      </w:tr>
      <w:tr w:rsidR="00B03505" w14:paraId="70DDAAE8" w14:textId="77777777" w:rsidTr="00D85C2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6377"/>
            </w:tblGrid>
            <w:tr w:rsidR="00B03505" w14:paraId="70DDAAC5" w14:textId="77777777" w:rsidTr="00D450C5">
              <w:trPr>
                <w:tblHeader/>
              </w:trPr>
              <w:tc>
                <w:tcPr>
                  <w:tcW w:w="1251" w:type="pct"/>
                  <w:tcBorders>
                    <w:top w:val="single" w:sz="6" w:space="0" w:color="BFBFBF"/>
                    <w:bottom w:val="single" w:sz="6" w:space="0" w:color="BFBFBF"/>
                  </w:tcBorders>
                  <w:shd w:val="clear" w:color="auto" w:fill="auto"/>
                  <w:tcMar>
                    <w:top w:w="28" w:type="dxa"/>
                  </w:tcMar>
                </w:tcPr>
                <w:p w14:paraId="70DDAAC3" w14:textId="77777777" w:rsidR="00B03505" w:rsidRDefault="00B03505" w:rsidP="00437799">
                  <w:pPr>
                    <w:pStyle w:val="TableColumnHeading"/>
                    <w:jc w:val="left"/>
                  </w:pPr>
                  <w:r>
                    <w:t>Field</w:t>
                  </w:r>
                </w:p>
              </w:tc>
              <w:tc>
                <w:tcPr>
                  <w:tcW w:w="3749" w:type="pct"/>
                  <w:tcBorders>
                    <w:top w:val="single" w:sz="6" w:space="0" w:color="BFBFBF"/>
                    <w:bottom w:val="single" w:sz="6" w:space="0" w:color="BFBFBF"/>
                  </w:tcBorders>
                </w:tcPr>
                <w:p w14:paraId="70DDAAC4" w14:textId="77777777" w:rsidR="00B03505" w:rsidRDefault="00B03505" w:rsidP="00D85C25">
                  <w:pPr>
                    <w:pStyle w:val="TableColumnHeading"/>
                    <w:ind w:right="28"/>
                    <w:jc w:val="left"/>
                  </w:pPr>
                  <w:r>
                    <w:t>Description</w:t>
                  </w:r>
                </w:p>
              </w:tc>
            </w:tr>
            <w:tr w:rsidR="00B03505" w14:paraId="70DDAAC8" w14:textId="77777777" w:rsidTr="00D450C5">
              <w:tc>
                <w:tcPr>
                  <w:tcW w:w="1251" w:type="pct"/>
                  <w:tcBorders>
                    <w:top w:val="single" w:sz="6" w:space="0" w:color="BFBFBF"/>
                  </w:tcBorders>
                </w:tcPr>
                <w:p w14:paraId="70DDAAC6" w14:textId="77777777" w:rsidR="00B03505" w:rsidRDefault="00B03505" w:rsidP="00437799">
                  <w:pPr>
                    <w:pStyle w:val="TableUnitsRow"/>
                    <w:jc w:val="left"/>
                  </w:pPr>
                  <w:r>
                    <w:t>Prog_ID</w:t>
                  </w:r>
                </w:p>
              </w:tc>
              <w:tc>
                <w:tcPr>
                  <w:tcW w:w="3749" w:type="pct"/>
                  <w:tcBorders>
                    <w:top w:val="single" w:sz="6" w:space="0" w:color="BFBFBF"/>
                  </w:tcBorders>
                </w:tcPr>
                <w:p w14:paraId="70DDAAC7" w14:textId="77777777" w:rsidR="00B03505" w:rsidRDefault="00B03505" w:rsidP="00437799">
                  <w:pPr>
                    <w:pStyle w:val="TableUnitsRow"/>
                    <w:ind w:right="28"/>
                    <w:jc w:val="left"/>
                  </w:pPr>
                  <w:r>
                    <w:t>Program identification code, assigned when a program is entered into the ‘Total_T-1314’ worksheet, which can then be used for linkage purposes.</w:t>
                  </w:r>
                </w:p>
              </w:tc>
            </w:tr>
            <w:tr w:rsidR="00B03505" w14:paraId="70DDAACB" w14:textId="77777777" w:rsidTr="00D450C5">
              <w:tc>
                <w:tcPr>
                  <w:tcW w:w="1251" w:type="pct"/>
                </w:tcPr>
                <w:p w14:paraId="70DDAAC9" w14:textId="77777777" w:rsidR="00B03505" w:rsidRDefault="00B03505" w:rsidP="00437799">
                  <w:pPr>
                    <w:pStyle w:val="TableBodyText"/>
                    <w:jc w:val="left"/>
                  </w:pPr>
                  <w:r>
                    <w:t>Program_Name</w:t>
                  </w:r>
                </w:p>
              </w:tc>
              <w:tc>
                <w:tcPr>
                  <w:tcW w:w="3749" w:type="pct"/>
                </w:tcPr>
                <w:p w14:paraId="70DDAACA" w14:textId="77777777" w:rsidR="00B03505" w:rsidRDefault="00B03505" w:rsidP="00437799">
                  <w:pPr>
                    <w:pStyle w:val="TableBodyText"/>
                    <w:ind w:right="28"/>
                    <w:jc w:val="left"/>
                  </w:pPr>
                  <w:r>
                    <w:t xml:space="preserve">Name of the program, as described in either the Tax Expenditure Statement or the Departmental Annual Report. </w:t>
                  </w:r>
                </w:p>
              </w:tc>
            </w:tr>
            <w:tr w:rsidR="00B03505" w14:paraId="70DDAACE" w14:textId="77777777" w:rsidTr="00D450C5">
              <w:tc>
                <w:tcPr>
                  <w:tcW w:w="1251" w:type="pct"/>
                  <w:shd w:val="clear" w:color="auto" w:fill="auto"/>
                </w:tcPr>
                <w:p w14:paraId="70DDAACC" w14:textId="77777777" w:rsidR="00B03505" w:rsidRDefault="00B03505" w:rsidP="00437799">
                  <w:pPr>
                    <w:pStyle w:val="TableBodyText"/>
                    <w:jc w:val="left"/>
                  </w:pPr>
                  <w:r>
                    <w:t>PortfolioCode</w:t>
                  </w:r>
                </w:p>
              </w:tc>
              <w:tc>
                <w:tcPr>
                  <w:tcW w:w="3749" w:type="pct"/>
                </w:tcPr>
                <w:p w14:paraId="70DDAACD" w14:textId="77777777" w:rsidR="00B03505" w:rsidRDefault="00B03505" w:rsidP="00437799">
                  <w:pPr>
                    <w:pStyle w:val="TableBodyText"/>
                    <w:ind w:right="28"/>
                    <w:jc w:val="left"/>
                  </w:pPr>
                  <w:r>
                    <w:t>A four-letter code indicating the portfolio responsible for the assistance measure.</w:t>
                  </w:r>
                </w:p>
              </w:tc>
            </w:tr>
            <w:tr w:rsidR="00B03505" w14:paraId="70DDAAD1" w14:textId="77777777" w:rsidTr="00D450C5">
              <w:tc>
                <w:tcPr>
                  <w:tcW w:w="1251" w:type="pct"/>
                  <w:shd w:val="clear" w:color="auto" w:fill="auto"/>
                </w:tcPr>
                <w:p w14:paraId="70DDAACF" w14:textId="77777777" w:rsidR="00B03505" w:rsidRDefault="00B03505" w:rsidP="00437799">
                  <w:pPr>
                    <w:pStyle w:val="TableBodyText"/>
                    <w:jc w:val="left"/>
                  </w:pPr>
                  <w:r>
                    <w:t>Type_DFA_FI_TE</w:t>
                  </w:r>
                </w:p>
              </w:tc>
              <w:tc>
                <w:tcPr>
                  <w:tcW w:w="3749" w:type="pct"/>
                </w:tcPr>
                <w:p w14:paraId="70DDAAD0" w14:textId="77777777" w:rsidR="00B03505" w:rsidRDefault="00B03505" w:rsidP="00437799">
                  <w:pPr>
                    <w:pStyle w:val="TableBodyText"/>
                    <w:ind w:right="28"/>
                    <w:jc w:val="left"/>
                  </w:pPr>
                  <w:r>
                    <w:t>Whether assistance is classed as direct financial assistance (“DFA”), assistance provided through a financial intermediary (“FI”), or tax expenditure (“TE”).</w:t>
                  </w:r>
                </w:p>
              </w:tc>
            </w:tr>
            <w:tr w:rsidR="00B03505" w14:paraId="70DDAAD4" w14:textId="77777777" w:rsidTr="00D450C5">
              <w:tc>
                <w:tcPr>
                  <w:tcW w:w="1251" w:type="pct"/>
                  <w:shd w:val="clear" w:color="auto" w:fill="auto"/>
                </w:tcPr>
                <w:p w14:paraId="70DDAAD2" w14:textId="77777777" w:rsidR="00B03505" w:rsidRDefault="00B03505" w:rsidP="00437799">
                  <w:pPr>
                    <w:pStyle w:val="TableBodyText"/>
                    <w:jc w:val="left"/>
                  </w:pPr>
                  <w:r>
                    <w:t>Type_BO_TE</w:t>
                  </w:r>
                </w:p>
              </w:tc>
              <w:tc>
                <w:tcPr>
                  <w:tcW w:w="3749" w:type="pct"/>
                </w:tcPr>
                <w:p w14:paraId="70DDAAD3" w14:textId="77777777" w:rsidR="00B03505" w:rsidRDefault="00B03505" w:rsidP="00437799">
                  <w:pPr>
                    <w:pStyle w:val="TableBodyText"/>
                    <w:ind w:right="28"/>
                    <w:jc w:val="left"/>
                  </w:pPr>
                  <w:r>
                    <w:t>Whether assistance is classed as a budget outlay (“BO”), or tax expenditure (“TE”).</w:t>
                  </w:r>
                </w:p>
              </w:tc>
            </w:tr>
            <w:tr w:rsidR="00B03505" w14:paraId="70DDAAD7" w14:textId="77777777" w:rsidTr="00D450C5">
              <w:tc>
                <w:tcPr>
                  <w:tcW w:w="1251" w:type="pct"/>
                  <w:shd w:val="clear" w:color="auto" w:fill="auto"/>
                </w:tcPr>
                <w:p w14:paraId="70DDAAD5" w14:textId="77777777" w:rsidR="00B03505" w:rsidRDefault="00B03505" w:rsidP="00437799">
                  <w:pPr>
                    <w:pStyle w:val="TableBodyText"/>
                    <w:jc w:val="left"/>
                  </w:pPr>
                  <w:r>
                    <w:t>OIV</w:t>
                  </w:r>
                </w:p>
              </w:tc>
              <w:tc>
                <w:tcPr>
                  <w:tcW w:w="3749" w:type="pct"/>
                </w:tcPr>
                <w:p w14:paraId="70DDAAD6" w14:textId="77777777" w:rsidR="00B03505" w:rsidRDefault="00B03505" w:rsidP="00437799">
                  <w:pPr>
                    <w:pStyle w:val="TableBodyText"/>
                    <w:ind w:right="28"/>
                    <w:jc w:val="left"/>
                  </w:pPr>
                  <w:r>
                    <w:t>Whether assistance is classed as assistance to outputs (“O”), inputs (“I”), or value-adding factors (“V”).</w:t>
                  </w:r>
                </w:p>
              </w:tc>
            </w:tr>
            <w:tr w:rsidR="00B03505" w14:paraId="70DDAADA" w14:textId="77777777" w:rsidTr="00D450C5">
              <w:tc>
                <w:tcPr>
                  <w:tcW w:w="1251" w:type="pct"/>
                  <w:shd w:val="clear" w:color="auto" w:fill="auto"/>
                </w:tcPr>
                <w:p w14:paraId="70DDAAD8" w14:textId="77777777" w:rsidR="00B03505" w:rsidRPr="003122CA" w:rsidRDefault="00B03505" w:rsidP="00437799">
                  <w:pPr>
                    <w:pStyle w:val="TableBodyText"/>
                    <w:jc w:val="left"/>
                  </w:pPr>
                  <w:r w:rsidRPr="003122CA">
                    <w:t>Code_OIV_BOTE</w:t>
                  </w:r>
                </w:p>
              </w:tc>
              <w:tc>
                <w:tcPr>
                  <w:tcW w:w="3749" w:type="pct"/>
                </w:tcPr>
                <w:p w14:paraId="70DDAAD9" w14:textId="77777777" w:rsidR="00B03505" w:rsidRDefault="00B03505" w:rsidP="00437799">
                  <w:pPr>
                    <w:pStyle w:val="TableBodyText"/>
                    <w:ind w:right="28"/>
                    <w:jc w:val="left"/>
                  </w:pPr>
                  <w:r>
                    <w:t>A combination of the Type_BO_TE and OIV variables.</w:t>
                  </w:r>
                </w:p>
              </w:tc>
            </w:tr>
            <w:tr w:rsidR="00B03505" w14:paraId="70DDAADD" w14:textId="77777777" w:rsidTr="00D450C5">
              <w:tc>
                <w:tcPr>
                  <w:tcW w:w="1251" w:type="pct"/>
                  <w:shd w:val="clear" w:color="auto" w:fill="auto"/>
                </w:tcPr>
                <w:p w14:paraId="70DDAADB" w14:textId="77777777" w:rsidR="00B03505" w:rsidRPr="003122CA" w:rsidRDefault="00B03505" w:rsidP="00437799">
                  <w:pPr>
                    <w:pStyle w:val="TableBodyText"/>
                    <w:jc w:val="left"/>
                  </w:pPr>
                  <w:r>
                    <w:t>Measure_Chapter</w:t>
                  </w:r>
                </w:p>
              </w:tc>
              <w:tc>
                <w:tcPr>
                  <w:tcW w:w="3749" w:type="pct"/>
                </w:tcPr>
                <w:p w14:paraId="70DDAADC" w14:textId="77777777" w:rsidR="00B03505" w:rsidRDefault="00B03505" w:rsidP="00437799">
                  <w:pPr>
                    <w:pStyle w:val="TableBodyText"/>
                    <w:ind w:right="28"/>
                    <w:jc w:val="left"/>
                  </w:pPr>
                  <w:r>
                    <w:t>Variable indicating the type of assistance provided (see table below for the relevant categories and their descriptions).</w:t>
                  </w:r>
                </w:p>
              </w:tc>
            </w:tr>
            <w:tr w:rsidR="00B03505" w14:paraId="70DDAAE0" w14:textId="77777777" w:rsidTr="00D450C5">
              <w:tc>
                <w:tcPr>
                  <w:tcW w:w="1251" w:type="pct"/>
                  <w:shd w:val="clear" w:color="auto" w:fill="auto"/>
                </w:tcPr>
                <w:p w14:paraId="70DDAADE" w14:textId="77777777" w:rsidR="00B03505" w:rsidRPr="003122CA" w:rsidRDefault="00B03505" w:rsidP="00437799">
                  <w:pPr>
                    <w:pStyle w:val="TableBodyText"/>
                    <w:jc w:val="left"/>
                  </w:pPr>
                  <w:r w:rsidRPr="00886C3A">
                    <w:t>Measure_</w:t>
                  </w:r>
                  <w:r>
                    <w:t>Appendix</w:t>
                  </w:r>
                </w:p>
              </w:tc>
              <w:tc>
                <w:tcPr>
                  <w:tcW w:w="3749" w:type="pct"/>
                </w:tcPr>
                <w:p w14:paraId="70DDAADF" w14:textId="77777777" w:rsidR="00B03505" w:rsidRDefault="00B03505" w:rsidP="00437799">
                  <w:pPr>
                    <w:pStyle w:val="TableBodyText"/>
                    <w:ind w:right="28"/>
                    <w:jc w:val="left"/>
                  </w:pPr>
                  <w:r>
                    <w:t>The same as Measure_Chapter, with the ‘R &amp; D measures’ category split into ‘General R &amp; D measures’ and ‘</w:t>
                  </w:r>
                  <w:r w:rsidRPr="00C64E57">
                    <w:t>Rural R&amp;D measures</w:t>
                  </w:r>
                  <w:r>
                    <w:t>’.</w:t>
                  </w:r>
                </w:p>
              </w:tc>
            </w:tr>
            <w:tr w:rsidR="00B03505" w14:paraId="70DDAAE3" w14:textId="77777777" w:rsidTr="00D450C5">
              <w:tc>
                <w:tcPr>
                  <w:tcW w:w="1251" w:type="pct"/>
                  <w:shd w:val="clear" w:color="auto" w:fill="auto"/>
                </w:tcPr>
                <w:p w14:paraId="70DDAAE1" w14:textId="77777777" w:rsidR="00B03505" w:rsidRPr="003122CA" w:rsidRDefault="00B03505" w:rsidP="00437799">
                  <w:pPr>
                    <w:pStyle w:val="TableBodyText"/>
                    <w:jc w:val="left"/>
                  </w:pPr>
                  <w:r>
                    <w:t>Entered</w:t>
                  </w:r>
                </w:p>
              </w:tc>
              <w:tc>
                <w:tcPr>
                  <w:tcW w:w="3749" w:type="pct"/>
                </w:tcPr>
                <w:p w14:paraId="70DDAAE2" w14:textId="77777777" w:rsidR="00B03505" w:rsidRDefault="00B03505" w:rsidP="00437799">
                  <w:pPr>
                    <w:pStyle w:val="TableBodyText"/>
                    <w:ind w:right="28"/>
                    <w:jc w:val="left"/>
                  </w:pPr>
                  <w:r>
                    <w:t xml:space="preserve">The TAR year that the program was first entered into the assistance data collection. </w:t>
                  </w:r>
                </w:p>
              </w:tc>
            </w:tr>
            <w:tr w:rsidR="00B03505" w14:paraId="70DDAAE6" w14:textId="77777777" w:rsidTr="00D450C5">
              <w:tc>
                <w:tcPr>
                  <w:tcW w:w="1251" w:type="pct"/>
                  <w:shd w:val="clear" w:color="auto" w:fill="auto"/>
                </w:tcPr>
                <w:p w14:paraId="70DDAAE4" w14:textId="77777777" w:rsidR="00B03505" w:rsidRDefault="00B03505" w:rsidP="00437799">
                  <w:pPr>
                    <w:pStyle w:val="TableBodyText"/>
                    <w:jc w:val="left"/>
                  </w:pPr>
                  <w:r>
                    <w:t>SourceNotes_T-1314</w:t>
                  </w:r>
                </w:p>
              </w:tc>
              <w:tc>
                <w:tcPr>
                  <w:tcW w:w="3749" w:type="pct"/>
                </w:tcPr>
                <w:p w14:paraId="70DDAAE5" w14:textId="77777777" w:rsidR="00B03505" w:rsidRDefault="00B03505" w:rsidP="00437799">
                  <w:pPr>
                    <w:pStyle w:val="TableBodyText"/>
                    <w:ind w:right="28"/>
                    <w:jc w:val="left"/>
                  </w:pPr>
                  <w:r>
                    <w:t xml:space="preserve">A note indicating the source of each number in the budgetary assistance data collection, including publication, year and page. To be updated for all active programs. </w:t>
                  </w:r>
                </w:p>
              </w:tc>
            </w:tr>
          </w:tbl>
          <w:p w14:paraId="70DDAAE7" w14:textId="77777777" w:rsidR="00B03505" w:rsidRDefault="00B03505" w:rsidP="00437799">
            <w:pPr>
              <w:pStyle w:val="Box"/>
            </w:pPr>
          </w:p>
        </w:tc>
      </w:tr>
      <w:tr w:rsidR="00B03505" w14:paraId="70DDAAEA" w14:textId="77777777" w:rsidTr="00D85C25">
        <w:tc>
          <w:tcPr>
            <w:tcW w:w="5000" w:type="pct"/>
            <w:tcBorders>
              <w:top w:val="nil"/>
              <w:left w:val="nil"/>
              <w:bottom w:val="single" w:sz="6" w:space="0" w:color="78A22F"/>
              <w:right w:val="nil"/>
            </w:tcBorders>
            <w:shd w:val="clear" w:color="auto" w:fill="auto"/>
          </w:tcPr>
          <w:p w14:paraId="70DDAAE9" w14:textId="77777777" w:rsidR="00B03505" w:rsidRDefault="00B03505" w:rsidP="00437799">
            <w:pPr>
              <w:pStyle w:val="Box"/>
              <w:spacing w:before="0" w:line="120" w:lineRule="exact"/>
            </w:pPr>
          </w:p>
        </w:tc>
      </w:tr>
      <w:tr w:rsidR="00B03505" w:rsidRPr="000863A5" w14:paraId="70DDAAEC" w14:textId="77777777" w:rsidTr="00D85C25">
        <w:tc>
          <w:tcPr>
            <w:tcW w:w="5000" w:type="pct"/>
            <w:tcBorders>
              <w:top w:val="single" w:sz="6" w:space="0" w:color="78A22F"/>
              <w:left w:val="nil"/>
              <w:bottom w:val="nil"/>
              <w:right w:val="nil"/>
            </w:tcBorders>
          </w:tcPr>
          <w:p w14:paraId="70DDAAEB" w14:textId="02CF9355" w:rsidR="00B03505" w:rsidRPr="00626D32" w:rsidRDefault="00B03505" w:rsidP="00437799">
            <w:pPr>
              <w:pStyle w:val="BoxSpaceBelow"/>
            </w:pPr>
          </w:p>
        </w:tc>
      </w:tr>
    </w:tbl>
    <w:p w14:paraId="70DDAAED" w14:textId="77777777" w:rsidR="00B03505" w:rsidRDefault="00B03505" w:rsidP="00B03505">
      <w:pPr>
        <w:pStyle w:val="BodyText"/>
      </w:pPr>
      <w:r>
        <w:t xml:space="preserve">Budgetary assistance is intended to encourage specific activities, or to provide support for particular firms, industries or sectors. In order to provide an idea of how budgetary assistance is distributed across different activities, each program is assigned a category. New programs are assigned a category when updating the budgetary assistance dataset; this assignment has been discussed by the TAR team as a whole. </w:t>
      </w:r>
      <w:r w:rsidRPr="00B5795C">
        <w:t>The different types of assistance — as recorded in the ‘Measure_Chapter’ and ‘Measure_Appendix’ fields — are described in table 3.</w:t>
      </w:r>
    </w:p>
    <w:p w14:paraId="70DDAAEE" w14:textId="66B6E16C" w:rsidR="00B03505" w:rsidRPr="00B5795C" w:rsidRDefault="00B03505" w:rsidP="00B03505">
      <w:pPr>
        <w:pStyle w:val="BodyText"/>
      </w:pPr>
      <w:r>
        <w:t xml:space="preserve">The 2011-12 TAR Methodological Annex </w:t>
      </w:r>
      <w:r w:rsidRPr="00073CB3">
        <w:rPr>
          <w:szCs w:val="24"/>
        </w:rPr>
        <w:t>(PC 2014)</w:t>
      </w:r>
      <w:r>
        <w:t xml:space="preserve"> notes that ‘[s]</w:t>
      </w:r>
      <w:r w:rsidRPr="00B5795C">
        <w:t xml:space="preserve">ome caution is required in interpreting estimates by activity because some programs could ‘fit’ into more than one </w:t>
      </w:r>
      <w:r w:rsidRPr="00B5795C">
        <w:lastRenderedPageBreak/>
        <w:t>category</w:t>
      </w:r>
      <w:r>
        <w:t>’. E</w:t>
      </w:r>
      <w:r w:rsidRPr="00B5795C">
        <w:t>ach program’s tota</w:t>
      </w:r>
      <w:r>
        <w:t xml:space="preserve">l funding is allocated to a single activity category. That category is the one that is deemed to best describe the purpose of the program. </w:t>
      </w:r>
    </w:p>
    <w:p w14:paraId="70DDAAEF" w14:textId="7053E43D" w:rsidR="00B03505" w:rsidRDefault="00B03505" w:rsidP="00B0350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03505" w14:paraId="70DDAAF1" w14:textId="77777777" w:rsidTr="00D450C5">
        <w:tc>
          <w:tcPr>
            <w:tcW w:w="5000" w:type="pct"/>
            <w:tcBorders>
              <w:top w:val="single" w:sz="6" w:space="0" w:color="78A22F"/>
              <w:left w:val="nil"/>
              <w:bottom w:val="nil"/>
              <w:right w:val="nil"/>
            </w:tcBorders>
            <w:shd w:val="clear" w:color="auto" w:fill="auto"/>
          </w:tcPr>
          <w:p w14:paraId="70DDAAF0" w14:textId="1C1305D4" w:rsidR="00B03505" w:rsidRPr="00784A05" w:rsidRDefault="00B03505" w:rsidP="00437799">
            <w:pPr>
              <w:pStyle w:val="TableTitle"/>
            </w:pPr>
            <w:r>
              <w:rPr>
                <w:b w:val="0"/>
              </w:rPr>
              <w:t xml:space="preserve">Table </w:t>
            </w:r>
            <w:r w:rsidR="008C264E">
              <w:rPr>
                <w:b w:val="0"/>
                <w:noProof/>
              </w:rPr>
              <w:t>3</w:t>
            </w:r>
            <w:r>
              <w:tab/>
              <w:t>Types of budgetary assistance</w:t>
            </w:r>
          </w:p>
        </w:tc>
      </w:tr>
      <w:tr w:rsidR="00B03505" w14:paraId="70DDAB0E" w14:textId="77777777" w:rsidTr="00D450C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6377"/>
            </w:tblGrid>
            <w:tr w:rsidR="00B03505" w14:paraId="70DDAAF4" w14:textId="77777777" w:rsidTr="00437799">
              <w:trPr>
                <w:tblHeader/>
              </w:trPr>
              <w:tc>
                <w:tcPr>
                  <w:tcW w:w="1251" w:type="pct"/>
                  <w:tcBorders>
                    <w:top w:val="single" w:sz="6" w:space="0" w:color="BFBFBF"/>
                    <w:bottom w:val="single" w:sz="6" w:space="0" w:color="BFBFBF"/>
                  </w:tcBorders>
                  <w:shd w:val="clear" w:color="auto" w:fill="auto"/>
                  <w:tcMar>
                    <w:top w:w="28" w:type="dxa"/>
                  </w:tcMar>
                </w:tcPr>
                <w:p w14:paraId="70DDAAF2" w14:textId="77777777" w:rsidR="00B03505" w:rsidRDefault="00B03505" w:rsidP="00437799">
                  <w:pPr>
                    <w:pStyle w:val="TableColumnHeading"/>
                    <w:jc w:val="left"/>
                  </w:pPr>
                  <w:r>
                    <w:t>Category</w:t>
                  </w:r>
                </w:p>
              </w:tc>
              <w:tc>
                <w:tcPr>
                  <w:tcW w:w="3749" w:type="pct"/>
                  <w:tcBorders>
                    <w:top w:val="single" w:sz="6" w:space="0" w:color="BFBFBF"/>
                    <w:bottom w:val="single" w:sz="6" w:space="0" w:color="BFBFBF"/>
                  </w:tcBorders>
                </w:tcPr>
                <w:p w14:paraId="70DDAAF3" w14:textId="77777777" w:rsidR="00B03505" w:rsidRDefault="00B03505" w:rsidP="00437799">
                  <w:pPr>
                    <w:pStyle w:val="TableColumnHeading"/>
                    <w:ind w:right="28"/>
                    <w:jc w:val="left"/>
                  </w:pPr>
                  <w:r>
                    <w:t>Description</w:t>
                  </w:r>
                </w:p>
              </w:tc>
            </w:tr>
            <w:tr w:rsidR="00B03505" w14:paraId="70DDAAF7" w14:textId="77777777" w:rsidTr="00437799">
              <w:tc>
                <w:tcPr>
                  <w:tcW w:w="1251" w:type="pct"/>
                  <w:tcBorders>
                    <w:top w:val="single" w:sz="6" w:space="0" w:color="BFBFBF"/>
                  </w:tcBorders>
                </w:tcPr>
                <w:p w14:paraId="70DDAAF5" w14:textId="77777777" w:rsidR="00B03505" w:rsidRPr="00073CB3" w:rsidRDefault="00B03505" w:rsidP="00437799">
                  <w:pPr>
                    <w:pStyle w:val="TableBodyText"/>
                    <w:jc w:val="left"/>
                  </w:pPr>
                  <w:r w:rsidRPr="00073CB3">
                    <w:t>R&amp;D measures</w:t>
                  </w:r>
                </w:p>
              </w:tc>
              <w:tc>
                <w:tcPr>
                  <w:tcW w:w="3749" w:type="pct"/>
                  <w:tcBorders>
                    <w:top w:val="single" w:sz="6" w:space="0" w:color="BFBFBF"/>
                  </w:tcBorders>
                </w:tcPr>
                <w:p w14:paraId="70DDAAF6" w14:textId="77777777" w:rsidR="00B03505" w:rsidRPr="00073CB3" w:rsidRDefault="00B03505" w:rsidP="00437799">
                  <w:pPr>
                    <w:pStyle w:val="TableBodyText"/>
                    <w:jc w:val="both"/>
                  </w:pPr>
                  <w:r>
                    <w:t>S</w:t>
                  </w:r>
                  <w:r w:rsidRPr="00073CB3">
                    <w:t>chemes which support business research, such as R&amp;D tax concessions and funding of rural R&amp;</w:t>
                  </w:r>
                  <w:r>
                    <w:t>D corporations, CSIRO and CRCs. Note that this category is split into ‘General R&amp;D’ and ‘Rural R&amp;D’ for the detailed estimates presented in the appendix.</w:t>
                  </w:r>
                </w:p>
              </w:tc>
            </w:tr>
            <w:tr w:rsidR="00B03505" w14:paraId="70DDAAFA" w14:textId="77777777" w:rsidTr="00437799">
              <w:tc>
                <w:tcPr>
                  <w:tcW w:w="1251" w:type="pct"/>
                </w:tcPr>
                <w:p w14:paraId="70DDAAF8" w14:textId="77777777" w:rsidR="00B03505" w:rsidRPr="00073CB3" w:rsidRDefault="00B03505" w:rsidP="00437799">
                  <w:pPr>
                    <w:pStyle w:val="TableBodyText"/>
                    <w:jc w:val="left"/>
                  </w:pPr>
                  <w:r>
                    <w:t>General export measures</w:t>
                  </w:r>
                </w:p>
              </w:tc>
              <w:tc>
                <w:tcPr>
                  <w:tcW w:w="3749" w:type="pct"/>
                </w:tcPr>
                <w:p w14:paraId="70DDAAF9" w14:textId="77777777" w:rsidR="00B03505" w:rsidRPr="00073CB3" w:rsidRDefault="00B03505" w:rsidP="00437799">
                  <w:pPr>
                    <w:pStyle w:val="TableBodyText"/>
                    <w:jc w:val="both"/>
                  </w:pPr>
                  <w:r>
                    <w:t>Programs s</w:t>
                  </w:r>
                  <w:r w:rsidRPr="00073CB3">
                    <w:t>uch as the Export Market Development Grants scheme, import duty drawback, TRADEX and Austrade</w:t>
                  </w:r>
                  <w:r>
                    <w:t>.</w:t>
                  </w:r>
                </w:p>
              </w:tc>
            </w:tr>
            <w:tr w:rsidR="00B03505" w14:paraId="70DDAAFD" w14:textId="77777777" w:rsidTr="00437799">
              <w:tc>
                <w:tcPr>
                  <w:tcW w:w="1251" w:type="pct"/>
                  <w:shd w:val="clear" w:color="auto" w:fill="auto"/>
                </w:tcPr>
                <w:p w14:paraId="70DDAAFB" w14:textId="77777777" w:rsidR="00B03505" w:rsidRPr="00073CB3" w:rsidRDefault="00B03505" w:rsidP="00437799">
                  <w:pPr>
                    <w:pStyle w:val="TableBodyText"/>
                    <w:jc w:val="left"/>
                  </w:pPr>
                  <w:r>
                    <w:t>G</w:t>
                  </w:r>
                  <w:r w:rsidRPr="00073CB3">
                    <w:t>eneral investment measures</w:t>
                  </w:r>
                </w:p>
              </w:tc>
              <w:tc>
                <w:tcPr>
                  <w:tcW w:w="3749" w:type="pct"/>
                </w:tcPr>
                <w:p w14:paraId="70DDAAFC" w14:textId="77777777" w:rsidR="00B03505" w:rsidRPr="00073CB3" w:rsidRDefault="00B03505" w:rsidP="00437799">
                  <w:pPr>
                    <w:pStyle w:val="TableBodyText"/>
                    <w:jc w:val="both"/>
                  </w:pPr>
                  <w:r>
                    <w:t>S</w:t>
                  </w:r>
                  <w:r w:rsidRPr="00073CB3">
                    <w:t>chemes which encourage certain types of investment, such as the development allowance</w:t>
                  </w:r>
                  <w:r>
                    <w:t>.</w:t>
                  </w:r>
                </w:p>
              </w:tc>
            </w:tr>
            <w:tr w:rsidR="00B03505" w14:paraId="70DDAB00" w14:textId="77777777" w:rsidTr="00437799">
              <w:tc>
                <w:tcPr>
                  <w:tcW w:w="1251" w:type="pct"/>
                  <w:shd w:val="clear" w:color="auto" w:fill="auto"/>
                </w:tcPr>
                <w:p w14:paraId="70DDAAFE" w14:textId="77777777" w:rsidR="00B03505" w:rsidRPr="00073CB3" w:rsidRDefault="00B03505" w:rsidP="00437799">
                  <w:pPr>
                    <w:pStyle w:val="TableBodyText"/>
                    <w:jc w:val="left"/>
                  </w:pPr>
                  <w:r>
                    <w:t>I</w:t>
                  </w:r>
                  <w:r w:rsidRPr="00073CB3">
                    <w:t>ndustry-specific measures</w:t>
                  </w:r>
                </w:p>
              </w:tc>
              <w:tc>
                <w:tcPr>
                  <w:tcW w:w="3749" w:type="pct"/>
                </w:tcPr>
                <w:p w14:paraId="70DDAAFF" w14:textId="77777777" w:rsidR="00B03505" w:rsidRPr="00073CB3" w:rsidRDefault="00B03505" w:rsidP="00437799">
                  <w:pPr>
                    <w:pStyle w:val="TableBodyText"/>
                    <w:jc w:val="both"/>
                  </w:pPr>
                  <w:r>
                    <w:t>S</w:t>
                  </w:r>
                  <w:r w:rsidRPr="00073CB3">
                    <w:t>chemes which are designed to encourage production in particular industries, such as the Automotive Transformation Scheme, the Clothing and Household Textile Building Innovative Capability Program, film industry measures and the Offshore Banking Unit tax concession</w:t>
                  </w:r>
                </w:p>
              </w:tc>
            </w:tr>
            <w:tr w:rsidR="00B03505" w14:paraId="70DDAB03" w14:textId="77777777" w:rsidTr="00437799">
              <w:tc>
                <w:tcPr>
                  <w:tcW w:w="1251" w:type="pct"/>
                  <w:shd w:val="clear" w:color="auto" w:fill="auto"/>
                </w:tcPr>
                <w:p w14:paraId="70DDAB01" w14:textId="77777777" w:rsidR="00B03505" w:rsidRPr="00073CB3" w:rsidRDefault="00B03505" w:rsidP="00437799">
                  <w:pPr>
                    <w:pStyle w:val="TableBodyText"/>
                    <w:jc w:val="left"/>
                  </w:pPr>
                  <w:r>
                    <w:t>S</w:t>
                  </w:r>
                  <w:r w:rsidRPr="00073CB3">
                    <w:t>ector-wide measures</w:t>
                  </w:r>
                </w:p>
              </w:tc>
              <w:tc>
                <w:tcPr>
                  <w:tcW w:w="3749" w:type="pct"/>
                </w:tcPr>
                <w:p w14:paraId="70DDAB02" w14:textId="77777777" w:rsidR="00B03505" w:rsidRPr="00073CB3" w:rsidRDefault="00B03505" w:rsidP="00437799">
                  <w:pPr>
                    <w:pStyle w:val="TableBodyText"/>
                    <w:jc w:val="both"/>
                  </w:pPr>
                  <w:r>
                    <w:t>P</w:t>
                  </w:r>
                  <w:r w:rsidRPr="00073CB3">
                    <w:t>rograms that are specific to a particular sector and designed to facilitate adjus</w:t>
                  </w:r>
                  <w:r>
                    <w:t xml:space="preserve">tment or provide income support. Examples of such programs in the Primary sector include </w:t>
                  </w:r>
                  <w:r w:rsidRPr="00073CB3">
                    <w:t xml:space="preserve">exceptional circumstances drought relief payments and the tax concessions under the </w:t>
                  </w:r>
                  <w:r>
                    <w:t>Farm Management Deposits Scheme.</w:t>
                  </w:r>
                </w:p>
              </w:tc>
            </w:tr>
            <w:tr w:rsidR="00B03505" w14:paraId="70DDAB06" w14:textId="77777777" w:rsidTr="00437799">
              <w:tc>
                <w:tcPr>
                  <w:tcW w:w="1251" w:type="pct"/>
                  <w:shd w:val="clear" w:color="auto" w:fill="auto"/>
                </w:tcPr>
                <w:p w14:paraId="70DDAB04" w14:textId="77777777" w:rsidR="00B03505" w:rsidRPr="00073CB3" w:rsidRDefault="00B03505" w:rsidP="00437799">
                  <w:pPr>
                    <w:pStyle w:val="TableBodyText"/>
                    <w:jc w:val="left"/>
                  </w:pPr>
                  <w:r>
                    <w:t>S</w:t>
                  </w:r>
                  <w:r w:rsidRPr="00073CB3">
                    <w:t>mall business programs</w:t>
                  </w:r>
                </w:p>
              </w:tc>
              <w:tc>
                <w:tcPr>
                  <w:tcW w:w="3749" w:type="pct"/>
                </w:tcPr>
                <w:p w14:paraId="70DDAB05" w14:textId="77777777" w:rsidR="00B03505" w:rsidRPr="00073CB3" w:rsidRDefault="00B03505" w:rsidP="00437799">
                  <w:pPr>
                    <w:pStyle w:val="TableBodyText"/>
                    <w:jc w:val="both"/>
                  </w:pPr>
                  <w:r>
                    <w:t>M</w:t>
                  </w:r>
                  <w:r w:rsidRPr="00073CB3">
                    <w:t>easures that specifically restrict eligibility to small businesses (variously defined across programs) such as the Small Business and General Business Tax Break, the small business capital gains tax concessions, the 25 per cent Entrepreneurs’ Tax Offset and the Small Business Advisory Services Program</w:t>
                  </w:r>
                  <w:r>
                    <w:t>.</w:t>
                  </w:r>
                </w:p>
              </w:tc>
            </w:tr>
            <w:tr w:rsidR="00B03505" w14:paraId="70DDAB09" w14:textId="77777777" w:rsidTr="00437799">
              <w:tc>
                <w:tcPr>
                  <w:tcW w:w="1251" w:type="pct"/>
                  <w:shd w:val="clear" w:color="auto" w:fill="auto"/>
                </w:tcPr>
                <w:p w14:paraId="70DDAB07" w14:textId="77777777" w:rsidR="00B03505" w:rsidRPr="00073CB3" w:rsidRDefault="00B03505" w:rsidP="00437799">
                  <w:pPr>
                    <w:pStyle w:val="TableBodyText"/>
                    <w:jc w:val="left"/>
                  </w:pPr>
                  <w:r>
                    <w:t>R</w:t>
                  </w:r>
                  <w:r w:rsidRPr="00073CB3">
                    <w:t>egional assistance programs</w:t>
                  </w:r>
                </w:p>
              </w:tc>
              <w:tc>
                <w:tcPr>
                  <w:tcW w:w="3749" w:type="pct"/>
                </w:tcPr>
                <w:p w14:paraId="70DDAB08" w14:textId="77777777" w:rsidR="00B03505" w:rsidRPr="00073CB3" w:rsidRDefault="00B03505" w:rsidP="00437799">
                  <w:pPr>
                    <w:pStyle w:val="TableBodyText"/>
                    <w:jc w:val="both"/>
                  </w:pPr>
                  <w:r>
                    <w:t>M</w:t>
                  </w:r>
                  <w:r w:rsidRPr="00073CB3">
                    <w:t>easures intended to promote regional industry such as Regional Partnerships and Tasmanian Freight Equalisation Scheme and various structural adjustment programs with a regional focus</w:t>
                  </w:r>
                  <w:r>
                    <w:t>.</w:t>
                  </w:r>
                </w:p>
              </w:tc>
            </w:tr>
            <w:tr w:rsidR="00B03505" w14:paraId="70DDAB0C" w14:textId="77777777" w:rsidTr="00437799">
              <w:tc>
                <w:tcPr>
                  <w:tcW w:w="1251" w:type="pct"/>
                  <w:shd w:val="clear" w:color="auto" w:fill="auto"/>
                </w:tcPr>
                <w:p w14:paraId="70DDAB0A" w14:textId="77777777" w:rsidR="00B03505" w:rsidRPr="00073CB3" w:rsidRDefault="00B03505" w:rsidP="00437799">
                  <w:pPr>
                    <w:pStyle w:val="TableBodyText"/>
                    <w:jc w:val="left"/>
                  </w:pPr>
                  <w:r w:rsidRPr="00073CB3">
                    <w:t>Other measures</w:t>
                  </w:r>
                </w:p>
              </w:tc>
              <w:tc>
                <w:tcPr>
                  <w:tcW w:w="3749" w:type="pct"/>
                </w:tcPr>
                <w:p w14:paraId="70DDAB0B" w14:textId="77777777" w:rsidR="00B03505" w:rsidRPr="00073CB3" w:rsidRDefault="00B03505" w:rsidP="00437799">
                  <w:pPr>
                    <w:pStyle w:val="TableBodyText"/>
                    <w:jc w:val="both"/>
                  </w:pPr>
                  <w:r w:rsidRPr="00073CB3">
                    <w:t>Schemes that do not fall within any of the above categories such as the Venture Capital Limited Partnerships Program, the Pooled Development Funds Program and the Enterprise Connect Innovation Centres Initiative</w:t>
                  </w:r>
                  <w:r>
                    <w:t>.</w:t>
                  </w:r>
                </w:p>
              </w:tc>
            </w:tr>
          </w:tbl>
          <w:p w14:paraId="70DDAB0D" w14:textId="77777777" w:rsidR="00B03505" w:rsidRDefault="00B03505" w:rsidP="00437799">
            <w:pPr>
              <w:pStyle w:val="Box"/>
            </w:pPr>
          </w:p>
        </w:tc>
      </w:tr>
      <w:tr w:rsidR="00B03505" w14:paraId="70DDAB10" w14:textId="77777777" w:rsidTr="00D450C5">
        <w:tc>
          <w:tcPr>
            <w:tcW w:w="5000" w:type="pct"/>
            <w:tcBorders>
              <w:top w:val="nil"/>
              <w:left w:val="nil"/>
              <w:bottom w:val="nil"/>
              <w:right w:val="nil"/>
            </w:tcBorders>
            <w:shd w:val="clear" w:color="auto" w:fill="auto"/>
          </w:tcPr>
          <w:p w14:paraId="70DDAB0F" w14:textId="77777777" w:rsidR="00B03505" w:rsidRDefault="00B03505" w:rsidP="00437799">
            <w:pPr>
              <w:pStyle w:val="Source"/>
            </w:pPr>
            <w:r>
              <w:rPr>
                <w:i/>
              </w:rPr>
              <w:t>Source</w:t>
            </w:r>
            <w:r w:rsidRPr="00167F06">
              <w:t xml:space="preserve">: </w:t>
            </w:r>
            <w:r>
              <w:t>2011-12 TAR Methodological Annex (PC 2014).</w:t>
            </w:r>
          </w:p>
        </w:tc>
      </w:tr>
      <w:tr w:rsidR="00B03505" w14:paraId="70DDAB12" w14:textId="77777777" w:rsidTr="00D450C5">
        <w:tc>
          <w:tcPr>
            <w:tcW w:w="5000" w:type="pct"/>
            <w:tcBorders>
              <w:top w:val="nil"/>
              <w:left w:val="nil"/>
              <w:bottom w:val="single" w:sz="6" w:space="0" w:color="78A22F"/>
              <w:right w:val="nil"/>
            </w:tcBorders>
            <w:shd w:val="clear" w:color="auto" w:fill="auto"/>
          </w:tcPr>
          <w:p w14:paraId="70DDAB11" w14:textId="77777777" w:rsidR="00B03505" w:rsidRDefault="00B03505" w:rsidP="00437799">
            <w:pPr>
              <w:pStyle w:val="Box"/>
              <w:spacing w:before="0" w:line="120" w:lineRule="exact"/>
            </w:pPr>
          </w:p>
        </w:tc>
      </w:tr>
      <w:tr w:rsidR="00B03505" w:rsidRPr="000863A5" w14:paraId="70DDAB14" w14:textId="77777777" w:rsidTr="00D450C5">
        <w:tc>
          <w:tcPr>
            <w:tcW w:w="5000" w:type="pct"/>
            <w:tcBorders>
              <w:top w:val="single" w:sz="6" w:space="0" w:color="78A22F"/>
              <w:left w:val="nil"/>
              <w:bottom w:val="nil"/>
              <w:right w:val="nil"/>
            </w:tcBorders>
          </w:tcPr>
          <w:p w14:paraId="70DDAB13" w14:textId="5D67F97D" w:rsidR="00B03505" w:rsidRPr="00626D32" w:rsidRDefault="00B03505" w:rsidP="00437799">
            <w:pPr>
              <w:pStyle w:val="BoxSpaceBelow"/>
            </w:pPr>
          </w:p>
        </w:tc>
      </w:tr>
    </w:tbl>
    <w:p w14:paraId="70DDAB15" w14:textId="77777777" w:rsidR="00B03505" w:rsidRDefault="00B03505" w:rsidP="00B03505">
      <w:pPr>
        <w:pStyle w:val="Heading3"/>
      </w:pPr>
      <w:r>
        <w:t xml:space="preserve">Stage 3 — </w:t>
      </w:r>
      <w:r w:rsidRPr="00AD5275">
        <w:t>Allocating assistance to industry</w:t>
      </w:r>
    </w:p>
    <w:p w14:paraId="70DDAB16" w14:textId="77777777" w:rsidR="00B03505" w:rsidRDefault="00B03505" w:rsidP="00B03505">
      <w:pPr>
        <w:pStyle w:val="BodyText"/>
      </w:pPr>
      <w:r>
        <w:t>As well as by activity type, the TAR disaggregates budgetary assistance into 34 ‘TAR’ industries, as well as 4 unallocated ‘sectoral groupings’. The TAR industry grouping is an aggregation into 46 ANZSIC and 4 unallocated sectoral categories.</w:t>
      </w:r>
    </w:p>
    <w:p w14:paraId="70DDAB17" w14:textId="77777777" w:rsidR="00B03505" w:rsidRDefault="00B03505" w:rsidP="00B03505">
      <w:pPr>
        <w:pStyle w:val="BodyText"/>
      </w:pPr>
      <w:r w:rsidRPr="002541E5">
        <w:t>A new spreadsheet, labelled ‘1314’, is created for the purpose of ‘splitting’ the assistance associated with a given program across the</w:t>
      </w:r>
      <w:r>
        <w:t xml:space="preserve"> industry</w:t>
      </w:r>
      <w:r w:rsidRPr="002541E5">
        <w:t xml:space="preserve"> categories. This worksheet links in all the relevant fields (as in table 2) into a new worksheet, with the dollar value of the 2013-14 assistance associated with a given program. </w:t>
      </w:r>
      <w:r>
        <w:t>E</w:t>
      </w:r>
      <w:r w:rsidRPr="002541E5">
        <w:t xml:space="preserve">ach program is </w:t>
      </w:r>
      <w:r>
        <w:t xml:space="preserve">then </w:t>
      </w:r>
      <w:r w:rsidRPr="002541E5">
        <w:t>allocated, either as a wh</w:t>
      </w:r>
      <w:r>
        <w:t>ole, or in part to an industry in this worksheet. This is done by multiplying the dollar value of assistance by the proportion of a program that has been allocated to a given industry.</w:t>
      </w:r>
    </w:p>
    <w:p w14:paraId="70DDAB18" w14:textId="77777777" w:rsidR="00B03505" w:rsidRDefault="00B03505" w:rsidP="00B03505">
      <w:pPr>
        <w:pStyle w:val="Heading4"/>
      </w:pPr>
      <w:r>
        <w:lastRenderedPageBreak/>
        <w:t>Initial benefiting industry</w:t>
      </w:r>
    </w:p>
    <w:p w14:paraId="70DDAB19" w14:textId="77777777" w:rsidR="00B03505" w:rsidRDefault="00B03505" w:rsidP="00B03505">
      <w:pPr>
        <w:pStyle w:val="BodyText"/>
      </w:pPr>
      <w:r>
        <w:t>The process for allocating assistance to industries differs across programs. Where possible, budgetary assistance is allocated to industries that are considered the ‘initial benefiting industry’ — that is assistance is allocated to the industry that ‘hosts’ the firm that benefits initially from a program or measure:</w:t>
      </w:r>
    </w:p>
    <w:p w14:paraId="70DDAB1A" w14:textId="77777777" w:rsidR="00B03505" w:rsidRDefault="00B03505" w:rsidP="00B03505">
      <w:pPr>
        <w:pStyle w:val="ListBullet"/>
      </w:pPr>
      <w:r>
        <w:t>Where p</w:t>
      </w:r>
      <w:r w:rsidRPr="00940EE1">
        <w:t xml:space="preserve">rograms assist a single industry, such as the Clothing and Household Textile Building Innovative Capability Program or the Grape and Wine R&amp;D Corporation, </w:t>
      </w:r>
      <w:r>
        <w:t>assistance is</w:t>
      </w:r>
      <w:r w:rsidRPr="00940EE1">
        <w:t xml:space="preserve"> allocated directly to that industry (Textile, leather, clothing and footwear and Horticulture and fruit growing, respectively).</w:t>
      </w:r>
    </w:p>
    <w:p w14:paraId="70DDAB1B" w14:textId="77777777" w:rsidR="00B03505" w:rsidRDefault="00B03505" w:rsidP="00B03505">
      <w:pPr>
        <w:pStyle w:val="ListBullet"/>
      </w:pPr>
      <w:r>
        <w:t>Where firms in multiple industries benefit from a program, the assistance associated with that program — for example, income tax averaging provisions for Primary Producers — a variety of sources of information are used to proportionately ‘spread’ the assistance across industries.</w:t>
      </w:r>
    </w:p>
    <w:p w14:paraId="70DDAB1C" w14:textId="77777777" w:rsidR="00B03505" w:rsidRDefault="00B03505" w:rsidP="00B03505">
      <w:pPr>
        <w:pStyle w:val="ListBullet"/>
      </w:pPr>
      <w:r>
        <w:t>Where assistance is delivered by an intermediate organisation or service, the initial benefiting industry is the one in which firms that benefit from the assistance are operating. Intermediate organisations may be research-related (such as the CSIRO), or businesses that provide services for firms in other industries. In each case it is the industry in which the beneficiary operates that is to be credited with the assistance.</w:t>
      </w:r>
    </w:p>
    <w:p w14:paraId="70DDAB1D" w14:textId="77777777" w:rsidR="00B03505" w:rsidRDefault="00B03505" w:rsidP="00B03505">
      <w:pPr>
        <w:pStyle w:val="ListBullet"/>
      </w:pPr>
      <w:r>
        <w:t xml:space="preserve">Where assistance is delivered to a consumer (rather than a firm or intermediary body) it is the industry providing the good or service to that consumer that is regarded as being the initial benefiting industry. </w:t>
      </w:r>
    </w:p>
    <w:p w14:paraId="70DDAB1E" w14:textId="77777777" w:rsidR="00B03505" w:rsidRDefault="00B03505" w:rsidP="00B03505">
      <w:pPr>
        <w:pStyle w:val="ListBullet"/>
      </w:pPr>
      <w:r>
        <w:t>Where the initial beneficiary of a program cannot be identified, the assistance is recorded as being ‘unallocated’; it is included in aggregate estimates, but not in industry totals. Where possible, unallocated assistance is assigned to a sector, (Primary production, Manufacturing or Services). Where this is not possible, it is designated as being ‘Other’ assistance.</w:t>
      </w:r>
    </w:p>
    <w:p w14:paraId="70DDAB1F" w14:textId="77777777" w:rsidR="00B03505" w:rsidRDefault="00B03505" w:rsidP="00B03505">
      <w:pPr>
        <w:pStyle w:val="BodyText"/>
        <w:rPr>
          <w:rStyle w:val="DraftingNote"/>
          <w:b w:val="0"/>
          <w:color w:val="auto"/>
          <w:u w:val="none"/>
        </w:rPr>
      </w:pPr>
      <w:r>
        <w:rPr>
          <w:rStyle w:val="DraftingNote"/>
          <w:b w:val="0"/>
          <w:color w:val="auto"/>
          <w:u w:val="none"/>
        </w:rPr>
        <w:t>The process of allocating assistance to different industries varies according to the types of information available for the different assistance programs:</w:t>
      </w:r>
    </w:p>
    <w:p w14:paraId="70DDAB20" w14:textId="77777777" w:rsidR="00B03505" w:rsidRDefault="00B03505" w:rsidP="00B03505">
      <w:pPr>
        <w:pStyle w:val="ListBullet"/>
      </w:pPr>
      <w:r>
        <w:t>Where sufficiently detailed data for a program is available, this information can be used to distribute the program’s funding among the initial benefiting industries. For example, claims data for the Export Market Development Grants scheme is sufficiently detailed to determine the initial benefiting industries for the program.</w:t>
      </w:r>
    </w:p>
    <w:p w14:paraId="70DDAB21" w14:textId="77777777" w:rsidR="00B03505" w:rsidRPr="006C21FE" w:rsidRDefault="00B03505" w:rsidP="00B03505">
      <w:pPr>
        <w:pStyle w:val="ListBullet"/>
        <w:rPr>
          <w:rStyle w:val="DraftingNote"/>
          <w:b w:val="0"/>
          <w:color w:val="auto"/>
          <w:u w:val="none"/>
        </w:rPr>
      </w:pPr>
      <w:r>
        <w:t>Where individual grant data is available, this information can be used to assign each grant to an industry. For example, the Department of Industry releases details of grant recipients for many of its administered programs, a practice that is becoming increasingly common in other departments.</w:t>
      </w:r>
    </w:p>
    <w:p w14:paraId="70DDAB22" w14:textId="76A6B342" w:rsidR="00B03505" w:rsidRPr="0020000C" w:rsidRDefault="008C264E" w:rsidP="00B03505">
      <w:pPr>
        <w:pStyle w:val="Heading2"/>
      </w:pPr>
      <w:r>
        <w:rPr>
          <w:noProof/>
        </w:rPr>
        <w:lastRenderedPageBreak/>
        <w:t>4</w:t>
      </w:r>
      <w:r w:rsidR="00B03505">
        <w:rPr>
          <w:noProof/>
        </w:rPr>
        <w:tab/>
      </w:r>
      <w:r w:rsidR="00B03505" w:rsidRPr="0020000C">
        <w:t>Calculating combined assistance</w:t>
      </w:r>
    </w:p>
    <w:p w14:paraId="70DDAB23" w14:textId="3C9B64A5" w:rsidR="00C4597D" w:rsidRDefault="00B03505" w:rsidP="00B03505">
      <w:pPr>
        <w:pStyle w:val="BodyText"/>
      </w:pPr>
      <w:r w:rsidRPr="0020000C">
        <w:t xml:space="preserve">Combined assistance is </w:t>
      </w:r>
      <w:r>
        <w:t xml:space="preserve">calculated as </w:t>
      </w:r>
      <w:r w:rsidRPr="0020000C">
        <w:t xml:space="preserve">the </w:t>
      </w:r>
      <w:r>
        <w:t xml:space="preserve">sum of </w:t>
      </w:r>
      <w:r w:rsidRPr="0020000C">
        <w:t xml:space="preserve">tariff and budgetary assistance that is provided to </w:t>
      </w:r>
      <w:r>
        <w:t xml:space="preserve">an </w:t>
      </w:r>
      <w:r w:rsidRPr="0020000C">
        <w:t>industry.</w:t>
      </w:r>
      <w:r w:rsidRPr="000202D3">
        <w:rPr>
          <w:rStyle w:val="FootnoteReference"/>
        </w:rPr>
        <w:footnoteReference w:id="11"/>
      </w:r>
      <w:r w:rsidRPr="0020000C">
        <w:t xml:space="preserve"> </w:t>
      </w:r>
      <w:r>
        <w:t>C</w:t>
      </w:r>
      <w:r w:rsidRPr="0020000C">
        <w:t xml:space="preserve">ombined assistance </w:t>
      </w:r>
      <w:r>
        <w:t xml:space="preserve">is </w:t>
      </w:r>
      <w:r w:rsidRPr="0020000C">
        <w:t xml:space="preserve">expressed </w:t>
      </w:r>
      <w:r>
        <w:t xml:space="preserve">in dollar value and </w:t>
      </w:r>
      <w:r w:rsidRPr="0020000C">
        <w:t xml:space="preserve">as a rate, which allows the comparison of assistance to industries of different sizes. The main measure of </w:t>
      </w:r>
      <w:r>
        <w:t>combined assistance</w:t>
      </w:r>
      <w:r w:rsidRPr="0020000C">
        <w:t xml:space="preserve"> is the effective rate of assistance, where the total value of combined assistance </w:t>
      </w:r>
      <w:r>
        <w:t xml:space="preserve">is </w:t>
      </w:r>
      <w:r w:rsidRPr="0020000C">
        <w:t xml:space="preserve">divided by </w:t>
      </w:r>
      <w:r>
        <w:t>industry</w:t>
      </w:r>
      <w:r w:rsidRPr="0020000C">
        <w:t xml:space="preserve"> unassisted value added</w:t>
      </w:r>
      <w:r w:rsidR="00756CCB">
        <w:t>.</w:t>
      </w:r>
      <w:r w:rsidR="000B7FAF">
        <w:t xml:space="preserve"> </w:t>
      </w:r>
      <w:r w:rsidR="00756CCB" w:rsidRPr="0020000C">
        <w:t xml:space="preserve">The key concepts involved in calculating rates of combined assistance are described in table </w:t>
      </w:r>
      <w:r w:rsidR="00756CCB">
        <w:t xml:space="preserve">4, and an illustrative example provided in </w:t>
      </w:r>
      <w:r w:rsidR="000B7FAF">
        <w:t xml:space="preserve">box </w:t>
      </w:r>
      <w:r w:rsidR="00192FF8">
        <w:t>3</w:t>
      </w:r>
      <w:r w:rsidRPr="0020000C">
        <w:t>.</w:t>
      </w:r>
    </w:p>
    <w:p w14:paraId="70DDAB24" w14:textId="77777777" w:rsidR="00756CCB" w:rsidRDefault="00756CCB" w:rsidP="00756CCB">
      <w:pPr>
        <w:pStyle w:val="BodyText"/>
      </w:pPr>
      <w:r>
        <w:t>In order to calculate both dollar values and rates of combined assistance by industry, it is necessary to have:</w:t>
      </w:r>
    </w:p>
    <w:p w14:paraId="70DDAB25" w14:textId="77777777" w:rsidR="00756CCB" w:rsidRDefault="00756CCB" w:rsidP="00756CCB">
      <w:pPr>
        <w:pStyle w:val="ListBullet"/>
      </w:pPr>
      <w:r>
        <w:t>base year (2008-09) and current year (2013</w:t>
      </w:r>
      <w:r>
        <w:noBreakHyphen/>
        <w:t>14) estimates of tariff assistance in 2008</w:t>
      </w:r>
      <w:r>
        <w:noBreakHyphen/>
        <w:t>09 constant prices (as described in section 2)</w:t>
      </w:r>
    </w:p>
    <w:p w14:paraId="70DDAB26" w14:textId="77777777" w:rsidR="00756CCB" w:rsidRDefault="00756CCB" w:rsidP="00756CCB">
      <w:pPr>
        <w:pStyle w:val="ListBullet"/>
      </w:pPr>
      <w:r>
        <w:t>base year (2008-09) and current year (2013</w:t>
      </w:r>
      <w:r>
        <w:noBreakHyphen/>
        <w:t>14) estimates of budgetary assistance in current prices (as described in section 3)</w:t>
      </w:r>
    </w:p>
    <w:p w14:paraId="70DDAB27" w14:textId="77777777" w:rsidR="00756CCB" w:rsidRDefault="00756CCB" w:rsidP="00756CCB">
      <w:pPr>
        <w:pStyle w:val="ListBullet"/>
      </w:pPr>
      <w:r>
        <w:t>unassisted values of output, material inputs and value added for the base year (2008-09)</w:t>
      </w:r>
    </w:p>
    <w:p w14:paraId="70DDAB28" w14:textId="77777777" w:rsidR="00756CCB" w:rsidRDefault="00756CCB" w:rsidP="00756CCB">
      <w:pPr>
        <w:pStyle w:val="ListBullet"/>
      </w:pPr>
      <w:r>
        <w:t>assisted value added estimates for the base year (2008-09) and current year (2013</w:t>
      </w:r>
      <w:r>
        <w:noBreakHyphen/>
        <w:t>14).</w:t>
      </w:r>
      <w:r>
        <w:rPr>
          <w:rStyle w:val="FootnoteReference"/>
        </w:rPr>
        <w:footnoteReference w:id="12"/>
      </w:r>
    </w:p>
    <w:p w14:paraId="70DDAB29" w14:textId="77777777" w:rsidR="00756CCB" w:rsidRDefault="00756CCB" w:rsidP="00756CCB">
      <w:pPr>
        <w:pStyle w:val="Heading3"/>
      </w:pPr>
      <w:r>
        <w:t>Unassisted value added</w:t>
      </w:r>
    </w:p>
    <w:p w14:paraId="70DDAB2A" w14:textId="77777777" w:rsidR="00756CCB" w:rsidRDefault="00756CCB" w:rsidP="00756CCB">
      <w:pPr>
        <w:pStyle w:val="BodyText"/>
      </w:pPr>
      <w:r>
        <w:t>It is assumed that published value added data includes the effect of assistance measures. This is referred to as ‘assisted value added’ (AVA). Calculating the effective rate of assistance requires a measure of ‘unassisted value added’ (UVA) as its denominator; it is derived from the published AVA figures as follows (also see figure </w:t>
      </w:r>
      <w:r w:rsidR="00192FF8">
        <w:t>5</w:t>
      </w:r>
      <w:r>
        <w:t>):</w:t>
      </w:r>
    </w:p>
    <w:p w14:paraId="70DDAB2B" w14:textId="77777777" w:rsidR="00756CCB" w:rsidRDefault="00756CCB" w:rsidP="00756CCB">
      <w:pPr>
        <w:pStyle w:val="BodyText"/>
      </w:pPr>
      <w:r>
        <w:tab/>
        <w:t xml:space="preserve">UVO = AVO – </w:t>
      </w:r>
      <m:oMath>
        <m:sSub>
          <m:sSubPr>
            <m:ctrlPr>
              <w:rPr>
                <w:rFonts w:ascii="Cambria Math" w:hAnsi="Cambria Math"/>
                <w:i/>
              </w:rPr>
            </m:ctrlPr>
          </m:sSubPr>
          <m:e>
            <m:r>
              <w:rPr>
                <w:rFonts w:ascii="Cambria Math" w:hAnsi="Cambria Math"/>
              </w:rPr>
              <m:t>OA</m:t>
            </m:r>
          </m:e>
          <m:sub>
            <m:r>
              <w:rPr>
                <w:rFonts w:ascii="Cambria Math" w:hAnsi="Cambria Math"/>
              </w:rPr>
              <m:t>total</m:t>
            </m:r>
          </m:sub>
        </m:sSub>
      </m:oMath>
    </w:p>
    <w:p w14:paraId="70DDAB2C" w14:textId="77777777" w:rsidR="00756CCB" w:rsidRPr="00373FED" w:rsidRDefault="00756CCB" w:rsidP="00756CCB">
      <w:pPr>
        <w:pStyle w:val="BodyText"/>
      </w:pPr>
      <w:r>
        <w:tab/>
        <w:t xml:space="preserve">UVM = AVM – </w:t>
      </w:r>
      <m:oMath>
        <m:sSub>
          <m:sSubPr>
            <m:ctrlPr>
              <w:rPr>
                <w:rFonts w:ascii="Cambria Math" w:hAnsi="Cambria Math"/>
                <w:i/>
              </w:rPr>
            </m:ctrlPr>
          </m:sSubPr>
          <m:e>
            <m:r>
              <w:rPr>
                <w:rFonts w:ascii="Cambria Math" w:hAnsi="Cambria Math"/>
              </w:rPr>
              <m:t>IA</m:t>
            </m:r>
          </m:e>
          <m:sub>
            <m:r>
              <w:rPr>
                <w:rFonts w:ascii="Cambria Math" w:hAnsi="Cambria Math"/>
              </w:rPr>
              <m:t>total</m:t>
            </m:r>
          </m:sub>
        </m:sSub>
      </m:oMath>
    </w:p>
    <w:p w14:paraId="70DDAB2D" w14:textId="77777777" w:rsidR="00756CCB" w:rsidRPr="00373FED" w:rsidRDefault="00756CCB" w:rsidP="00756CCB">
      <w:pPr>
        <w:pStyle w:val="BodyText"/>
      </w:pPr>
      <w:r>
        <w:tab/>
        <w:t>UVA = UVO - UVM</w:t>
      </w:r>
    </w:p>
    <w:p w14:paraId="70DDAB2E" w14:textId="77777777" w:rsidR="00756CCB" w:rsidRDefault="00756CCB" w:rsidP="00D85C2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56CCB" w14:paraId="70DDAB30" w14:textId="77777777" w:rsidTr="00EE323B">
        <w:tc>
          <w:tcPr>
            <w:tcW w:w="5000" w:type="pct"/>
            <w:tcBorders>
              <w:top w:val="single" w:sz="6" w:space="0" w:color="78A22F"/>
              <w:left w:val="nil"/>
              <w:bottom w:val="nil"/>
              <w:right w:val="nil"/>
            </w:tcBorders>
            <w:shd w:val="clear" w:color="auto" w:fill="auto"/>
          </w:tcPr>
          <w:p w14:paraId="70DDAB2F" w14:textId="3A671617" w:rsidR="00756CCB" w:rsidRPr="00784A05" w:rsidRDefault="00756CCB" w:rsidP="007A42FB">
            <w:pPr>
              <w:pStyle w:val="TableTitle"/>
            </w:pPr>
            <w:r>
              <w:rPr>
                <w:b w:val="0"/>
              </w:rPr>
              <w:t xml:space="preserve">Table </w:t>
            </w:r>
            <w:r w:rsidR="008C264E">
              <w:rPr>
                <w:b w:val="0"/>
                <w:noProof/>
              </w:rPr>
              <w:t>4</w:t>
            </w:r>
            <w:r>
              <w:tab/>
              <w:t>Rates of combined assistance framework</w:t>
            </w:r>
            <w:r w:rsidRPr="00EE323B">
              <w:rPr>
                <w:rStyle w:val="NoteLabel"/>
                <w:b/>
                <w:position w:val="10"/>
              </w:rPr>
              <w:t>a</w:t>
            </w:r>
          </w:p>
        </w:tc>
      </w:tr>
      <w:tr w:rsidR="00756CCB" w14:paraId="70DDAB88" w14:textId="77777777" w:rsidTr="00EE323B">
        <w:trPr>
          <w:cantSplit/>
        </w:trPr>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1509"/>
              <w:gridCol w:w="4793"/>
              <w:gridCol w:w="675"/>
              <w:gridCol w:w="1530"/>
            </w:tblGrid>
            <w:tr w:rsidR="00756CCB" w14:paraId="70DDAB35" w14:textId="77777777" w:rsidTr="00EE323B">
              <w:tc>
                <w:tcPr>
                  <w:tcW w:w="887" w:type="pct"/>
                  <w:tcBorders>
                    <w:top w:val="single" w:sz="6" w:space="0" w:color="BFBFBF"/>
                    <w:bottom w:val="single" w:sz="6" w:space="0" w:color="BFBFBF"/>
                  </w:tcBorders>
                  <w:shd w:val="clear" w:color="auto" w:fill="auto"/>
                  <w:tcMar>
                    <w:top w:w="28" w:type="dxa"/>
                  </w:tcMar>
                </w:tcPr>
                <w:p w14:paraId="70DDAB31" w14:textId="77777777" w:rsidR="00756CCB" w:rsidRDefault="00756CCB" w:rsidP="00EE323B">
                  <w:pPr>
                    <w:pStyle w:val="TableColumnHeading"/>
                    <w:jc w:val="left"/>
                  </w:pPr>
                  <w:r>
                    <w:t>Concept</w:t>
                  </w:r>
                </w:p>
              </w:tc>
              <w:tc>
                <w:tcPr>
                  <w:tcW w:w="2817" w:type="pct"/>
                  <w:tcBorders>
                    <w:top w:val="single" w:sz="6" w:space="0" w:color="BFBFBF"/>
                    <w:bottom w:val="single" w:sz="6" w:space="0" w:color="BFBFBF"/>
                  </w:tcBorders>
                  <w:shd w:val="clear" w:color="auto" w:fill="auto"/>
                  <w:tcMar>
                    <w:top w:w="28" w:type="dxa"/>
                  </w:tcMar>
                </w:tcPr>
                <w:p w14:paraId="70DDAB32" w14:textId="77777777" w:rsidR="00756CCB" w:rsidRDefault="00756CCB" w:rsidP="00EE323B">
                  <w:pPr>
                    <w:pStyle w:val="TableColumnHeading"/>
                    <w:jc w:val="left"/>
                  </w:pPr>
                  <w:r>
                    <w:t>Description</w:t>
                  </w:r>
                </w:p>
              </w:tc>
              <w:tc>
                <w:tcPr>
                  <w:tcW w:w="397" w:type="pct"/>
                  <w:tcBorders>
                    <w:top w:val="single" w:sz="6" w:space="0" w:color="BFBFBF"/>
                    <w:bottom w:val="single" w:sz="6" w:space="0" w:color="BFBFBF"/>
                  </w:tcBorders>
                  <w:shd w:val="clear" w:color="auto" w:fill="auto"/>
                  <w:tcMar>
                    <w:top w:w="28" w:type="dxa"/>
                  </w:tcMar>
                </w:tcPr>
                <w:p w14:paraId="70DDAB33" w14:textId="77777777" w:rsidR="00756CCB" w:rsidRDefault="00756CCB" w:rsidP="00EE323B">
                  <w:pPr>
                    <w:pStyle w:val="TableColumnHeading"/>
                    <w:ind w:right="28"/>
                    <w:jc w:val="left"/>
                  </w:pPr>
                  <w:r>
                    <w:t>Abbrev.</w:t>
                  </w:r>
                </w:p>
              </w:tc>
              <w:tc>
                <w:tcPr>
                  <w:tcW w:w="900" w:type="pct"/>
                  <w:tcBorders>
                    <w:top w:val="single" w:sz="6" w:space="0" w:color="BFBFBF"/>
                    <w:bottom w:val="single" w:sz="6" w:space="0" w:color="BFBFBF"/>
                  </w:tcBorders>
                  <w:shd w:val="clear" w:color="auto" w:fill="auto"/>
                </w:tcPr>
                <w:p w14:paraId="70DDAB34" w14:textId="77777777" w:rsidR="00756CCB" w:rsidRDefault="00756CCB" w:rsidP="00EE323B">
                  <w:pPr>
                    <w:pStyle w:val="TableColumnHeading"/>
                    <w:ind w:right="28"/>
                    <w:jc w:val="left"/>
                  </w:pPr>
                  <w:r>
                    <w:t>Formula</w:t>
                  </w:r>
                </w:p>
              </w:tc>
            </w:tr>
            <w:tr w:rsidR="00756CCB" w14:paraId="70DDAB3A" w14:textId="77777777" w:rsidTr="00EE323B">
              <w:tc>
                <w:tcPr>
                  <w:tcW w:w="887" w:type="pct"/>
                  <w:tcBorders>
                    <w:top w:val="single" w:sz="6" w:space="0" w:color="BFBFBF"/>
                  </w:tcBorders>
                </w:tcPr>
                <w:p w14:paraId="70DDAB36" w14:textId="77777777" w:rsidR="00756CCB" w:rsidRPr="009A4D0D" w:rsidRDefault="00756CCB" w:rsidP="00EE323B">
                  <w:pPr>
                    <w:pStyle w:val="TableBodyText"/>
                    <w:spacing w:before="80"/>
                    <w:jc w:val="left"/>
                  </w:pPr>
                  <w:r>
                    <w:t>Gross subsidy equivalent</w:t>
                  </w:r>
                </w:p>
              </w:tc>
              <w:tc>
                <w:tcPr>
                  <w:tcW w:w="2817" w:type="pct"/>
                  <w:tcBorders>
                    <w:top w:val="single" w:sz="6" w:space="0" w:color="BFBFBF"/>
                  </w:tcBorders>
                </w:tcPr>
                <w:p w14:paraId="70DDAB37" w14:textId="77777777" w:rsidR="00756CCB" w:rsidRPr="009A4D0D" w:rsidRDefault="00756CCB" w:rsidP="00EE323B">
                  <w:pPr>
                    <w:pStyle w:val="TableBodyText"/>
                    <w:spacing w:before="80"/>
                    <w:jc w:val="left"/>
                  </w:pPr>
                  <w:r>
                    <w:t>The dollar value of tariff assistance to an industry’s outputs.</w:t>
                  </w:r>
                </w:p>
              </w:tc>
              <w:tc>
                <w:tcPr>
                  <w:tcW w:w="397" w:type="pct"/>
                  <w:tcBorders>
                    <w:top w:val="single" w:sz="6" w:space="0" w:color="BFBFBF"/>
                  </w:tcBorders>
                </w:tcPr>
                <w:p w14:paraId="70DDAB38" w14:textId="77777777" w:rsidR="00756CCB" w:rsidRPr="009A4D0D" w:rsidRDefault="00756CCB" w:rsidP="00EE323B">
                  <w:pPr>
                    <w:pStyle w:val="TableBodyText"/>
                    <w:spacing w:before="80"/>
                    <w:jc w:val="left"/>
                  </w:pPr>
                  <w:r>
                    <w:t>GSE</w:t>
                  </w:r>
                </w:p>
              </w:tc>
              <w:tc>
                <w:tcPr>
                  <w:tcW w:w="900" w:type="pct"/>
                  <w:tcBorders>
                    <w:top w:val="single" w:sz="6" w:space="0" w:color="BFBFBF"/>
                  </w:tcBorders>
                </w:tcPr>
                <w:p w14:paraId="70DDAB39" w14:textId="77777777" w:rsidR="00756CCB" w:rsidRPr="009A4D0D" w:rsidRDefault="00756CCB" w:rsidP="00EE323B">
                  <w:pPr>
                    <w:pStyle w:val="TableBodyText"/>
                    <w:spacing w:before="80"/>
                    <w:jc w:val="left"/>
                  </w:pPr>
                </w:p>
              </w:tc>
            </w:tr>
            <w:tr w:rsidR="00756CCB" w14:paraId="70DDAB3F" w14:textId="77777777" w:rsidTr="00EE323B">
              <w:tc>
                <w:tcPr>
                  <w:tcW w:w="887" w:type="pct"/>
                </w:tcPr>
                <w:p w14:paraId="70DDAB3B" w14:textId="77777777" w:rsidR="00756CCB" w:rsidRPr="009A4D0D" w:rsidRDefault="00756CCB" w:rsidP="00EE323B">
                  <w:pPr>
                    <w:pStyle w:val="TableBodyText"/>
                    <w:jc w:val="left"/>
                  </w:pPr>
                  <w:r>
                    <w:t>Output assistance</w:t>
                  </w:r>
                </w:p>
              </w:tc>
              <w:tc>
                <w:tcPr>
                  <w:tcW w:w="2817" w:type="pct"/>
                </w:tcPr>
                <w:p w14:paraId="70DDAB3C" w14:textId="77777777" w:rsidR="00756CCB" w:rsidRPr="009A4D0D" w:rsidRDefault="00756CCB" w:rsidP="00EE323B">
                  <w:pPr>
                    <w:pStyle w:val="TableBodyText"/>
                    <w:jc w:val="left"/>
                  </w:pPr>
                  <w:r w:rsidRPr="009A4D0D">
                    <w:t>Value of assistance to an industry's outputs, resulting from either tariff or budgetary assistance.</w:t>
                  </w:r>
                </w:p>
              </w:tc>
              <w:tc>
                <w:tcPr>
                  <w:tcW w:w="397" w:type="pct"/>
                </w:tcPr>
                <w:p w14:paraId="70DDAB3D" w14:textId="77777777" w:rsidR="00756CCB" w:rsidRPr="009A4D0D" w:rsidRDefault="00756CCB" w:rsidP="00EE323B">
                  <w:pPr>
                    <w:pStyle w:val="TableBodyText"/>
                    <w:jc w:val="left"/>
                  </w:pPr>
                  <w:r>
                    <w:t>OA</w:t>
                  </w:r>
                  <w:r w:rsidRPr="00681140">
                    <w:rPr>
                      <w:vertAlign w:val="subscript"/>
                    </w:rPr>
                    <w:t>total</w:t>
                  </w:r>
                </w:p>
              </w:tc>
              <w:tc>
                <w:tcPr>
                  <w:tcW w:w="900" w:type="pct"/>
                </w:tcPr>
                <w:p w14:paraId="70DDAB3E" w14:textId="77777777" w:rsidR="00756CCB" w:rsidRPr="009A4D0D" w:rsidRDefault="00756CCB" w:rsidP="00EE323B">
                  <w:pPr>
                    <w:pStyle w:val="TableBodyText"/>
                    <w:jc w:val="left"/>
                  </w:pPr>
                  <w:r>
                    <w:t>OA</w:t>
                  </w:r>
                  <w:r w:rsidRPr="00681140">
                    <w:rPr>
                      <w:vertAlign w:val="subscript"/>
                    </w:rPr>
                    <w:t>total</w:t>
                  </w:r>
                  <w:r w:rsidRPr="009A4D0D">
                    <w:t xml:space="preserve"> = GSE + </w:t>
                  </w:r>
                  <w:r>
                    <w:t>OA</w:t>
                  </w:r>
                  <w:r w:rsidRPr="009A4D0D">
                    <w:rPr>
                      <w:vertAlign w:val="subscript"/>
                    </w:rPr>
                    <w:t>outlay</w:t>
                  </w:r>
                  <w:r w:rsidRPr="009A4D0D">
                    <w:t xml:space="preserve"> + </w:t>
                  </w:r>
                  <w:r>
                    <w:t>OA</w:t>
                  </w:r>
                  <w:r w:rsidRPr="009A4D0D">
                    <w:rPr>
                      <w:vertAlign w:val="subscript"/>
                    </w:rPr>
                    <w:t>concession</w:t>
                  </w:r>
                </w:p>
              </w:tc>
            </w:tr>
            <w:tr w:rsidR="00756CCB" w14:paraId="70DDAB44" w14:textId="77777777" w:rsidTr="00EE323B">
              <w:tc>
                <w:tcPr>
                  <w:tcW w:w="887" w:type="pct"/>
                </w:tcPr>
                <w:p w14:paraId="70DDAB40" w14:textId="77777777" w:rsidR="00756CCB" w:rsidRPr="009A4D0D" w:rsidRDefault="00756CCB" w:rsidP="00EE323B">
                  <w:pPr>
                    <w:pStyle w:val="TableBodyText"/>
                    <w:jc w:val="left"/>
                  </w:pPr>
                  <w:r w:rsidRPr="009A4D0D">
                    <w:t>Tax equivalent on materials</w:t>
                  </w:r>
                  <w:r w:rsidRPr="00681140">
                    <w:rPr>
                      <w:rStyle w:val="NoteLabel"/>
                    </w:rPr>
                    <w:t>b</w:t>
                  </w:r>
                </w:p>
              </w:tc>
              <w:tc>
                <w:tcPr>
                  <w:tcW w:w="2817" w:type="pct"/>
                </w:tcPr>
                <w:p w14:paraId="70DDAB41" w14:textId="77777777" w:rsidR="00756CCB" w:rsidRPr="009A4D0D" w:rsidRDefault="00756CCB" w:rsidP="00EE323B">
                  <w:pPr>
                    <w:pStyle w:val="TableBodyText"/>
                    <w:jc w:val="left"/>
                  </w:pPr>
                  <w:r w:rsidRPr="009A4D0D">
                    <w:t xml:space="preserve">Value of </w:t>
                  </w:r>
                  <w:r>
                    <w:t xml:space="preserve">cost </w:t>
                  </w:r>
                  <w:r w:rsidRPr="009A4D0D">
                    <w:t>penalty to inputs due to tariff-related price increases</w:t>
                  </w:r>
                  <w:r>
                    <w:t>.</w:t>
                  </w:r>
                </w:p>
              </w:tc>
              <w:tc>
                <w:tcPr>
                  <w:tcW w:w="397" w:type="pct"/>
                </w:tcPr>
                <w:p w14:paraId="70DDAB42" w14:textId="77777777" w:rsidR="00756CCB" w:rsidRPr="009A4D0D" w:rsidRDefault="00756CCB" w:rsidP="00EE323B">
                  <w:pPr>
                    <w:pStyle w:val="TableBodyText"/>
                    <w:jc w:val="left"/>
                  </w:pPr>
                  <w:r>
                    <w:t>TEM</w:t>
                  </w:r>
                </w:p>
              </w:tc>
              <w:tc>
                <w:tcPr>
                  <w:tcW w:w="900" w:type="pct"/>
                </w:tcPr>
                <w:p w14:paraId="70DDAB43" w14:textId="77777777" w:rsidR="00756CCB" w:rsidRPr="009A4D0D" w:rsidRDefault="00756CCB" w:rsidP="00EE323B">
                  <w:pPr>
                    <w:pStyle w:val="TableBodyText"/>
                    <w:jc w:val="left"/>
                  </w:pPr>
                </w:p>
              </w:tc>
            </w:tr>
            <w:tr w:rsidR="00756CCB" w14:paraId="70DDAB49" w14:textId="77777777" w:rsidTr="00EE323B">
              <w:tc>
                <w:tcPr>
                  <w:tcW w:w="887" w:type="pct"/>
                </w:tcPr>
                <w:p w14:paraId="70DDAB45" w14:textId="77777777" w:rsidR="00756CCB" w:rsidRPr="009A4D0D" w:rsidRDefault="00756CCB" w:rsidP="00EE323B">
                  <w:pPr>
                    <w:pStyle w:val="TableBodyText"/>
                    <w:jc w:val="left"/>
                  </w:pPr>
                  <w:r>
                    <w:t>Input assistance</w:t>
                  </w:r>
                </w:p>
              </w:tc>
              <w:tc>
                <w:tcPr>
                  <w:tcW w:w="2817" w:type="pct"/>
                </w:tcPr>
                <w:p w14:paraId="70DDAB46" w14:textId="77777777" w:rsidR="00756CCB" w:rsidRPr="009A4D0D" w:rsidRDefault="00756CCB" w:rsidP="00EE323B">
                  <w:pPr>
                    <w:pStyle w:val="TableBodyText"/>
                    <w:jc w:val="left"/>
                  </w:pPr>
                  <w:r>
                    <w:t xml:space="preserve">Value of assistance to an industry’s inputs, including the cost penalty resulting from tariffs on inputs, and </w:t>
                  </w:r>
                  <w:r w:rsidRPr="009A4D0D">
                    <w:t>the value of assistance to inputs in terms of subsidies or tax concessions</w:t>
                  </w:r>
                  <w:r>
                    <w:t>. As TEM is a negative value, IA</w:t>
                  </w:r>
                  <w:r w:rsidRPr="00681140">
                    <w:rPr>
                      <w:vertAlign w:val="subscript"/>
                    </w:rPr>
                    <w:t>total</w:t>
                  </w:r>
                  <w:r>
                    <w:rPr>
                      <w:vertAlign w:val="subscript"/>
                    </w:rPr>
                    <w:t xml:space="preserve"> </w:t>
                  </w:r>
                  <w:r>
                    <w:t xml:space="preserve">can also be negative. </w:t>
                  </w:r>
                </w:p>
              </w:tc>
              <w:tc>
                <w:tcPr>
                  <w:tcW w:w="397" w:type="pct"/>
                </w:tcPr>
                <w:p w14:paraId="70DDAB47" w14:textId="77777777" w:rsidR="00756CCB" w:rsidRPr="009A4D0D" w:rsidRDefault="00756CCB" w:rsidP="00EE323B">
                  <w:pPr>
                    <w:pStyle w:val="TableBodyText"/>
                    <w:jc w:val="left"/>
                  </w:pPr>
                  <w:r>
                    <w:t>IA</w:t>
                  </w:r>
                  <w:r w:rsidRPr="00681140">
                    <w:rPr>
                      <w:vertAlign w:val="subscript"/>
                    </w:rPr>
                    <w:t>total</w:t>
                  </w:r>
                </w:p>
              </w:tc>
              <w:tc>
                <w:tcPr>
                  <w:tcW w:w="900" w:type="pct"/>
                </w:tcPr>
                <w:p w14:paraId="70DDAB48" w14:textId="77777777" w:rsidR="00756CCB" w:rsidRPr="009A4D0D" w:rsidRDefault="00756CCB" w:rsidP="00EE323B">
                  <w:pPr>
                    <w:pStyle w:val="TableBodyText"/>
                    <w:jc w:val="left"/>
                  </w:pPr>
                  <w:r>
                    <w:t>IA</w:t>
                  </w:r>
                  <w:r w:rsidRPr="00681140">
                    <w:rPr>
                      <w:vertAlign w:val="subscript"/>
                    </w:rPr>
                    <w:t>total</w:t>
                  </w:r>
                  <w:r w:rsidRPr="009A4D0D">
                    <w:t xml:space="preserve"> = TEM</w:t>
                  </w:r>
                  <w:r>
                    <w:t xml:space="preserve"> </w:t>
                  </w:r>
                  <w:r w:rsidRPr="009A4D0D">
                    <w:t xml:space="preserve">+ </w:t>
                  </w:r>
                  <w:r>
                    <w:t>IA</w:t>
                  </w:r>
                  <w:r w:rsidRPr="009A4D0D">
                    <w:rPr>
                      <w:vertAlign w:val="subscript"/>
                    </w:rPr>
                    <w:t>outlay</w:t>
                  </w:r>
                  <w:r w:rsidRPr="009A4D0D">
                    <w:t xml:space="preserve"> + </w:t>
                  </w:r>
                  <w:r>
                    <w:t>IA</w:t>
                  </w:r>
                  <w:r w:rsidRPr="009A4D0D">
                    <w:rPr>
                      <w:vertAlign w:val="subscript"/>
                    </w:rPr>
                    <w:t>concession</w:t>
                  </w:r>
                </w:p>
              </w:tc>
            </w:tr>
            <w:tr w:rsidR="00756CCB" w14:paraId="70DDAB4E" w14:textId="77777777" w:rsidTr="00EE323B">
              <w:tc>
                <w:tcPr>
                  <w:tcW w:w="887" w:type="pct"/>
                </w:tcPr>
                <w:p w14:paraId="70DDAB4A" w14:textId="77777777" w:rsidR="00756CCB" w:rsidRPr="009A4D0D" w:rsidRDefault="00756CCB" w:rsidP="00EE323B">
                  <w:pPr>
                    <w:pStyle w:val="TableBodyText"/>
                    <w:jc w:val="left"/>
                  </w:pPr>
                  <w:r w:rsidRPr="009A4D0D">
                    <w:t>Assistance to value-adding factors</w:t>
                  </w:r>
                </w:p>
              </w:tc>
              <w:tc>
                <w:tcPr>
                  <w:tcW w:w="2817" w:type="pct"/>
                </w:tcPr>
                <w:p w14:paraId="70DDAB4B" w14:textId="77777777" w:rsidR="00756CCB" w:rsidRPr="009A4D0D" w:rsidRDefault="00756CCB" w:rsidP="00EE323B">
                  <w:pPr>
                    <w:pStyle w:val="TableBodyText"/>
                    <w:jc w:val="left"/>
                  </w:pPr>
                  <w:r w:rsidRPr="009A4D0D">
                    <w:t xml:space="preserve">Value of </w:t>
                  </w:r>
                  <w:r>
                    <w:t xml:space="preserve">budgetary </w:t>
                  </w:r>
                  <w:r w:rsidRPr="009A4D0D">
                    <w:t>assistance not directly linked to the returns of outputs or the costs of inputs but which accrues to land, labour or capital.</w:t>
                  </w:r>
                </w:p>
              </w:tc>
              <w:tc>
                <w:tcPr>
                  <w:tcW w:w="397" w:type="pct"/>
                </w:tcPr>
                <w:p w14:paraId="70DDAB4C" w14:textId="77777777" w:rsidR="00756CCB" w:rsidRPr="009A4D0D" w:rsidRDefault="00756CCB" w:rsidP="00EE323B">
                  <w:pPr>
                    <w:pStyle w:val="TableBodyText"/>
                    <w:jc w:val="left"/>
                  </w:pPr>
                  <w:r w:rsidRPr="009A4D0D">
                    <w:t>AVAF</w:t>
                  </w:r>
                </w:p>
              </w:tc>
              <w:tc>
                <w:tcPr>
                  <w:tcW w:w="900" w:type="pct"/>
                </w:tcPr>
                <w:p w14:paraId="70DDAB4D" w14:textId="77777777" w:rsidR="00756CCB" w:rsidRPr="009A4D0D" w:rsidRDefault="00756CCB" w:rsidP="00EE323B">
                  <w:pPr>
                    <w:pStyle w:val="TableBodyText"/>
                    <w:jc w:val="left"/>
                  </w:pPr>
                  <w:r>
                    <w:t>AVAF</w:t>
                  </w:r>
                  <w:r w:rsidRPr="009A4D0D">
                    <w:t xml:space="preserve"> = </w:t>
                  </w:r>
                  <w:r>
                    <w:t>AVAF</w:t>
                  </w:r>
                  <w:r w:rsidRPr="009A4D0D">
                    <w:rPr>
                      <w:vertAlign w:val="subscript"/>
                    </w:rPr>
                    <w:t>outlay</w:t>
                  </w:r>
                  <w:r>
                    <w:rPr>
                      <w:vertAlign w:val="subscript"/>
                    </w:rPr>
                    <w:t xml:space="preserve"> </w:t>
                  </w:r>
                  <w:r w:rsidRPr="009A4D0D">
                    <w:t xml:space="preserve"> + </w:t>
                  </w:r>
                  <w:r>
                    <w:t>AVAF</w:t>
                  </w:r>
                  <w:r>
                    <w:rPr>
                      <w:vertAlign w:val="subscript"/>
                    </w:rPr>
                    <w:t>concession</w:t>
                  </w:r>
                </w:p>
              </w:tc>
            </w:tr>
            <w:tr w:rsidR="00756CCB" w14:paraId="70DDAB53" w14:textId="77777777" w:rsidTr="00EE323B">
              <w:tc>
                <w:tcPr>
                  <w:tcW w:w="887" w:type="pct"/>
                </w:tcPr>
                <w:p w14:paraId="70DDAB4F" w14:textId="77777777" w:rsidR="00756CCB" w:rsidRPr="009A4D0D" w:rsidRDefault="00756CCB" w:rsidP="00EE323B">
                  <w:pPr>
                    <w:pStyle w:val="TableBodyText"/>
                    <w:jc w:val="left"/>
                  </w:pPr>
                  <w:r w:rsidRPr="009A4D0D">
                    <w:t>Net subsidy equivalent</w:t>
                  </w:r>
                </w:p>
              </w:tc>
              <w:tc>
                <w:tcPr>
                  <w:tcW w:w="2817" w:type="pct"/>
                </w:tcPr>
                <w:p w14:paraId="70DDAB50" w14:textId="77777777" w:rsidR="00756CCB" w:rsidRPr="009A4D0D" w:rsidRDefault="00756CCB" w:rsidP="00EE323B">
                  <w:pPr>
                    <w:pStyle w:val="TableBodyText"/>
                    <w:jc w:val="left"/>
                  </w:pPr>
                  <w:r w:rsidRPr="009A4D0D">
                    <w:t>Value of net assistance to an industry.</w:t>
                  </w:r>
                  <w:r>
                    <w:t xml:space="preserve"> Also referred to as net combined assistance.</w:t>
                  </w:r>
                </w:p>
              </w:tc>
              <w:tc>
                <w:tcPr>
                  <w:tcW w:w="397" w:type="pct"/>
                </w:tcPr>
                <w:p w14:paraId="70DDAB51" w14:textId="77777777" w:rsidR="00756CCB" w:rsidRPr="009A4D0D" w:rsidRDefault="00756CCB" w:rsidP="00EE323B">
                  <w:pPr>
                    <w:pStyle w:val="TableBodyText"/>
                    <w:jc w:val="left"/>
                  </w:pPr>
                  <w:r w:rsidRPr="009A4D0D">
                    <w:t>NSE</w:t>
                  </w:r>
                </w:p>
              </w:tc>
              <w:tc>
                <w:tcPr>
                  <w:tcW w:w="900" w:type="pct"/>
                </w:tcPr>
                <w:p w14:paraId="70DDAB52" w14:textId="77777777" w:rsidR="00756CCB" w:rsidRPr="009A4D0D" w:rsidRDefault="00756CCB" w:rsidP="00EE323B">
                  <w:pPr>
                    <w:pStyle w:val="TableBodyText"/>
                    <w:jc w:val="left"/>
                  </w:pPr>
                  <w:r>
                    <w:t>NSE = OA</w:t>
                  </w:r>
                  <w:r w:rsidRPr="00CC6B3F">
                    <w:rPr>
                      <w:vertAlign w:val="subscript"/>
                    </w:rPr>
                    <w:t>total</w:t>
                  </w:r>
                  <w:r>
                    <w:t xml:space="preserve"> + IA</w:t>
                  </w:r>
                  <w:r w:rsidRPr="00CC6B3F">
                    <w:rPr>
                      <w:vertAlign w:val="subscript"/>
                    </w:rPr>
                    <w:t>total</w:t>
                  </w:r>
                  <w:r>
                    <w:t xml:space="preserve"> + AVAF</w:t>
                  </w:r>
                </w:p>
              </w:tc>
            </w:tr>
            <w:tr w:rsidR="00756CCB" w14:paraId="70DDAB58" w14:textId="77777777" w:rsidTr="00EE323B">
              <w:tc>
                <w:tcPr>
                  <w:tcW w:w="887" w:type="pct"/>
                </w:tcPr>
                <w:p w14:paraId="70DDAB54" w14:textId="77777777" w:rsidR="00756CCB" w:rsidRPr="009A4D0D" w:rsidRDefault="00756CCB" w:rsidP="00EE323B">
                  <w:pPr>
                    <w:pStyle w:val="TableBodyText"/>
                    <w:jc w:val="left"/>
                  </w:pPr>
                  <w:r w:rsidRPr="009A4D0D">
                    <w:t xml:space="preserve">Gross combined assistance </w:t>
                  </w:r>
                </w:p>
              </w:tc>
              <w:tc>
                <w:tcPr>
                  <w:tcW w:w="2817" w:type="pct"/>
                </w:tcPr>
                <w:p w14:paraId="70DDAB55" w14:textId="77777777" w:rsidR="00756CCB" w:rsidRPr="009A4D0D" w:rsidRDefault="00756CCB" w:rsidP="00EE323B">
                  <w:pPr>
                    <w:pStyle w:val="TableBodyText"/>
                    <w:jc w:val="left"/>
                  </w:pPr>
                  <w:r w:rsidRPr="009A4D0D">
                    <w:t>Value of assistance to outputs and value-adding factors</w:t>
                  </w:r>
                  <w:r>
                    <w:t xml:space="preserve"> that results from tariff output assistance, budgetary outlay and tax concessions.</w:t>
                  </w:r>
                </w:p>
              </w:tc>
              <w:tc>
                <w:tcPr>
                  <w:tcW w:w="397" w:type="pct"/>
                </w:tcPr>
                <w:p w14:paraId="70DDAB56" w14:textId="77777777" w:rsidR="00756CCB" w:rsidRPr="009A4D0D" w:rsidRDefault="00756CCB" w:rsidP="00EE323B">
                  <w:pPr>
                    <w:pStyle w:val="TableBodyText"/>
                    <w:jc w:val="left"/>
                  </w:pPr>
                  <w:r w:rsidRPr="009A4D0D">
                    <w:t>GCA</w:t>
                  </w:r>
                </w:p>
              </w:tc>
              <w:tc>
                <w:tcPr>
                  <w:tcW w:w="900" w:type="pct"/>
                </w:tcPr>
                <w:p w14:paraId="70DDAB57" w14:textId="77777777" w:rsidR="00756CCB" w:rsidRPr="009A4D0D" w:rsidRDefault="00756CCB" w:rsidP="00EE323B">
                  <w:pPr>
                    <w:pStyle w:val="TableBodyText"/>
                    <w:jc w:val="left"/>
                  </w:pPr>
                  <w:r w:rsidRPr="009A4D0D">
                    <w:t xml:space="preserve">GCA = </w:t>
                  </w:r>
                  <w:r>
                    <w:t>OA</w:t>
                  </w:r>
                  <w:r w:rsidRPr="00CC6B3F">
                    <w:rPr>
                      <w:vertAlign w:val="subscript"/>
                    </w:rPr>
                    <w:t>total</w:t>
                  </w:r>
                  <w:r>
                    <w:t xml:space="preserve"> + IA</w:t>
                  </w:r>
                  <w:r w:rsidRPr="009A4D0D">
                    <w:rPr>
                      <w:vertAlign w:val="subscript"/>
                    </w:rPr>
                    <w:t>outlay</w:t>
                  </w:r>
                  <w:r w:rsidRPr="009A4D0D">
                    <w:t xml:space="preserve"> + </w:t>
                  </w:r>
                  <w:r>
                    <w:t>IA</w:t>
                  </w:r>
                  <w:r w:rsidRPr="009A4D0D">
                    <w:rPr>
                      <w:vertAlign w:val="subscript"/>
                    </w:rPr>
                    <w:t>concession</w:t>
                  </w:r>
                  <w:r>
                    <w:t xml:space="preserve"> + AVAF</w:t>
                  </w:r>
                </w:p>
              </w:tc>
            </w:tr>
            <w:tr w:rsidR="00756CCB" w14:paraId="70DDAB5E" w14:textId="77777777" w:rsidTr="00EE323B">
              <w:tc>
                <w:tcPr>
                  <w:tcW w:w="887" w:type="pct"/>
                </w:tcPr>
                <w:p w14:paraId="70DDAB59" w14:textId="77777777" w:rsidR="00756CCB" w:rsidRPr="009A4D0D" w:rsidRDefault="00756CCB" w:rsidP="00EE323B">
                  <w:pPr>
                    <w:pStyle w:val="TableBodyText"/>
                    <w:jc w:val="left"/>
                  </w:pPr>
                  <w:r w:rsidRPr="009A4D0D">
                    <w:t>Assisted value of outputs</w:t>
                  </w:r>
                </w:p>
              </w:tc>
              <w:tc>
                <w:tcPr>
                  <w:tcW w:w="2817" w:type="pct"/>
                </w:tcPr>
                <w:p w14:paraId="70DDAB5A" w14:textId="77777777" w:rsidR="00756CCB" w:rsidRDefault="00756CCB" w:rsidP="00EE323B">
                  <w:pPr>
                    <w:pStyle w:val="TableBodyText"/>
                    <w:jc w:val="left"/>
                  </w:pPr>
                  <w:r w:rsidRPr="009A4D0D">
                    <w:t>Total value of output for an industry</w:t>
                  </w:r>
                  <w:r>
                    <w:t xml:space="preserve"> </w:t>
                  </w:r>
                </w:p>
                <w:p w14:paraId="70DDAB5B" w14:textId="77777777" w:rsidR="00756CCB" w:rsidRPr="009A4D0D" w:rsidRDefault="00756CCB" w:rsidP="00EE323B">
                  <w:pPr>
                    <w:pStyle w:val="TableBodyText"/>
                    <w:jc w:val="left"/>
                  </w:pPr>
                  <w:r>
                    <w:t>(sourced from ABS Input-Output tables)</w:t>
                  </w:r>
                  <w:r w:rsidRPr="009A4D0D">
                    <w:t>.</w:t>
                  </w:r>
                </w:p>
              </w:tc>
              <w:tc>
                <w:tcPr>
                  <w:tcW w:w="397" w:type="pct"/>
                </w:tcPr>
                <w:p w14:paraId="70DDAB5C" w14:textId="77777777" w:rsidR="00756CCB" w:rsidRPr="009A4D0D" w:rsidRDefault="00756CCB" w:rsidP="00EE323B">
                  <w:pPr>
                    <w:pStyle w:val="TableBodyText"/>
                    <w:jc w:val="left"/>
                  </w:pPr>
                  <w:r w:rsidRPr="009A4D0D">
                    <w:t>AVO</w:t>
                  </w:r>
                </w:p>
              </w:tc>
              <w:tc>
                <w:tcPr>
                  <w:tcW w:w="900" w:type="pct"/>
                </w:tcPr>
                <w:p w14:paraId="70DDAB5D" w14:textId="77777777" w:rsidR="00756CCB" w:rsidRPr="009A4D0D" w:rsidRDefault="00756CCB" w:rsidP="00EE323B">
                  <w:pPr>
                    <w:pStyle w:val="TableBodyText"/>
                    <w:jc w:val="left"/>
                  </w:pPr>
                </w:p>
              </w:tc>
            </w:tr>
            <w:tr w:rsidR="00756CCB" w14:paraId="70DDAB64" w14:textId="77777777" w:rsidTr="00EE323B">
              <w:tc>
                <w:tcPr>
                  <w:tcW w:w="887" w:type="pct"/>
                </w:tcPr>
                <w:p w14:paraId="70DDAB5F" w14:textId="77777777" w:rsidR="00756CCB" w:rsidRPr="009A4D0D" w:rsidRDefault="00756CCB" w:rsidP="00EE323B">
                  <w:pPr>
                    <w:pStyle w:val="TableBodyText"/>
                    <w:jc w:val="left"/>
                  </w:pPr>
                  <w:r w:rsidRPr="009A4D0D">
                    <w:t>Assisted value of inputs</w:t>
                  </w:r>
                </w:p>
              </w:tc>
              <w:tc>
                <w:tcPr>
                  <w:tcW w:w="2817" w:type="pct"/>
                </w:tcPr>
                <w:p w14:paraId="70DDAB60" w14:textId="77777777" w:rsidR="00756CCB" w:rsidRDefault="00756CCB" w:rsidP="00EE323B">
                  <w:pPr>
                    <w:pStyle w:val="TableBodyText"/>
                    <w:jc w:val="left"/>
                  </w:pPr>
                  <w:r w:rsidRPr="009A4D0D">
                    <w:t>Total value of inputs for an industry</w:t>
                  </w:r>
                  <w:r>
                    <w:t xml:space="preserve"> </w:t>
                  </w:r>
                </w:p>
                <w:p w14:paraId="70DDAB61" w14:textId="77777777" w:rsidR="00756CCB" w:rsidRPr="009A4D0D" w:rsidRDefault="00756CCB" w:rsidP="00EE323B">
                  <w:pPr>
                    <w:pStyle w:val="TableBodyText"/>
                    <w:jc w:val="left"/>
                  </w:pPr>
                  <w:r>
                    <w:t>(sourced from ABS Input-Output tables)</w:t>
                  </w:r>
                  <w:r w:rsidRPr="009A4D0D">
                    <w:t>.</w:t>
                  </w:r>
                </w:p>
              </w:tc>
              <w:tc>
                <w:tcPr>
                  <w:tcW w:w="397" w:type="pct"/>
                </w:tcPr>
                <w:p w14:paraId="70DDAB62" w14:textId="77777777" w:rsidR="00756CCB" w:rsidRPr="009A4D0D" w:rsidRDefault="00756CCB" w:rsidP="00EE323B">
                  <w:pPr>
                    <w:pStyle w:val="TableBodyText"/>
                    <w:jc w:val="left"/>
                  </w:pPr>
                  <w:r w:rsidRPr="009A4D0D">
                    <w:t>AVM</w:t>
                  </w:r>
                </w:p>
              </w:tc>
              <w:tc>
                <w:tcPr>
                  <w:tcW w:w="900" w:type="pct"/>
                </w:tcPr>
                <w:p w14:paraId="70DDAB63" w14:textId="77777777" w:rsidR="00756CCB" w:rsidRPr="009A4D0D" w:rsidRDefault="00756CCB" w:rsidP="00EE323B">
                  <w:pPr>
                    <w:pStyle w:val="TableBodyText"/>
                    <w:jc w:val="left"/>
                  </w:pPr>
                </w:p>
              </w:tc>
            </w:tr>
            <w:tr w:rsidR="00756CCB" w14:paraId="70DDAB69" w14:textId="77777777" w:rsidTr="00EE323B">
              <w:tc>
                <w:tcPr>
                  <w:tcW w:w="887" w:type="pct"/>
                </w:tcPr>
                <w:p w14:paraId="70DDAB65" w14:textId="77777777" w:rsidR="00756CCB" w:rsidRPr="009A4D0D" w:rsidRDefault="00756CCB" w:rsidP="00EE323B">
                  <w:pPr>
                    <w:pStyle w:val="TableBodyText"/>
                    <w:jc w:val="left"/>
                  </w:pPr>
                  <w:r w:rsidRPr="009A4D0D">
                    <w:t>Unassisted value of output</w:t>
                  </w:r>
                </w:p>
              </w:tc>
              <w:tc>
                <w:tcPr>
                  <w:tcW w:w="2817" w:type="pct"/>
                </w:tcPr>
                <w:p w14:paraId="70DDAB66" w14:textId="77777777" w:rsidR="00756CCB" w:rsidRPr="009A4D0D" w:rsidRDefault="00756CCB" w:rsidP="00EE323B">
                  <w:pPr>
                    <w:pStyle w:val="TableBodyText"/>
                    <w:jc w:val="left"/>
                  </w:pPr>
                  <w:r w:rsidRPr="009A4D0D">
                    <w:t>Assisted value of output minus output assistance</w:t>
                  </w:r>
                </w:p>
              </w:tc>
              <w:tc>
                <w:tcPr>
                  <w:tcW w:w="397" w:type="pct"/>
                </w:tcPr>
                <w:p w14:paraId="70DDAB67" w14:textId="77777777" w:rsidR="00756CCB" w:rsidRPr="009A4D0D" w:rsidRDefault="00756CCB" w:rsidP="00EE323B">
                  <w:pPr>
                    <w:pStyle w:val="TableBodyText"/>
                    <w:jc w:val="left"/>
                  </w:pPr>
                  <w:r w:rsidRPr="009A4D0D">
                    <w:t>UVO</w:t>
                  </w:r>
                </w:p>
              </w:tc>
              <w:tc>
                <w:tcPr>
                  <w:tcW w:w="900" w:type="pct"/>
                </w:tcPr>
                <w:p w14:paraId="70DDAB68" w14:textId="77777777" w:rsidR="00756CCB" w:rsidRPr="009A4D0D" w:rsidRDefault="00756CCB" w:rsidP="00EE323B">
                  <w:pPr>
                    <w:pStyle w:val="TableBodyText"/>
                    <w:jc w:val="left"/>
                  </w:pPr>
                  <w:r w:rsidRPr="009A4D0D">
                    <w:t xml:space="preserve">UVO = AVO - </w:t>
                  </w:r>
                  <w:r>
                    <w:t>OA</w:t>
                  </w:r>
                  <w:r w:rsidRPr="00681140">
                    <w:rPr>
                      <w:vertAlign w:val="subscript"/>
                    </w:rPr>
                    <w:t>total</w:t>
                  </w:r>
                </w:p>
              </w:tc>
            </w:tr>
            <w:tr w:rsidR="00756CCB" w14:paraId="70DDAB6E" w14:textId="77777777" w:rsidTr="00EE323B">
              <w:tc>
                <w:tcPr>
                  <w:tcW w:w="887" w:type="pct"/>
                </w:tcPr>
                <w:p w14:paraId="70DDAB6A" w14:textId="77777777" w:rsidR="00756CCB" w:rsidRPr="009A4D0D" w:rsidRDefault="00756CCB" w:rsidP="00EE323B">
                  <w:pPr>
                    <w:pStyle w:val="TableBodyText"/>
                    <w:jc w:val="left"/>
                  </w:pPr>
                  <w:r w:rsidRPr="009A4D0D">
                    <w:t>Unassisted value of materials</w:t>
                  </w:r>
                </w:p>
              </w:tc>
              <w:tc>
                <w:tcPr>
                  <w:tcW w:w="2817" w:type="pct"/>
                </w:tcPr>
                <w:p w14:paraId="70DDAB6B" w14:textId="77777777" w:rsidR="00756CCB" w:rsidRPr="009A4D0D" w:rsidRDefault="00756CCB" w:rsidP="00EE323B">
                  <w:pPr>
                    <w:pStyle w:val="TableBodyText"/>
                    <w:jc w:val="left"/>
                  </w:pPr>
                  <w:r w:rsidRPr="009A4D0D">
                    <w:t xml:space="preserve">Assisted value of material inputs </w:t>
                  </w:r>
                  <w:r>
                    <w:t>plus</w:t>
                  </w:r>
                  <w:r w:rsidRPr="009A4D0D">
                    <w:t xml:space="preserve"> </w:t>
                  </w:r>
                  <w:r>
                    <w:t>the total output assistance</w:t>
                  </w:r>
                  <w:r w:rsidRPr="009A4D0D">
                    <w:t>.</w:t>
                  </w:r>
                </w:p>
              </w:tc>
              <w:tc>
                <w:tcPr>
                  <w:tcW w:w="397" w:type="pct"/>
                </w:tcPr>
                <w:p w14:paraId="70DDAB6C" w14:textId="77777777" w:rsidR="00756CCB" w:rsidRPr="009A4D0D" w:rsidRDefault="00756CCB" w:rsidP="00EE323B">
                  <w:pPr>
                    <w:pStyle w:val="TableBodyText"/>
                    <w:jc w:val="left"/>
                  </w:pPr>
                  <w:r w:rsidRPr="009A4D0D">
                    <w:t>UVM</w:t>
                  </w:r>
                </w:p>
              </w:tc>
              <w:tc>
                <w:tcPr>
                  <w:tcW w:w="900" w:type="pct"/>
                </w:tcPr>
                <w:p w14:paraId="70DDAB6D" w14:textId="77777777" w:rsidR="00756CCB" w:rsidRPr="009A4D0D" w:rsidRDefault="00756CCB" w:rsidP="00EE323B">
                  <w:pPr>
                    <w:pStyle w:val="TableBodyText"/>
                    <w:jc w:val="left"/>
                  </w:pPr>
                  <w:r w:rsidRPr="009A4D0D">
                    <w:t>UVM = A</w:t>
                  </w:r>
                  <w:r>
                    <w:t>VM +</w:t>
                  </w:r>
                  <w:r w:rsidRPr="009A4D0D">
                    <w:t xml:space="preserve"> </w:t>
                  </w:r>
                  <w:r>
                    <w:t>IA</w:t>
                  </w:r>
                  <w:r w:rsidRPr="00681140">
                    <w:rPr>
                      <w:vertAlign w:val="subscript"/>
                    </w:rPr>
                    <w:t>total</w:t>
                  </w:r>
                </w:p>
              </w:tc>
            </w:tr>
            <w:tr w:rsidR="00756CCB" w14:paraId="70DDAB73" w14:textId="77777777" w:rsidTr="00EE323B">
              <w:tc>
                <w:tcPr>
                  <w:tcW w:w="887" w:type="pct"/>
                </w:tcPr>
                <w:p w14:paraId="70DDAB6F" w14:textId="77777777" w:rsidR="00756CCB" w:rsidRPr="009A4D0D" w:rsidRDefault="00756CCB" w:rsidP="00EE323B">
                  <w:pPr>
                    <w:pStyle w:val="TableBodyText"/>
                    <w:jc w:val="left"/>
                  </w:pPr>
                  <w:r w:rsidRPr="009A4D0D">
                    <w:t>Unassisted value added</w:t>
                  </w:r>
                </w:p>
              </w:tc>
              <w:tc>
                <w:tcPr>
                  <w:tcW w:w="2817" w:type="pct"/>
                </w:tcPr>
                <w:p w14:paraId="70DDAB70" w14:textId="77777777" w:rsidR="00756CCB" w:rsidRPr="009A4D0D" w:rsidRDefault="00756CCB" w:rsidP="00EE323B">
                  <w:pPr>
                    <w:pStyle w:val="TableBodyText"/>
                    <w:jc w:val="left"/>
                  </w:pPr>
                  <w:r w:rsidRPr="009A4D0D">
                    <w:t>Total value-added within an industry.</w:t>
                  </w:r>
                </w:p>
              </w:tc>
              <w:tc>
                <w:tcPr>
                  <w:tcW w:w="397" w:type="pct"/>
                </w:tcPr>
                <w:p w14:paraId="70DDAB71" w14:textId="77777777" w:rsidR="00756CCB" w:rsidRPr="009A4D0D" w:rsidRDefault="00756CCB" w:rsidP="00EE323B">
                  <w:pPr>
                    <w:pStyle w:val="TableBodyText"/>
                    <w:jc w:val="left"/>
                  </w:pPr>
                  <w:r w:rsidRPr="009A4D0D">
                    <w:t>UVA</w:t>
                  </w:r>
                </w:p>
              </w:tc>
              <w:tc>
                <w:tcPr>
                  <w:tcW w:w="900" w:type="pct"/>
                </w:tcPr>
                <w:p w14:paraId="70DDAB72" w14:textId="77777777" w:rsidR="00756CCB" w:rsidRPr="009A4D0D" w:rsidRDefault="00756CCB" w:rsidP="00EE323B">
                  <w:pPr>
                    <w:pStyle w:val="TableBodyText"/>
                    <w:jc w:val="left"/>
                  </w:pPr>
                  <w:r w:rsidRPr="009A4D0D">
                    <w:t>UVA = UVO - UVM</w:t>
                  </w:r>
                </w:p>
              </w:tc>
            </w:tr>
            <w:tr w:rsidR="00756CCB" w14:paraId="70DDAB77" w14:textId="77777777" w:rsidTr="00EE323B">
              <w:tc>
                <w:tcPr>
                  <w:tcW w:w="3703" w:type="pct"/>
                  <w:gridSpan w:val="2"/>
                </w:tcPr>
                <w:p w14:paraId="70DDAB74" w14:textId="77777777" w:rsidR="00756CCB" w:rsidRPr="009A4D0D" w:rsidRDefault="00756CCB" w:rsidP="00EE323B">
                  <w:pPr>
                    <w:pStyle w:val="TableColumnHeading"/>
                    <w:jc w:val="left"/>
                  </w:pPr>
                  <w:r>
                    <w:t>R</w:t>
                  </w:r>
                  <w:r w:rsidRPr="009A4D0D">
                    <w:t xml:space="preserve">ates of </w:t>
                  </w:r>
                  <w:r>
                    <w:t xml:space="preserve">combined </w:t>
                  </w:r>
                  <w:r w:rsidRPr="009A4D0D">
                    <w:t xml:space="preserve">assistance </w:t>
                  </w:r>
                </w:p>
              </w:tc>
              <w:tc>
                <w:tcPr>
                  <w:tcW w:w="397" w:type="pct"/>
                </w:tcPr>
                <w:p w14:paraId="70DDAB75" w14:textId="77777777" w:rsidR="00756CCB" w:rsidRPr="009A4D0D" w:rsidRDefault="00756CCB" w:rsidP="00EE323B">
                  <w:pPr>
                    <w:pStyle w:val="TableBodyText"/>
                    <w:jc w:val="left"/>
                  </w:pPr>
                </w:p>
              </w:tc>
              <w:tc>
                <w:tcPr>
                  <w:tcW w:w="900" w:type="pct"/>
                </w:tcPr>
                <w:p w14:paraId="70DDAB76" w14:textId="77777777" w:rsidR="00756CCB" w:rsidRPr="009A4D0D" w:rsidRDefault="00756CCB" w:rsidP="00EE323B">
                  <w:pPr>
                    <w:pStyle w:val="TableBodyText"/>
                    <w:jc w:val="left"/>
                  </w:pPr>
                </w:p>
              </w:tc>
            </w:tr>
            <w:tr w:rsidR="00756CCB" w14:paraId="70DDAB7C" w14:textId="77777777" w:rsidTr="00EE323B">
              <w:tc>
                <w:tcPr>
                  <w:tcW w:w="887" w:type="pct"/>
                </w:tcPr>
                <w:p w14:paraId="70DDAB78" w14:textId="77777777" w:rsidR="00756CCB" w:rsidRPr="009A4D0D" w:rsidRDefault="00756CCB" w:rsidP="00EE323B">
                  <w:pPr>
                    <w:pStyle w:val="TableBodyText"/>
                    <w:jc w:val="left"/>
                  </w:pPr>
                  <w:r w:rsidRPr="009A4D0D">
                    <w:t>Nominal rate of assistance on outputs</w:t>
                  </w:r>
                </w:p>
              </w:tc>
              <w:tc>
                <w:tcPr>
                  <w:tcW w:w="2817" w:type="pct"/>
                </w:tcPr>
                <w:p w14:paraId="70DDAB79" w14:textId="77777777" w:rsidR="00756CCB" w:rsidRPr="009A4D0D" w:rsidRDefault="00756CCB" w:rsidP="00EE323B">
                  <w:pPr>
                    <w:pStyle w:val="TableBodyText"/>
                    <w:jc w:val="left"/>
                  </w:pPr>
                  <w:r w:rsidRPr="009A4D0D">
                    <w:t>Output assistance as a proportion</w:t>
                  </w:r>
                  <w:r>
                    <w:t xml:space="preserve"> of unassisted value of output </w:t>
                  </w:r>
                  <w:r w:rsidRPr="009A4D0D">
                    <w:t>measures the extent to which consumers pay higher prices and taxpayers pay subsidies</w:t>
                  </w:r>
                  <w:r>
                    <w:t xml:space="preserve"> </w:t>
                  </w:r>
                  <w:r w:rsidRPr="009A4D0D">
                    <w:t>in support of local output.</w:t>
                  </w:r>
                </w:p>
              </w:tc>
              <w:tc>
                <w:tcPr>
                  <w:tcW w:w="397" w:type="pct"/>
                </w:tcPr>
                <w:p w14:paraId="70DDAB7A" w14:textId="77777777" w:rsidR="00756CCB" w:rsidRPr="009A4D0D" w:rsidRDefault="00756CCB" w:rsidP="00EE323B">
                  <w:pPr>
                    <w:pStyle w:val="TableBodyText"/>
                    <w:jc w:val="left"/>
                  </w:pPr>
                  <w:r w:rsidRPr="009A4D0D">
                    <w:t>NRO</w:t>
                  </w:r>
                </w:p>
              </w:tc>
              <w:tc>
                <w:tcPr>
                  <w:tcW w:w="900" w:type="pct"/>
                </w:tcPr>
                <w:p w14:paraId="70DDAB7B" w14:textId="77777777" w:rsidR="00756CCB" w:rsidRPr="009A4D0D" w:rsidRDefault="00756CCB" w:rsidP="00EE323B">
                  <w:pPr>
                    <w:pStyle w:val="TableBodyText"/>
                    <w:jc w:val="left"/>
                  </w:pPr>
                  <w:r w:rsidRPr="009A4D0D">
                    <w:t xml:space="preserve">NRO = </w:t>
                  </w:r>
                  <w:r>
                    <w:t>OA</w:t>
                  </w:r>
                  <w:r w:rsidRPr="00681140">
                    <w:rPr>
                      <w:vertAlign w:val="subscript"/>
                    </w:rPr>
                    <w:t>total</w:t>
                  </w:r>
                  <w:r w:rsidRPr="009A4D0D">
                    <w:t xml:space="preserve"> /UVO</w:t>
                  </w:r>
                </w:p>
              </w:tc>
            </w:tr>
            <w:tr w:rsidR="00756CCB" w14:paraId="70DDAB81" w14:textId="77777777" w:rsidTr="00EE323B">
              <w:tc>
                <w:tcPr>
                  <w:tcW w:w="887" w:type="pct"/>
                </w:tcPr>
                <w:p w14:paraId="70DDAB7D" w14:textId="77777777" w:rsidR="00756CCB" w:rsidRPr="009A4D0D" w:rsidRDefault="00756CCB" w:rsidP="00EE323B">
                  <w:pPr>
                    <w:pStyle w:val="TableBodyText"/>
                    <w:jc w:val="left"/>
                  </w:pPr>
                  <w:r w:rsidRPr="009A4D0D">
                    <w:t>Nominal rate of assistance on materials</w:t>
                  </w:r>
                </w:p>
              </w:tc>
              <w:tc>
                <w:tcPr>
                  <w:tcW w:w="2817" w:type="pct"/>
                </w:tcPr>
                <w:p w14:paraId="70DDAB7E" w14:textId="77777777" w:rsidR="00756CCB" w:rsidRPr="009A4D0D" w:rsidRDefault="00756CCB" w:rsidP="00EE323B">
                  <w:pPr>
                    <w:pStyle w:val="TableBodyText"/>
                    <w:jc w:val="left"/>
                  </w:pPr>
                  <w:r>
                    <w:t>I</w:t>
                  </w:r>
                  <w:r w:rsidRPr="009A4D0D">
                    <w:t xml:space="preserve">nput assistance </w:t>
                  </w:r>
                  <w:r>
                    <w:t xml:space="preserve">as a proportion of the </w:t>
                  </w:r>
                  <w:r w:rsidRPr="009A4D0D">
                    <w:t xml:space="preserve">unassisted value of materials is a measure of the extent to which prices paid for materials (intermediate inputs) used in the production process change due to government </w:t>
                  </w:r>
                  <w:r>
                    <w:t>assistance</w:t>
                  </w:r>
                  <w:r w:rsidRPr="009A4D0D">
                    <w:t>.</w:t>
                  </w:r>
                </w:p>
              </w:tc>
              <w:tc>
                <w:tcPr>
                  <w:tcW w:w="397" w:type="pct"/>
                </w:tcPr>
                <w:p w14:paraId="70DDAB7F" w14:textId="77777777" w:rsidR="00756CCB" w:rsidRPr="009A4D0D" w:rsidRDefault="00756CCB" w:rsidP="00EE323B">
                  <w:pPr>
                    <w:pStyle w:val="TableBodyText"/>
                    <w:jc w:val="left"/>
                  </w:pPr>
                  <w:r w:rsidRPr="009A4D0D">
                    <w:t>NRM</w:t>
                  </w:r>
                </w:p>
              </w:tc>
              <w:tc>
                <w:tcPr>
                  <w:tcW w:w="900" w:type="pct"/>
                </w:tcPr>
                <w:p w14:paraId="70DDAB80" w14:textId="77777777" w:rsidR="00756CCB" w:rsidRPr="009A4D0D" w:rsidRDefault="00756CCB" w:rsidP="00EE323B">
                  <w:pPr>
                    <w:pStyle w:val="TableBodyText"/>
                    <w:jc w:val="left"/>
                  </w:pPr>
                  <w:r w:rsidRPr="009A4D0D">
                    <w:t xml:space="preserve">NRM = </w:t>
                  </w:r>
                  <w:r>
                    <w:t>IA</w:t>
                  </w:r>
                  <w:r w:rsidRPr="00681140">
                    <w:rPr>
                      <w:vertAlign w:val="subscript"/>
                    </w:rPr>
                    <w:t>total</w:t>
                  </w:r>
                  <w:r w:rsidRPr="009A4D0D">
                    <w:t xml:space="preserve"> /UVM</w:t>
                  </w:r>
                </w:p>
              </w:tc>
            </w:tr>
            <w:tr w:rsidR="00756CCB" w14:paraId="70DDAB86" w14:textId="77777777" w:rsidTr="00EE323B">
              <w:tc>
                <w:tcPr>
                  <w:tcW w:w="887" w:type="pct"/>
                </w:tcPr>
                <w:p w14:paraId="70DDAB82" w14:textId="77777777" w:rsidR="00756CCB" w:rsidRPr="009A4D0D" w:rsidRDefault="00756CCB" w:rsidP="00EE323B">
                  <w:pPr>
                    <w:pStyle w:val="TableBodyText"/>
                    <w:jc w:val="left"/>
                  </w:pPr>
                  <w:r w:rsidRPr="009A4D0D">
                    <w:t>Effective rate of assistance</w:t>
                  </w:r>
                </w:p>
              </w:tc>
              <w:tc>
                <w:tcPr>
                  <w:tcW w:w="2817" w:type="pct"/>
                </w:tcPr>
                <w:p w14:paraId="70DDAB83" w14:textId="77777777" w:rsidR="00756CCB" w:rsidRPr="009A4D0D" w:rsidRDefault="00756CCB" w:rsidP="00EE323B">
                  <w:pPr>
                    <w:pStyle w:val="TableBodyText"/>
                    <w:jc w:val="left"/>
                  </w:pPr>
                  <w:r w:rsidRPr="009A4D0D">
                    <w:t>Measures net assistance to an industry's value-adding activities, taking into account not only output assistance and direct assistance to value-adding factors, but also the penalties (from tariffs on inputs) and benefits (from budgetary input subsidies) of government intervention on inputs.</w:t>
                  </w:r>
                </w:p>
              </w:tc>
              <w:tc>
                <w:tcPr>
                  <w:tcW w:w="397" w:type="pct"/>
                </w:tcPr>
                <w:p w14:paraId="70DDAB84" w14:textId="77777777" w:rsidR="00756CCB" w:rsidRPr="009A4D0D" w:rsidRDefault="00756CCB" w:rsidP="00EE323B">
                  <w:pPr>
                    <w:pStyle w:val="TableBodyText"/>
                    <w:jc w:val="left"/>
                  </w:pPr>
                  <w:r w:rsidRPr="009A4D0D">
                    <w:t>ERA</w:t>
                  </w:r>
                </w:p>
              </w:tc>
              <w:tc>
                <w:tcPr>
                  <w:tcW w:w="900" w:type="pct"/>
                </w:tcPr>
                <w:p w14:paraId="70DDAB85" w14:textId="77777777" w:rsidR="00756CCB" w:rsidRPr="009A4D0D" w:rsidRDefault="00756CCB" w:rsidP="00EE323B">
                  <w:pPr>
                    <w:pStyle w:val="TableBodyText"/>
                    <w:jc w:val="left"/>
                  </w:pPr>
                  <w:r w:rsidRPr="009A4D0D">
                    <w:t>ERA = NSE/UVA</w:t>
                  </w:r>
                </w:p>
              </w:tc>
            </w:tr>
          </w:tbl>
          <w:p w14:paraId="70DDAB87" w14:textId="77777777" w:rsidR="00756CCB" w:rsidRDefault="00756CCB" w:rsidP="007A42FB">
            <w:pPr>
              <w:pStyle w:val="Box"/>
            </w:pPr>
          </w:p>
        </w:tc>
      </w:tr>
      <w:tr w:rsidR="00756CCB" w14:paraId="70DDAB8A" w14:textId="77777777" w:rsidTr="00EE323B">
        <w:trPr>
          <w:cantSplit/>
        </w:trPr>
        <w:tc>
          <w:tcPr>
            <w:tcW w:w="5000" w:type="pct"/>
            <w:tcBorders>
              <w:top w:val="nil"/>
              <w:left w:val="nil"/>
              <w:bottom w:val="nil"/>
              <w:right w:val="nil"/>
            </w:tcBorders>
            <w:shd w:val="clear" w:color="auto" w:fill="auto"/>
          </w:tcPr>
          <w:p w14:paraId="70DDAB89" w14:textId="77777777" w:rsidR="00756CCB" w:rsidRDefault="00756CCB" w:rsidP="007A42FB">
            <w:pPr>
              <w:pStyle w:val="Source"/>
            </w:pPr>
            <w:r w:rsidRPr="008E77FE">
              <w:rPr>
                <w:rStyle w:val="NoteLabel"/>
              </w:rPr>
              <w:t>a</w:t>
            </w:r>
            <w:r>
              <w:t xml:space="preserve"> Concepts are applicable at the industry level. </w:t>
            </w:r>
            <w:r>
              <w:rPr>
                <w:rStyle w:val="NoteLabel"/>
              </w:rPr>
              <w:t>b</w:t>
            </w:r>
            <w:r>
              <w:t xml:space="preserve"> The Tax Equivalent on Materials (TEM) is a cost penalty resulting from assistance, and so is typically a negative value.</w:t>
            </w:r>
          </w:p>
        </w:tc>
      </w:tr>
      <w:tr w:rsidR="00756CCB" w14:paraId="70DDAB8C" w14:textId="77777777" w:rsidTr="00EE323B">
        <w:trPr>
          <w:cantSplit/>
        </w:trPr>
        <w:tc>
          <w:tcPr>
            <w:tcW w:w="5000" w:type="pct"/>
            <w:tcBorders>
              <w:top w:val="nil"/>
              <w:left w:val="nil"/>
              <w:bottom w:val="nil"/>
              <w:right w:val="nil"/>
            </w:tcBorders>
            <w:shd w:val="clear" w:color="auto" w:fill="auto"/>
          </w:tcPr>
          <w:p w14:paraId="70DDAB8B" w14:textId="77777777" w:rsidR="00756CCB" w:rsidRDefault="00756CCB" w:rsidP="007A42FB">
            <w:pPr>
              <w:pStyle w:val="Source"/>
              <w:rPr>
                <w:i/>
              </w:rPr>
            </w:pPr>
            <w:r>
              <w:rPr>
                <w:i/>
              </w:rPr>
              <w:t xml:space="preserve">Source: </w:t>
            </w:r>
            <w:r w:rsidRPr="00681140">
              <w:t>Adapted from Methodological</w:t>
            </w:r>
            <w:r w:rsidRPr="003B6066">
              <w:t xml:space="preserve"> Annex TAR 2010-11.</w:t>
            </w:r>
          </w:p>
        </w:tc>
      </w:tr>
      <w:tr w:rsidR="00756CCB" w14:paraId="70DDAB8E" w14:textId="77777777" w:rsidTr="00EE323B">
        <w:trPr>
          <w:cantSplit/>
        </w:trPr>
        <w:tc>
          <w:tcPr>
            <w:tcW w:w="5000" w:type="pct"/>
            <w:tcBorders>
              <w:top w:val="nil"/>
              <w:left w:val="nil"/>
              <w:bottom w:val="single" w:sz="6" w:space="0" w:color="78A22F"/>
              <w:right w:val="nil"/>
            </w:tcBorders>
            <w:shd w:val="clear" w:color="auto" w:fill="auto"/>
          </w:tcPr>
          <w:p w14:paraId="70DDAB8D" w14:textId="77777777" w:rsidR="00756CCB" w:rsidRDefault="00756CCB" w:rsidP="007A42FB">
            <w:pPr>
              <w:pStyle w:val="Box"/>
              <w:spacing w:before="0" w:line="120" w:lineRule="exact"/>
            </w:pPr>
          </w:p>
        </w:tc>
      </w:tr>
      <w:tr w:rsidR="00756CCB" w:rsidRPr="000863A5" w14:paraId="70DDAB90" w14:textId="77777777" w:rsidTr="00EE323B">
        <w:tc>
          <w:tcPr>
            <w:tcW w:w="5000" w:type="pct"/>
            <w:tcBorders>
              <w:top w:val="single" w:sz="6" w:space="0" w:color="78A22F"/>
              <w:left w:val="nil"/>
              <w:bottom w:val="nil"/>
              <w:right w:val="nil"/>
            </w:tcBorders>
          </w:tcPr>
          <w:p w14:paraId="70DDAB8F" w14:textId="78DB0E98" w:rsidR="00756CCB" w:rsidRPr="00626D32" w:rsidRDefault="00756CCB" w:rsidP="007A42FB">
            <w:pPr>
              <w:pStyle w:val="BoxSpaceBelow"/>
            </w:pPr>
          </w:p>
        </w:tc>
      </w:tr>
    </w:tbl>
    <w:p w14:paraId="70DDAB91" w14:textId="06CBC36D" w:rsidR="00C4597D" w:rsidRDefault="00C459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4597D" w14:paraId="70DDAB93" w14:textId="77777777" w:rsidTr="00EE323B">
        <w:tc>
          <w:tcPr>
            <w:tcW w:w="5000" w:type="pct"/>
            <w:tcBorders>
              <w:top w:val="single" w:sz="6" w:space="0" w:color="78A22F"/>
              <w:left w:val="nil"/>
              <w:bottom w:val="nil"/>
              <w:right w:val="nil"/>
            </w:tcBorders>
            <w:shd w:val="clear" w:color="auto" w:fill="F2F2F2"/>
          </w:tcPr>
          <w:p w14:paraId="70DDAB92" w14:textId="4C4892B1" w:rsidR="00C4597D" w:rsidRDefault="00C4597D" w:rsidP="00496DB6">
            <w:pPr>
              <w:pStyle w:val="BoxTitle"/>
            </w:pPr>
            <w:r>
              <w:rPr>
                <w:b w:val="0"/>
              </w:rPr>
              <w:t xml:space="preserve">Box </w:t>
            </w:r>
            <w:bookmarkStart w:id="8" w:name="OLE_LINK5"/>
            <w:r w:rsidR="008C264E">
              <w:rPr>
                <w:b w:val="0"/>
                <w:noProof/>
              </w:rPr>
              <w:t>3</w:t>
            </w:r>
            <w:bookmarkEnd w:id="8"/>
            <w:r>
              <w:tab/>
            </w:r>
            <w:r w:rsidR="00496DB6">
              <w:t xml:space="preserve">Illustrating the </w:t>
            </w:r>
            <w:r w:rsidRPr="00C4597D">
              <w:t>effective rate of assistance for locally built submarines and local steel supply</w:t>
            </w:r>
          </w:p>
        </w:tc>
      </w:tr>
      <w:tr w:rsidR="00C4597D" w14:paraId="70DDABA1" w14:textId="77777777" w:rsidTr="00EE323B">
        <w:tc>
          <w:tcPr>
            <w:tcW w:w="5000" w:type="pct"/>
            <w:tcBorders>
              <w:top w:val="nil"/>
              <w:left w:val="nil"/>
              <w:bottom w:val="nil"/>
              <w:right w:val="nil"/>
            </w:tcBorders>
            <w:shd w:val="clear" w:color="auto" w:fill="F2F2F2"/>
          </w:tcPr>
          <w:p w14:paraId="70DDAB94" w14:textId="77777777" w:rsidR="00C4597D" w:rsidRDefault="00C4597D" w:rsidP="007A42FB">
            <w:pPr>
              <w:pStyle w:val="Box"/>
            </w:pPr>
            <w:r w:rsidRPr="00C4597D">
              <w:t xml:space="preserve">A useful indicator of the </w:t>
            </w:r>
            <w:r w:rsidR="00496DB6">
              <w:t xml:space="preserve">distorted </w:t>
            </w:r>
            <w:r w:rsidRPr="00C4597D">
              <w:t xml:space="preserve">resource allocation </w:t>
            </w:r>
            <w:r w:rsidR="00496DB6">
              <w:t xml:space="preserve">that can result from </w:t>
            </w:r>
            <w:r w:rsidRPr="00C4597D">
              <w:t>the provision of industry assistance is the ‘effective rate of assistance’ (ERA). This is a measure of the incentive to at</w:t>
            </w:r>
            <w:r w:rsidR="00496DB6">
              <w:t xml:space="preserve">tract labour, capital and land — </w:t>
            </w:r>
            <w:r w:rsidRPr="00C4597D">
              <w:t>the so-called ‘value added’</w:t>
            </w:r>
            <w:r w:rsidR="00496DB6">
              <w:t xml:space="preserve"> —</w:t>
            </w:r>
            <w:r w:rsidRPr="00C4597D">
              <w:t xml:space="preserve"> into an activity. The ERA is calculated as the amount of assistance (net subsidy equivalent) per unit of ‘unassisted net output’ (also termed ‘unassisted value added’). The higher the ERA the greater is the potential incentive to draw productive resources into an activity and hence distort economic activity.</w:t>
            </w:r>
          </w:p>
          <w:p w14:paraId="70DDAB95" w14:textId="77777777" w:rsidR="00503959" w:rsidRDefault="00503959" w:rsidP="007456B9">
            <w:pPr>
              <w:pStyle w:val="BoxHeading2"/>
            </w:pPr>
            <w:r>
              <w:t>Assistance to the Australian submarine assembly industry</w:t>
            </w:r>
          </w:p>
          <w:p w14:paraId="70DDAB96" w14:textId="77777777" w:rsidR="00503959" w:rsidRDefault="00503959" w:rsidP="00503959">
            <w:pPr>
              <w:pStyle w:val="Box"/>
            </w:pPr>
            <w:r>
              <w:t>Consider a local submarine build at a 30 per cent premium and 50 per cent of the project spent in Australia (covering wages and local materials).</w:t>
            </w:r>
          </w:p>
          <w:p w14:paraId="70DDAB97" w14:textId="77777777" w:rsidR="00503959" w:rsidRDefault="00503959" w:rsidP="007456B9">
            <w:pPr>
              <w:pStyle w:val="BoxListBullet"/>
            </w:pPr>
            <w:r>
              <w:t>Assume the submarine that costs $130 to build in Australia, and involves local expenditure of 50 per cent comprising $30 local steel, and $35 local labour and capital (known as value added). It also requires $65 imported materials (including complex systems costs and installation wages of foreign contractors).</w:t>
            </w:r>
          </w:p>
          <w:p w14:paraId="70DDAB98" w14:textId="77777777" w:rsidR="00503959" w:rsidRDefault="00503959" w:rsidP="007456B9">
            <w:pPr>
              <w:pStyle w:val="BoxListBullet"/>
            </w:pPr>
            <w:r>
              <w:t>This is 30 per cent higher than the cost to build the same submarine overseas of $130/1.3 = $100.</w:t>
            </w:r>
          </w:p>
          <w:p w14:paraId="70DDAB99" w14:textId="77777777" w:rsidR="00503959" w:rsidRDefault="00503959" w:rsidP="007456B9">
            <w:pPr>
              <w:pStyle w:val="BoxListBullet"/>
            </w:pPr>
            <w:r>
              <w:t>Part of this higher cost is due to a requirement to purchase local steel. The illustrative calculations assume that foreign steel would have been available for a cost of $25.</w:t>
            </w:r>
          </w:p>
          <w:p w14:paraId="70DDAB9A" w14:textId="77777777" w:rsidR="00503959" w:rsidRDefault="00503959" w:rsidP="00503959">
            <w:pPr>
              <w:pStyle w:val="Box"/>
            </w:pPr>
            <w:r>
              <w:t>The ERA is calculated as the net subsidy equivalent (NSE) divided by the unassisted value added (UVA).</w:t>
            </w:r>
          </w:p>
          <w:p w14:paraId="70DDAB9B" w14:textId="77777777" w:rsidR="00503959" w:rsidRDefault="00503959" w:rsidP="007456B9">
            <w:pPr>
              <w:pStyle w:val="BoxListBullet"/>
            </w:pPr>
            <w:r>
              <w:t>The dollar amount of assistance provided by the cost premium (the gross subsidy equivalent) is $130 less $100 (the efficient benchmark price) = $30. However, the net subsidy equivalent (NSE) must take account of the cost penalty ($5) imposed on submarine assembly by mandating the use of higher cost local steel. So the NSE =$25.</w:t>
            </w:r>
          </w:p>
          <w:p w14:paraId="70DDAB9C" w14:textId="77777777" w:rsidR="00503959" w:rsidRDefault="00503959" w:rsidP="007456B9">
            <w:pPr>
              <w:pStyle w:val="BoxListBullet"/>
            </w:pPr>
            <w:r>
              <w:t>The unassisted value added is calculated as the assisted value added of $35 less the net assistance of $25 = $10.</w:t>
            </w:r>
          </w:p>
          <w:p w14:paraId="70DDAB9D" w14:textId="77777777" w:rsidR="00503959" w:rsidRDefault="00503959" w:rsidP="007456B9">
            <w:pPr>
              <w:pStyle w:val="BoxListBullet"/>
            </w:pPr>
            <w:r>
              <w:t>The ERA = $25 divided by $10 = 2.5, or 250 per cent.</w:t>
            </w:r>
          </w:p>
          <w:p w14:paraId="70DDAB9E" w14:textId="77777777" w:rsidR="00503959" w:rsidRDefault="00503959" w:rsidP="00503959">
            <w:pPr>
              <w:pStyle w:val="Box"/>
            </w:pPr>
            <w:r>
              <w:t>These costs structures are hypothetical, but reflect the scant public information on the likely premium (30 per cent) and claims that 50 per cent of costs will be the spent in Australia. The example is intended to illustrate the methodology. It should be noted that the requirement to purchase more expensive steel reduces the ERA for the submarine industry. If they could instead purchase foreign steel at $25, the assisted value would be $40, their NSE $30, the unassisted value added would still be $10, and the ERA 300 per cent.</w:t>
            </w:r>
          </w:p>
          <w:p w14:paraId="70DDAB9F" w14:textId="77777777" w:rsidR="00503959" w:rsidRDefault="00503959" w:rsidP="007456B9">
            <w:pPr>
              <w:pStyle w:val="BoxHeading2"/>
            </w:pPr>
            <w:r>
              <w:t>Assistance to the steel industry from mandated supply by higher cost local steel supply</w:t>
            </w:r>
          </w:p>
          <w:p w14:paraId="70DDABA0" w14:textId="77777777" w:rsidR="00C4597D" w:rsidRPr="000A6361" w:rsidRDefault="00503959" w:rsidP="000A6361">
            <w:pPr>
              <w:pStyle w:val="Box"/>
            </w:pPr>
            <w:r w:rsidRPr="000A6361">
              <w:t>Assume the $30 local steel input to the submarine comprise $20 local materials and $10 local value add. If the government mandates use of Australia steel in the local submarine build then assistance is conferred to the domestic steel industry (while penalising the assembly industry, as above). The ERA to the Australian steel company in this hypothetical example is the net subsidy equivalent of $5 ($30-$25) divided by unassisted value added ($5) = 1.0 or 100 per cent.</w:t>
            </w:r>
          </w:p>
        </w:tc>
      </w:tr>
      <w:tr w:rsidR="00C4597D" w14:paraId="70DDABA3" w14:textId="77777777" w:rsidTr="00EE323B">
        <w:tc>
          <w:tcPr>
            <w:tcW w:w="5000" w:type="pct"/>
            <w:tcBorders>
              <w:top w:val="nil"/>
              <w:left w:val="nil"/>
              <w:bottom w:val="nil"/>
              <w:right w:val="nil"/>
            </w:tcBorders>
            <w:shd w:val="clear" w:color="auto" w:fill="F2F2F2"/>
          </w:tcPr>
          <w:p w14:paraId="70DDABA2" w14:textId="35A5CBCF" w:rsidR="00C4597D" w:rsidRDefault="00C4597D" w:rsidP="000A6361">
            <w:pPr>
              <w:pStyle w:val="BoxSource"/>
            </w:pPr>
            <w:r>
              <w:rPr>
                <w:i/>
              </w:rPr>
              <w:t>Source</w:t>
            </w:r>
            <w:r w:rsidRPr="00167F06">
              <w:t xml:space="preserve">: </w:t>
            </w:r>
            <w:r w:rsidR="00496DB6">
              <w:t xml:space="preserve">PC </w:t>
            </w:r>
            <w:r w:rsidR="00496DB6" w:rsidRPr="00496DB6">
              <w:rPr>
                <w:rFonts w:cs="Arial"/>
              </w:rPr>
              <w:t>(2016)</w:t>
            </w:r>
            <w:r w:rsidR="000A6361">
              <w:t>.</w:t>
            </w:r>
          </w:p>
        </w:tc>
      </w:tr>
      <w:tr w:rsidR="00C4597D" w14:paraId="70DDABA5" w14:textId="77777777" w:rsidTr="00EE323B">
        <w:tc>
          <w:tcPr>
            <w:tcW w:w="5000" w:type="pct"/>
            <w:tcBorders>
              <w:top w:val="nil"/>
              <w:left w:val="nil"/>
              <w:bottom w:val="single" w:sz="6" w:space="0" w:color="78A22F"/>
              <w:right w:val="nil"/>
            </w:tcBorders>
            <w:shd w:val="clear" w:color="auto" w:fill="F2F2F2"/>
          </w:tcPr>
          <w:p w14:paraId="70DDABA4" w14:textId="77777777" w:rsidR="00C4597D" w:rsidRDefault="00C4597D">
            <w:pPr>
              <w:pStyle w:val="Box"/>
              <w:spacing w:before="0" w:line="120" w:lineRule="exact"/>
            </w:pPr>
          </w:p>
        </w:tc>
      </w:tr>
      <w:tr w:rsidR="00C4597D" w:rsidRPr="000863A5" w14:paraId="70DDABA7" w14:textId="77777777" w:rsidTr="00EE323B">
        <w:tc>
          <w:tcPr>
            <w:tcW w:w="5000" w:type="pct"/>
            <w:tcBorders>
              <w:top w:val="single" w:sz="6" w:space="0" w:color="78A22F"/>
              <w:left w:val="nil"/>
              <w:bottom w:val="nil"/>
              <w:right w:val="nil"/>
            </w:tcBorders>
          </w:tcPr>
          <w:p w14:paraId="70DDABA6" w14:textId="5214D6C8" w:rsidR="00C4597D" w:rsidRPr="00626D32" w:rsidRDefault="00C4597D" w:rsidP="007A42FB">
            <w:pPr>
              <w:pStyle w:val="BoxSpaceBelow"/>
            </w:pPr>
          </w:p>
        </w:tc>
      </w:tr>
    </w:tbl>
    <w:p w14:paraId="70DDABA8" w14:textId="77777777" w:rsidR="00B03505" w:rsidRDefault="00B03505" w:rsidP="00B03505">
      <w:pPr>
        <w:pStyle w:val="BodyText"/>
      </w:pPr>
      <w:r w:rsidRPr="00373FED">
        <w:lastRenderedPageBreak/>
        <w:t>In practice, UVO, UVM and UVA are taken from the base year (</w:t>
      </w:r>
      <w:r w:rsidR="00C938BA">
        <w:t>for 2013-14</w:t>
      </w:r>
      <w:r w:rsidRPr="00373FED">
        <w:t>, 2008</w:t>
      </w:r>
      <w:r w:rsidRPr="00373FED">
        <w:noBreakHyphen/>
        <w:t xml:space="preserve">09), and inflated to current year level multiplying by the </w:t>
      </w:r>
      <w:r>
        <w:t>adjustment</w:t>
      </w:r>
      <w:r w:rsidRPr="00373FED">
        <w:t xml:space="preserve"> factor (described in section 2</w:t>
      </w:r>
      <w:r>
        <w:t>):</w:t>
      </w:r>
      <w:r w:rsidRPr="00373FED">
        <w:t xml:space="preserve"> </w:t>
      </w:r>
    </w:p>
    <w:p w14:paraId="70DDABA9" w14:textId="77777777" w:rsidR="00B03505" w:rsidRDefault="00B03505" w:rsidP="00B03505">
      <w:pPr>
        <w:pStyle w:val="BodyText"/>
      </w:pPr>
      <w:r>
        <w:tab/>
      </w:r>
      <m:oMath>
        <m:sSubSup>
          <m:sSubSupPr>
            <m:ctrlPr>
              <w:rPr>
                <w:rFonts w:ascii="Cambria Math" w:hAnsi="Cambria Math"/>
              </w:rPr>
            </m:ctrlPr>
          </m:sSubSupPr>
          <m:e>
            <m:r>
              <m:rPr>
                <m:sty m:val="p"/>
              </m:rPr>
              <w:rPr>
                <w:rFonts w:ascii="Cambria Math" w:hAnsi="Cambria Math"/>
              </w:rPr>
              <m:t>UVO</m:t>
            </m:r>
          </m:e>
          <m:sub>
            <m:r>
              <w:rPr>
                <w:rFonts w:ascii="Cambria Math" w:hAnsi="Cambria Math"/>
              </w:rPr>
              <m:t>industry i</m:t>
            </m:r>
          </m:sub>
          <m:sup>
            <m:r>
              <m:rPr>
                <m:sty m:val="p"/>
              </m:rPr>
              <w:rPr>
                <w:rFonts w:ascii="Cambria Math" w:hAnsi="Cambria Math"/>
              </w:rPr>
              <m:t>2013-14</m:t>
            </m:r>
          </m:sup>
        </m:sSubSup>
      </m:oMath>
      <w:r>
        <w:t xml:space="preserve"> = </w:t>
      </w:r>
      <m:oMath>
        <m:sSubSup>
          <m:sSubSupPr>
            <m:ctrlPr>
              <w:rPr>
                <w:rFonts w:ascii="Cambria Math" w:hAnsi="Cambria Math"/>
              </w:rPr>
            </m:ctrlPr>
          </m:sSubSupPr>
          <m:e>
            <m:r>
              <m:rPr>
                <m:sty m:val="p"/>
              </m:rPr>
              <w:rPr>
                <w:rFonts w:ascii="Cambria Math" w:hAnsi="Cambria Math"/>
                <w:szCs w:val="24"/>
              </w:rPr>
              <m:t>Index</m:t>
            </m:r>
          </m:e>
          <m:sub>
            <m:r>
              <m:rPr>
                <m:sty m:val="p"/>
              </m:rPr>
              <w:rPr>
                <w:rFonts w:ascii="Cambria Math" w:hAnsi="Cambria Math"/>
              </w:rPr>
              <m:t>industry i</m:t>
            </m:r>
          </m:sub>
          <m:sup/>
        </m:sSubSup>
        <m:r>
          <w:rPr>
            <w:rFonts w:ascii="Cambria Math" w:hAnsi="Cambria Math"/>
          </w:rPr>
          <m:t xml:space="preserve">* </m:t>
        </m:r>
      </m:oMath>
      <w:r>
        <w:t xml:space="preserve"> </w:t>
      </w:r>
      <m:oMath>
        <m:sSubSup>
          <m:sSubSupPr>
            <m:ctrlPr>
              <w:rPr>
                <w:rFonts w:ascii="Cambria Math" w:hAnsi="Cambria Math"/>
              </w:rPr>
            </m:ctrlPr>
          </m:sSubSupPr>
          <m:e>
            <m:r>
              <m:rPr>
                <m:sty m:val="p"/>
              </m:rPr>
              <w:rPr>
                <w:rFonts w:ascii="Cambria Math" w:hAnsi="Cambria Math"/>
              </w:rPr>
              <m:t>UVO</m:t>
            </m:r>
          </m:e>
          <m:sub>
            <m:r>
              <m:rPr>
                <m:sty m:val="p"/>
              </m:rPr>
              <w:rPr>
                <w:rFonts w:ascii="Cambria Math" w:hAnsi="Cambria Math"/>
              </w:rPr>
              <m:t>industry i</m:t>
            </m:r>
          </m:sub>
          <m:sup>
            <m:r>
              <m:rPr>
                <m:sty m:val="p"/>
              </m:rPr>
              <w:rPr>
                <w:rFonts w:ascii="Cambria Math" w:hAnsi="Cambria Math"/>
              </w:rPr>
              <m:t>2008-09</m:t>
            </m:r>
          </m:sup>
        </m:sSubSup>
      </m:oMath>
    </w:p>
    <w:p w14:paraId="70DDABAA" w14:textId="77777777" w:rsidR="00B03505" w:rsidRDefault="00B03505" w:rsidP="00B03505">
      <w:pPr>
        <w:pStyle w:val="BodyText"/>
      </w:pPr>
      <w:r>
        <w:tab/>
      </w:r>
      <m:oMath>
        <m:sSubSup>
          <m:sSubSupPr>
            <m:ctrlPr>
              <w:rPr>
                <w:rFonts w:ascii="Cambria Math" w:hAnsi="Cambria Math"/>
              </w:rPr>
            </m:ctrlPr>
          </m:sSubSupPr>
          <m:e>
            <m:r>
              <m:rPr>
                <m:sty m:val="p"/>
              </m:rPr>
              <w:rPr>
                <w:rFonts w:ascii="Cambria Math" w:hAnsi="Cambria Math"/>
              </w:rPr>
              <m:t>UVM</m:t>
            </m:r>
          </m:e>
          <m:sub>
            <m:r>
              <w:rPr>
                <w:rFonts w:ascii="Cambria Math" w:hAnsi="Cambria Math"/>
              </w:rPr>
              <m:t>industry i</m:t>
            </m:r>
          </m:sub>
          <m:sup>
            <m:r>
              <m:rPr>
                <m:sty m:val="p"/>
              </m:rPr>
              <w:rPr>
                <w:rFonts w:ascii="Cambria Math" w:hAnsi="Cambria Math"/>
              </w:rPr>
              <m:t>2013-14</m:t>
            </m:r>
          </m:sup>
        </m:sSubSup>
      </m:oMath>
      <w:r>
        <w:t xml:space="preserve"> = </w:t>
      </w:r>
      <m:oMath>
        <m:sSubSup>
          <m:sSubSupPr>
            <m:ctrlPr>
              <w:rPr>
                <w:rFonts w:ascii="Cambria Math" w:hAnsi="Cambria Math"/>
              </w:rPr>
            </m:ctrlPr>
          </m:sSubSupPr>
          <m:e>
            <m:r>
              <m:rPr>
                <m:sty m:val="p"/>
              </m:rPr>
              <w:rPr>
                <w:rFonts w:ascii="Cambria Math" w:hAnsi="Cambria Math"/>
                <w:szCs w:val="24"/>
              </w:rPr>
              <m:t>Index</m:t>
            </m:r>
          </m:e>
          <m:sub>
            <m:r>
              <m:rPr>
                <m:sty m:val="p"/>
              </m:rPr>
              <w:rPr>
                <w:rFonts w:ascii="Cambria Math" w:hAnsi="Cambria Math"/>
              </w:rPr>
              <m:t>industry i</m:t>
            </m:r>
          </m:sub>
          <m:sup/>
        </m:sSubSup>
        <m:r>
          <w:rPr>
            <w:rFonts w:ascii="Cambria Math" w:hAnsi="Cambria Math"/>
          </w:rPr>
          <m:t xml:space="preserve">* </m:t>
        </m:r>
      </m:oMath>
      <w:r>
        <w:t xml:space="preserve"> </w:t>
      </w:r>
      <m:oMath>
        <m:sSubSup>
          <m:sSubSupPr>
            <m:ctrlPr>
              <w:rPr>
                <w:rFonts w:ascii="Cambria Math" w:hAnsi="Cambria Math"/>
              </w:rPr>
            </m:ctrlPr>
          </m:sSubSupPr>
          <m:e>
            <m:r>
              <m:rPr>
                <m:sty m:val="p"/>
              </m:rPr>
              <w:rPr>
                <w:rFonts w:ascii="Cambria Math" w:hAnsi="Cambria Math"/>
              </w:rPr>
              <m:t>UVM</m:t>
            </m:r>
          </m:e>
          <m:sub>
            <m:r>
              <m:rPr>
                <m:sty m:val="p"/>
              </m:rPr>
              <w:rPr>
                <w:rFonts w:ascii="Cambria Math" w:hAnsi="Cambria Math"/>
              </w:rPr>
              <m:t>industry i</m:t>
            </m:r>
          </m:sub>
          <m:sup>
            <m:r>
              <m:rPr>
                <m:sty m:val="p"/>
              </m:rPr>
              <w:rPr>
                <w:rFonts w:ascii="Cambria Math" w:hAnsi="Cambria Math"/>
              </w:rPr>
              <m:t>2008-09</m:t>
            </m:r>
          </m:sup>
        </m:sSubSup>
      </m:oMath>
    </w:p>
    <w:p w14:paraId="70DDABAB" w14:textId="77777777" w:rsidR="00B03505" w:rsidRDefault="00B03505" w:rsidP="00B03505">
      <w:pPr>
        <w:pStyle w:val="BodyText"/>
      </w:pPr>
      <w:r>
        <w:t>This approach maintains a constant technology (ratio of inputs to outputs) across the estimated series</w:t>
      </w:r>
      <w:r w:rsidR="000B778B">
        <w:t>. It ensures</w:t>
      </w:r>
      <w:r>
        <w:t xml:space="preserve"> that changes in the assistance rates reflect ‘pure’ changes in assistance, and not </w:t>
      </w:r>
      <w:r w:rsidR="000B778B">
        <w:t xml:space="preserve">changes in the input mix due to changes in technology </w:t>
      </w:r>
      <w:r w:rsidR="00C938BA">
        <w:t>or the relative prices of inputs</w:t>
      </w:r>
      <w:r>
        <w:t>.</w:t>
      </w:r>
    </w:p>
    <w:p w14:paraId="70DDABAC" w14:textId="77777777" w:rsidR="00B03505" w:rsidRDefault="00B03505" w:rsidP="000B778B">
      <w:pPr>
        <w:pStyle w:val="Heading4"/>
      </w:pPr>
      <w:r>
        <w:t>Treatment of service inputs in calculating value added</w:t>
      </w:r>
    </w:p>
    <w:p w14:paraId="70DDABAD" w14:textId="77777777" w:rsidR="00B03505" w:rsidRDefault="00B03505" w:rsidP="000B778B">
      <w:pPr>
        <w:pStyle w:val="BodyText"/>
        <w:jc w:val="left"/>
      </w:pPr>
      <w:r w:rsidRPr="005A0ED4">
        <w:t xml:space="preserve">One issue that arises in calculating </w:t>
      </w:r>
      <w:r>
        <w:t xml:space="preserve">UVA </w:t>
      </w:r>
      <w:r w:rsidRPr="005A0ED4">
        <w:t xml:space="preserve">is the treatment of ‘service’ inputs. </w:t>
      </w:r>
      <w:r>
        <w:t>S</w:t>
      </w:r>
      <w:r w:rsidRPr="005A0ED4">
        <w:t xml:space="preserve">ervice inputs </w:t>
      </w:r>
      <w:r>
        <w:t xml:space="preserve">are considered </w:t>
      </w:r>
      <w:r w:rsidRPr="005A0ED4">
        <w:t>non-traded non-material (NTNM)</w:t>
      </w:r>
      <w:r>
        <w:t xml:space="preserve"> in the TAR. Following ‘the Corden method’ (see chapter 3, 2011-12 Methodological Annex), value added is treated as:</w:t>
      </w:r>
    </w:p>
    <w:p w14:paraId="70DDABAE" w14:textId="6A77C73D" w:rsidR="000B778B" w:rsidRPr="000B778B" w:rsidRDefault="000B778B" w:rsidP="000B778B">
      <w:pPr>
        <w:pStyle w:val="Quote"/>
      </w:pPr>
      <w:r>
        <w:t xml:space="preserve">the sum of the returns to land, labor, and invested capital </w:t>
      </w:r>
      <w:r>
        <w:rPr>
          <w:i/>
        </w:rPr>
        <w:t xml:space="preserve">directly </w:t>
      </w:r>
      <w:r>
        <w:t xml:space="preserve">involved in the productive activity </w:t>
      </w:r>
      <w:r>
        <w:rPr>
          <w:i/>
        </w:rPr>
        <w:t>and</w:t>
      </w:r>
      <w:r>
        <w:t xml:space="preserve"> to land, labor and capital embodied in the use of nontraded intermediary inputs (also referred to as [being] indirectly involved in the productive activity) </w:t>
      </w:r>
      <w:r w:rsidRPr="009A2945">
        <w:rPr>
          <w:szCs w:val="24"/>
        </w:rPr>
        <w:t>(Tsakok 1990)</w:t>
      </w:r>
      <w:r>
        <w:t>.</w:t>
      </w:r>
    </w:p>
    <w:p w14:paraId="70DDABAF" w14:textId="77777777" w:rsidR="00B03505" w:rsidRPr="00EE323B" w:rsidRDefault="00B03505" w:rsidP="00B03505">
      <w:pPr>
        <w:pStyle w:val="BodyText"/>
        <w:rPr>
          <w:spacing w:val="-2"/>
        </w:rPr>
      </w:pPr>
      <w:r w:rsidRPr="00EE323B">
        <w:rPr>
          <w:spacing w:val="-2"/>
        </w:rPr>
        <w:t>That is, the NTNM service inputs are not treated as intermediate inputs, but as being produced by value adding factors (for example, accounting services produced by accountants).</w:t>
      </w:r>
      <w:r w:rsidRPr="00EE323B">
        <w:rPr>
          <w:rStyle w:val="FootnoteReference"/>
          <w:spacing w:val="-2"/>
        </w:rPr>
        <w:footnoteReference w:id="13"/>
      </w:r>
    </w:p>
    <w:p w14:paraId="70DDABB0" w14:textId="77777777" w:rsidR="00B03505" w:rsidRPr="00EE323B" w:rsidRDefault="00B03505" w:rsidP="00B03505">
      <w:pPr>
        <w:pStyle w:val="BodyText"/>
        <w:rPr>
          <w:spacing w:val="-4"/>
        </w:rPr>
      </w:pPr>
      <w:r w:rsidRPr="00EE323B">
        <w:rPr>
          <w:spacing w:val="-4"/>
        </w:rPr>
        <w:t>Applying this method requires some adjustments to the published I</w:t>
      </w:r>
      <w:r w:rsidRPr="00EE323B">
        <w:rPr>
          <w:spacing w:val="-4"/>
        </w:rPr>
        <w:noBreakHyphen/>
        <w:t>O data — the cost of domestic service inputs are subtracted from intermediate usage and added to the value added base.</w:t>
      </w:r>
    </w:p>
    <w:p w14:paraId="70DDABB1" w14:textId="77777777" w:rsidR="00B03505" w:rsidRDefault="00B03505" w:rsidP="00B03505">
      <w:pPr>
        <w:pStyle w:val="Heading3"/>
        <w:sectPr w:rsidR="00B03505" w:rsidSect="0080291E">
          <w:headerReference w:type="even" r:id="rId17"/>
          <w:headerReference w:type="default" r:id="rId18"/>
          <w:footerReference w:type="even" r:id="rId19"/>
          <w:footerReference w:type="default" r:id="rId20"/>
          <w:pgSz w:w="11907" w:h="16840" w:code="9"/>
          <w:pgMar w:top="1985" w:right="1304" w:bottom="1418" w:left="1814" w:header="1701" w:footer="567" w:gutter="0"/>
          <w:pgNumType w:start="1" w:chapSep="period"/>
          <w:cols w:space="720"/>
        </w:sectPr>
      </w:pPr>
    </w:p>
    <w:p w14:paraId="70DDABB2" w14:textId="54B83859" w:rsidR="00B03505" w:rsidRDefault="00B03505" w:rsidP="00B0350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437"/>
      </w:tblGrid>
      <w:tr w:rsidR="00B03505" w14:paraId="70DDABB4" w14:textId="77777777" w:rsidTr="00EE323B">
        <w:trPr>
          <w:tblHeader/>
        </w:trPr>
        <w:tc>
          <w:tcPr>
            <w:tcW w:w="5000" w:type="pct"/>
            <w:tcBorders>
              <w:top w:val="single" w:sz="6" w:space="0" w:color="78A22F"/>
              <w:left w:val="nil"/>
              <w:bottom w:val="nil"/>
              <w:right w:val="nil"/>
            </w:tcBorders>
            <w:shd w:val="clear" w:color="auto" w:fill="auto"/>
          </w:tcPr>
          <w:p w14:paraId="70DDABB3" w14:textId="38576357" w:rsidR="00B03505" w:rsidRPr="00176D3F" w:rsidRDefault="00B03505" w:rsidP="00437799">
            <w:pPr>
              <w:pStyle w:val="FigureTitle"/>
            </w:pPr>
            <w:r w:rsidRPr="00784A05">
              <w:rPr>
                <w:b w:val="0"/>
              </w:rPr>
              <w:t xml:space="preserve">Figure </w:t>
            </w:r>
            <w:bookmarkStart w:id="9" w:name="OLE_LINK4"/>
            <w:r w:rsidR="00192FF8">
              <w:rPr>
                <w:b w:val="0"/>
                <w:noProof/>
              </w:rPr>
              <w:t>5</w:t>
            </w:r>
            <w:bookmarkEnd w:id="9"/>
            <w:r>
              <w:tab/>
              <w:t>Deriving Unassisted Value Added from published Assisted Value Added measures</w:t>
            </w:r>
          </w:p>
        </w:tc>
      </w:tr>
      <w:tr w:rsidR="00B03505" w14:paraId="70DDABB6" w14:textId="77777777" w:rsidTr="00EE323B">
        <w:tc>
          <w:tcPr>
            <w:tcW w:w="5000" w:type="pct"/>
            <w:tcBorders>
              <w:top w:val="nil"/>
              <w:left w:val="nil"/>
              <w:bottom w:val="nil"/>
              <w:right w:val="nil"/>
            </w:tcBorders>
            <w:shd w:val="clear" w:color="auto" w:fill="auto"/>
            <w:tcMar>
              <w:top w:w="28" w:type="dxa"/>
              <w:bottom w:w="28" w:type="dxa"/>
            </w:tcMar>
          </w:tcPr>
          <w:p w14:paraId="70DDABB5" w14:textId="5BFB3567" w:rsidR="00B03505" w:rsidRDefault="00ED41EE" w:rsidP="00437799">
            <w:pPr>
              <w:pStyle w:val="Figure"/>
            </w:pPr>
            <w:r w:rsidRPr="00ED41EE">
              <w:rPr>
                <w:noProof/>
              </w:rPr>
              <w:drawing>
                <wp:inline distT="0" distB="0" distL="0" distR="0" wp14:anchorId="4619B701" wp14:editId="3C6F8B23">
                  <wp:extent cx="7665720" cy="4328160"/>
                  <wp:effectExtent l="0" t="0" r="0" b="0"/>
                  <wp:docPr id="14" name="Picture 14" descr="Figure 5 Deriving Unassisted Value Added from published Assisted Value Added measures&#10;&#10;This figure is a flow diagram of the process followed to derive unassisted value added from published value added data. It is assumed that published value added data includes the effect of assistance measures. Calculating the effective rate of assistance reported in Trade and Assistance Reviews requires a measure of ‘unassisted value added’ as its denominat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65720" cy="4328160"/>
                          </a:xfrm>
                          <a:prstGeom prst="rect">
                            <a:avLst/>
                          </a:prstGeom>
                          <a:noFill/>
                          <a:ln>
                            <a:noFill/>
                          </a:ln>
                        </pic:spPr>
                      </pic:pic>
                    </a:graphicData>
                  </a:graphic>
                </wp:inline>
              </w:drawing>
            </w:r>
          </w:p>
        </w:tc>
      </w:tr>
      <w:tr w:rsidR="00B03505" w14:paraId="70DDABBA" w14:textId="77777777" w:rsidTr="00EE323B">
        <w:tc>
          <w:tcPr>
            <w:tcW w:w="5000" w:type="pct"/>
            <w:tcBorders>
              <w:top w:val="nil"/>
              <w:left w:val="nil"/>
              <w:bottom w:val="single" w:sz="6" w:space="0" w:color="78A22F"/>
              <w:right w:val="nil"/>
            </w:tcBorders>
            <w:shd w:val="clear" w:color="auto" w:fill="auto"/>
          </w:tcPr>
          <w:p w14:paraId="70DDABB9" w14:textId="77777777" w:rsidR="00B03505" w:rsidRDefault="00B03505" w:rsidP="00437799">
            <w:pPr>
              <w:pStyle w:val="Figurespace"/>
            </w:pPr>
          </w:p>
        </w:tc>
      </w:tr>
      <w:tr w:rsidR="00B03505" w:rsidRPr="000863A5" w14:paraId="70DDABBC" w14:textId="77777777" w:rsidTr="00EE323B">
        <w:tc>
          <w:tcPr>
            <w:tcW w:w="5000" w:type="pct"/>
            <w:tcBorders>
              <w:top w:val="single" w:sz="6" w:space="0" w:color="78A22F"/>
              <w:left w:val="nil"/>
              <w:bottom w:val="nil"/>
              <w:right w:val="nil"/>
            </w:tcBorders>
          </w:tcPr>
          <w:p w14:paraId="70DDABBB" w14:textId="3A569AD4" w:rsidR="00B03505" w:rsidRPr="00626D32" w:rsidRDefault="00B03505" w:rsidP="00437799">
            <w:pPr>
              <w:pStyle w:val="BoxSpaceBelow"/>
            </w:pPr>
          </w:p>
        </w:tc>
      </w:tr>
    </w:tbl>
    <w:p w14:paraId="70DDABBD" w14:textId="77777777" w:rsidR="00B03505" w:rsidRDefault="00B03505" w:rsidP="00B03505">
      <w:pPr>
        <w:pStyle w:val="BodyText"/>
        <w:sectPr w:rsidR="00B03505">
          <w:headerReference w:type="even" r:id="rId22"/>
          <w:headerReference w:type="default" r:id="rId23"/>
          <w:footerReference w:type="even" r:id="rId24"/>
          <w:footerReference w:type="default" r:id="rId25"/>
          <w:pgSz w:w="16840" w:h="11907" w:orient="landscape" w:code="9"/>
          <w:pgMar w:top="1814" w:right="1985" w:bottom="1304" w:left="1418" w:header="1701" w:footer="567" w:gutter="0"/>
          <w:pgNumType w:chapSep="period"/>
          <w:cols w:space="720"/>
        </w:sectPr>
      </w:pPr>
    </w:p>
    <w:p w14:paraId="70DDABBE" w14:textId="77777777" w:rsidR="00B03505" w:rsidRDefault="00B03505" w:rsidP="00EE323B">
      <w:pPr>
        <w:pStyle w:val="Heading3"/>
      </w:pPr>
      <w:r>
        <w:lastRenderedPageBreak/>
        <w:t xml:space="preserve">Nominal and </w:t>
      </w:r>
      <w:r w:rsidRPr="00EE323B">
        <w:t>effective</w:t>
      </w:r>
      <w:r>
        <w:t xml:space="preserve"> rates of combined assistance</w:t>
      </w:r>
    </w:p>
    <w:p w14:paraId="70DDABBF" w14:textId="77777777" w:rsidR="00B03505" w:rsidRDefault="00B03505" w:rsidP="00B03505">
      <w:pPr>
        <w:pStyle w:val="BodyText"/>
      </w:pPr>
      <w:r>
        <w:t>R</w:t>
      </w:r>
      <w:r w:rsidRPr="00891924">
        <w:t xml:space="preserve">ates of </w:t>
      </w:r>
      <w:r>
        <w:t xml:space="preserve">combined </w:t>
      </w:r>
      <w:r w:rsidRPr="00891924">
        <w:t xml:space="preserve">assistance </w:t>
      </w:r>
      <w:r>
        <w:t>at an industry level</w:t>
      </w:r>
      <w:r w:rsidRPr="00891924">
        <w:t xml:space="preserve"> are calculated in the ‘Combined assistance’ </w:t>
      </w:r>
      <w:r>
        <w:t>Excel workbook.</w:t>
      </w:r>
      <w:r>
        <w:rPr>
          <w:rStyle w:val="FootnoteReference"/>
        </w:rPr>
        <w:footnoteReference w:id="14"/>
      </w:r>
    </w:p>
    <w:p w14:paraId="70DDABC0" w14:textId="77777777" w:rsidR="00B03505" w:rsidRDefault="00B03505" w:rsidP="00B03505">
      <w:pPr>
        <w:pStyle w:val="Heading4"/>
      </w:pPr>
      <w:r>
        <w:t>Levels of aggregation</w:t>
      </w:r>
    </w:p>
    <w:p w14:paraId="70DDABC1" w14:textId="77777777" w:rsidR="00B03505" w:rsidRDefault="00B03505" w:rsidP="00B03505">
      <w:pPr>
        <w:pStyle w:val="BodyText"/>
      </w:pPr>
      <w:r>
        <w:t xml:space="preserve">Combining assistance estimates to produce nominal and effective rates of assistance initially requires that tariff assistance, budgetary assistance, adjustment factors and unassisted value added are brought together at the ANZSIC-based industry level. </w:t>
      </w:r>
    </w:p>
    <w:p w14:paraId="70DDABC2" w14:textId="77777777" w:rsidR="00B03505" w:rsidRDefault="00B03505" w:rsidP="00B03505">
      <w:pPr>
        <w:pStyle w:val="BodyText"/>
      </w:pPr>
      <w:r>
        <w:t>There are 46 separate ANZSIC-based industries, and an additional 4 categories that include assistance that is ‘unallocated’.</w:t>
      </w:r>
      <w:r>
        <w:rPr>
          <w:rStyle w:val="FootnoteReference"/>
        </w:rPr>
        <w:footnoteReference w:id="15"/>
      </w:r>
      <w:r>
        <w:t xml:space="preserve"> Once values have been compiled at the ANZSIC-based industry level, they are aggregated to the TAR industry level, before calculating the nominal and effective rates of assistance. The TAR industry level includes 34 detailed industry categories and 4 ‘unallocated’ categories. </w:t>
      </w:r>
    </w:p>
    <w:p w14:paraId="70DDABC3" w14:textId="35480BFC" w:rsidR="00B03505" w:rsidRDefault="00B03505" w:rsidP="00B03505">
      <w:pPr>
        <w:pStyle w:val="BodyText"/>
      </w:pPr>
      <w:r>
        <w:t xml:space="preserve">The output of this process is found in tables 2.5 and 2.6 in PC </w:t>
      </w:r>
      <w:r w:rsidRPr="00373FED">
        <w:t>(2016)</w:t>
      </w:r>
      <w:r>
        <w:t xml:space="preserve">. </w:t>
      </w:r>
    </w:p>
    <w:p w14:paraId="70DDABC4" w14:textId="77777777" w:rsidR="00B03505" w:rsidRDefault="00B03505" w:rsidP="00B03505">
      <w:pPr>
        <w:pStyle w:val="Heading4"/>
      </w:pPr>
      <w:r>
        <w:t>Calculating rates of assistance</w:t>
      </w:r>
    </w:p>
    <w:p w14:paraId="70DDABC5" w14:textId="77777777" w:rsidR="00B03505" w:rsidRDefault="00B03505" w:rsidP="00B03505">
      <w:pPr>
        <w:pStyle w:val="BodyText"/>
      </w:pPr>
      <w:r>
        <w:t>Estimating the nominal rates of assistance on outputs and materials (NRO and NRM) and the effective rate of assistance (ERA) for the 20 non-service TAR industries for which rates are reported is summarised in the Combined Assistance workbook:</w:t>
      </w:r>
    </w:p>
    <w:p w14:paraId="70DDABC6" w14:textId="77777777" w:rsidR="00B03505" w:rsidRDefault="00B03505" w:rsidP="00B03505">
      <w:pPr>
        <w:pStyle w:val="ListBullet"/>
        <w:numPr>
          <w:ilvl w:val="0"/>
          <w:numId w:val="22"/>
        </w:numPr>
      </w:pPr>
      <w:r>
        <w:t>Tariff assistance estimates, in the form of GSE and TEM, are linked into the Combined Assistance workbook in 2008-09 values from the workbook that concords the IOIG tariff assistance values to the AE level.</w:t>
      </w:r>
      <w:r>
        <w:rPr>
          <w:rStyle w:val="FootnoteReference"/>
        </w:rPr>
        <w:footnoteReference w:id="16"/>
      </w:r>
    </w:p>
    <w:p w14:paraId="70DDABC7" w14:textId="77777777" w:rsidR="00B03505" w:rsidRDefault="00B03505" w:rsidP="00B03505">
      <w:pPr>
        <w:pStyle w:val="ListBullet"/>
        <w:numPr>
          <w:ilvl w:val="0"/>
          <w:numId w:val="22"/>
        </w:numPr>
      </w:pPr>
      <w:r>
        <w:t>The GSE and TEM values are updated to current year (2013-14) values by multiplying them with the relevant adjustment factors.</w:t>
      </w:r>
      <w:r>
        <w:rPr>
          <w:rStyle w:val="FootnoteReference"/>
        </w:rPr>
        <w:footnoteReference w:id="17"/>
      </w:r>
    </w:p>
    <w:p w14:paraId="70DDABC8" w14:textId="77777777" w:rsidR="00B03505" w:rsidRDefault="00B03505" w:rsidP="00EE323B">
      <w:pPr>
        <w:pStyle w:val="BodyText"/>
        <w:keepNext/>
        <w:keepLines/>
        <w:numPr>
          <w:ilvl w:val="0"/>
          <w:numId w:val="22"/>
        </w:numPr>
        <w:ind w:left="357" w:hanging="357"/>
      </w:pPr>
      <w:r>
        <w:lastRenderedPageBreak/>
        <w:t>Budgetary assistance estimates for the current year are linked in from the budgetary assistance workbook.</w:t>
      </w:r>
      <w:r>
        <w:rPr>
          <w:rStyle w:val="FootnoteReference"/>
        </w:rPr>
        <w:footnoteReference w:id="18"/>
      </w:r>
      <w:r>
        <w:t xml:space="preserve"> This includes budgetary assistance to inputs (IA</w:t>
      </w:r>
      <w:r w:rsidRPr="009A4D0D">
        <w:rPr>
          <w:vertAlign w:val="subscript"/>
        </w:rPr>
        <w:t>outlay</w:t>
      </w:r>
      <w:r>
        <w:t>, IA</w:t>
      </w:r>
      <w:r w:rsidRPr="009A4D0D">
        <w:rPr>
          <w:vertAlign w:val="subscript"/>
        </w:rPr>
        <w:t>concession</w:t>
      </w:r>
      <w:r>
        <w:t>) and outputs (OA</w:t>
      </w:r>
      <w:r w:rsidRPr="009A4D0D">
        <w:rPr>
          <w:vertAlign w:val="subscript"/>
        </w:rPr>
        <w:t>outlay</w:t>
      </w:r>
      <w:r>
        <w:t>, OA</w:t>
      </w:r>
      <w:r w:rsidRPr="009A4D0D">
        <w:rPr>
          <w:vertAlign w:val="subscript"/>
        </w:rPr>
        <w:t>concession</w:t>
      </w:r>
      <w:r>
        <w:t>) and assistance to value-adding (AVAF</w:t>
      </w:r>
      <w:r w:rsidRPr="009A4D0D">
        <w:rPr>
          <w:vertAlign w:val="subscript"/>
        </w:rPr>
        <w:t>outlay</w:t>
      </w:r>
      <w:r>
        <w:t>,</w:t>
      </w:r>
      <w:r w:rsidRPr="009A4D0D">
        <w:t xml:space="preserve"> </w:t>
      </w:r>
      <w:r>
        <w:t>AVAF</w:t>
      </w:r>
      <w:r w:rsidRPr="009A4D0D">
        <w:rPr>
          <w:vertAlign w:val="subscript"/>
        </w:rPr>
        <w:t>concession</w:t>
      </w:r>
      <w:r>
        <w:t>).</w:t>
      </w:r>
    </w:p>
    <w:p w14:paraId="70DDABC9" w14:textId="77777777" w:rsidR="00B03505" w:rsidRDefault="00B03505" w:rsidP="00B03505">
      <w:pPr>
        <w:pStyle w:val="BodyText"/>
        <w:numPr>
          <w:ilvl w:val="0"/>
          <w:numId w:val="22"/>
        </w:numPr>
      </w:pPr>
      <w:r>
        <w:t>Totals for output assistance, input assistance and assistance to value-adding factors are calculated by summing the relevant budgetary and tariff assistance values (as in table 1). Care should be taken to ensure that the TEM has the correct sign</w:t>
      </w:r>
      <w:r w:rsidR="00C938BA">
        <w:t xml:space="preserve"> (it imposes a cost on the industry so should be negative)</w:t>
      </w:r>
      <w:r>
        <w:t>.</w:t>
      </w:r>
    </w:p>
    <w:p w14:paraId="70DDABCA" w14:textId="77777777" w:rsidR="00B03505" w:rsidRPr="00D85C25" w:rsidRDefault="00B03505" w:rsidP="00B03505">
      <w:pPr>
        <w:pStyle w:val="BodyText"/>
        <w:numPr>
          <w:ilvl w:val="0"/>
          <w:numId w:val="22"/>
        </w:numPr>
        <w:rPr>
          <w:spacing w:val="-4"/>
        </w:rPr>
      </w:pPr>
      <w:r w:rsidRPr="00D85C25">
        <w:rPr>
          <w:spacing w:val="-4"/>
        </w:rPr>
        <w:t>Gross combined assistance (GCA) and net subsidy equivalent (NSE) can now be calculated.</w:t>
      </w:r>
    </w:p>
    <w:p w14:paraId="70DDABCB" w14:textId="77777777" w:rsidR="00B03505" w:rsidRDefault="00B03505" w:rsidP="00B03505">
      <w:pPr>
        <w:pStyle w:val="BodyText"/>
        <w:numPr>
          <w:ilvl w:val="0"/>
          <w:numId w:val="22"/>
        </w:numPr>
      </w:pPr>
      <w:r>
        <w:t>The base year unassisted value of outputs and materials (</w:t>
      </w:r>
      <m:oMath>
        <m:sSubSup>
          <m:sSubSupPr>
            <m:ctrlPr>
              <w:rPr>
                <w:rFonts w:ascii="Cambria Math" w:hAnsi="Cambria Math"/>
              </w:rPr>
            </m:ctrlPr>
          </m:sSubSupPr>
          <m:e>
            <m:r>
              <m:rPr>
                <m:sty m:val="p"/>
              </m:rPr>
              <w:rPr>
                <w:rFonts w:ascii="Cambria Math" w:hAnsi="Cambria Math"/>
              </w:rPr>
              <m:t>UVO</m:t>
            </m:r>
          </m:e>
          <m:sub/>
          <m:sup>
            <m:r>
              <m:rPr>
                <m:sty m:val="p"/>
              </m:rPr>
              <w:rPr>
                <w:rFonts w:ascii="Cambria Math" w:hAnsi="Cambria Math"/>
              </w:rPr>
              <m:t>base</m:t>
            </m:r>
          </m:sup>
        </m:sSubSup>
      </m:oMath>
      <w:r>
        <w:t xml:space="preserve">and </w:t>
      </w:r>
      <m:oMath>
        <m:sSubSup>
          <m:sSubSupPr>
            <m:ctrlPr>
              <w:rPr>
                <w:rFonts w:ascii="Cambria Math" w:hAnsi="Cambria Math"/>
              </w:rPr>
            </m:ctrlPr>
          </m:sSubSupPr>
          <m:e>
            <m:r>
              <m:rPr>
                <m:sty m:val="p"/>
              </m:rPr>
              <w:rPr>
                <w:rFonts w:ascii="Cambria Math" w:hAnsi="Cambria Math"/>
              </w:rPr>
              <m:t>UVM</m:t>
            </m:r>
          </m:e>
          <m:sub/>
          <m:sup>
            <m:r>
              <m:rPr>
                <m:sty m:val="p"/>
              </m:rPr>
              <w:rPr>
                <w:rFonts w:ascii="Cambria Math" w:hAnsi="Cambria Math"/>
              </w:rPr>
              <m:t>base</m:t>
            </m:r>
          </m:sup>
        </m:sSubSup>
      </m:oMath>
      <w:r>
        <w:t>), and unassisted value added (</w:t>
      </w:r>
      <m:oMath>
        <m:sSubSup>
          <m:sSubSupPr>
            <m:ctrlPr>
              <w:rPr>
                <w:rFonts w:ascii="Cambria Math" w:hAnsi="Cambria Math"/>
              </w:rPr>
            </m:ctrlPr>
          </m:sSubSupPr>
          <m:e>
            <m:r>
              <m:rPr>
                <m:sty m:val="p"/>
              </m:rPr>
              <w:rPr>
                <w:rFonts w:ascii="Cambria Math" w:hAnsi="Cambria Math"/>
              </w:rPr>
              <m:t>UVA</m:t>
            </m:r>
          </m:e>
          <m:sub/>
          <m:sup>
            <m:r>
              <m:rPr>
                <m:sty m:val="p"/>
              </m:rPr>
              <w:rPr>
                <w:rFonts w:ascii="Cambria Math" w:hAnsi="Cambria Math"/>
              </w:rPr>
              <m:t>base</m:t>
            </m:r>
          </m:sup>
        </m:sSubSup>
      </m:oMath>
      <w:r>
        <w:t>) are linked in to the 2013-14 worksheet from the 2008-09 worksheet in the Combined assistance workbook. These values are taken from the base year estimates and are only updated when estimates are re</w:t>
      </w:r>
      <w:r>
        <w:noBreakHyphen/>
        <w:t>benchmarked. Current year values for UVO, UVM and UVA are calculated by multiplying base year values for these variables by the adjustment factors.</w:t>
      </w:r>
    </w:p>
    <w:p w14:paraId="70DDABCC" w14:textId="77777777" w:rsidR="00B03505" w:rsidRDefault="00B03505" w:rsidP="00B03505">
      <w:pPr>
        <w:pStyle w:val="BodyText"/>
        <w:numPr>
          <w:ilvl w:val="0"/>
          <w:numId w:val="22"/>
        </w:numPr>
      </w:pPr>
      <w:r>
        <w:t xml:space="preserve">Combined assistance </w:t>
      </w:r>
      <w:r w:rsidRPr="004371A5">
        <w:rPr>
          <w:i/>
        </w:rPr>
        <w:t>values</w:t>
      </w:r>
      <w:r>
        <w:t xml:space="preserve"> are then aggregated from the 50 AE industry categories to the 38 TAR industry categories. </w:t>
      </w:r>
    </w:p>
    <w:p w14:paraId="70DDABCD" w14:textId="77777777" w:rsidR="00B03505" w:rsidRDefault="00B03505" w:rsidP="00B03505">
      <w:pPr>
        <w:pStyle w:val="BodyText"/>
        <w:numPr>
          <w:ilvl w:val="0"/>
          <w:numId w:val="22"/>
        </w:numPr>
      </w:pPr>
      <w:r>
        <w:t>Nominal rates of assistance on outputs (NRO) and materials (NRM), and the effective rate of assistance (ERA) are then calculated at the TAR industry level using the formulae in table 1.</w:t>
      </w:r>
    </w:p>
    <w:p w14:paraId="70DDABCE" w14:textId="77777777" w:rsidR="00B03505" w:rsidRPr="00EE323B" w:rsidRDefault="00B03505" w:rsidP="00EE323B">
      <w:pPr>
        <w:pStyle w:val="BodyText"/>
      </w:pPr>
      <w:r w:rsidRPr="00EE323B">
        <w:br w:type="page"/>
      </w:r>
    </w:p>
    <w:p w14:paraId="70DDABCF" w14:textId="77777777" w:rsidR="00B03505" w:rsidRPr="00525D8D" w:rsidRDefault="00B03505" w:rsidP="00D85C25">
      <w:pPr>
        <w:pStyle w:val="Heading2"/>
        <w:spacing w:after="360"/>
      </w:pPr>
      <w:r w:rsidRPr="00525D8D">
        <w:lastRenderedPageBreak/>
        <w:t>References</w:t>
      </w:r>
    </w:p>
    <w:p w14:paraId="70DDABD1" w14:textId="559CFF9B" w:rsidR="00496DB6" w:rsidRPr="00496DB6" w:rsidRDefault="00496DB6" w:rsidP="00AD7348">
      <w:pPr>
        <w:pStyle w:val="Reference"/>
      </w:pPr>
      <w:r w:rsidRPr="00496DB6">
        <w:t xml:space="preserve">ABS (Australian Bureau of Statistics) 2006, </w:t>
      </w:r>
      <w:r w:rsidRPr="00AD7348">
        <w:rPr>
          <w:i/>
        </w:rPr>
        <w:t>Australian and New Zealand Standard Industrial Classification (ANZSIC)</w:t>
      </w:r>
      <w:r w:rsidRPr="00496DB6">
        <w:t>, 2006 - Codes and Titles, Cat. no. 1292.0.55.002.</w:t>
      </w:r>
    </w:p>
    <w:p w14:paraId="70DDABD2" w14:textId="77777777" w:rsidR="00496DB6" w:rsidRPr="00496DB6" w:rsidRDefault="00496DB6" w:rsidP="00AD7348">
      <w:pPr>
        <w:pStyle w:val="Reference"/>
      </w:pPr>
      <w:r w:rsidRPr="00496DB6">
        <w:t xml:space="preserve">Australian Government 2016, </w:t>
      </w:r>
      <w:r w:rsidRPr="00AD7348">
        <w:rPr>
          <w:i/>
        </w:rPr>
        <w:t>Tax Expenditure Statement 2015</w:t>
      </w:r>
      <w:r w:rsidRPr="00496DB6">
        <w:t>, Canberra, January.</w:t>
      </w:r>
    </w:p>
    <w:p w14:paraId="70DDABD3" w14:textId="0AC6D3DF" w:rsidR="00496DB6" w:rsidRPr="00496DB6" w:rsidRDefault="00496DB6" w:rsidP="00AD7348">
      <w:pPr>
        <w:pStyle w:val="Reference"/>
      </w:pPr>
      <w:r w:rsidRPr="00496DB6">
        <w:t xml:space="preserve">PC (Productivity Commission) 2014, </w:t>
      </w:r>
      <w:r w:rsidR="00AD7348" w:rsidRPr="00AD7348">
        <w:rPr>
          <w:i/>
        </w:rPr>
        <w:t>‘</w:t>
      </w:r>
      <w:r w:rsidRPr="00AD7348">
        <w:rPr>
          <w:i/>
        </w:rPr>
        <w:t>Methodological Annex: Estimation Framework, Coverage and Re-benchmarking of Estimates</w:t>
      </w:r>
      <w:r w:rsidR="00AD7348" w:rsidRPr="00AD7348">
        <w:rPr>
          <w:i/>
        </w:rPr>
        <w:t>’</w:t>
      </w:r>
      <w:r w:rsidRPr="00496DB6">
        <w:t xml:space="preserve">, </w:t>
      </w:r>
      <w:r w:rsidRPr="00AD7348">
        <w:rPr>
          <w:i/>
        </w:rPr>
        <w:t>Trade &amp; Assistance Review 2011-12</w:t>
      </w:r>
      <w:r w:rsidRPr="00496DB6">
        <w:t>, Productivity Commission, Canberra.</w:t>
      </w:r>
    </w:p>
    <w:p w14:paraId="70DDABD4" w14:textId="6598BB3A" w:rsidR="00496DB6" w:rsidRPr="00496DB6" w:rsidRDefault="00BA2C10" w:rsidP="00AD7348">
      <w:pPr>
        <w:pStyle w:val="Reference"/>
      </w:pPr>
      <w:r>
        <w:t>—— </w:t>
      </w:r>
      <w:r w:rsidR="00496DB6" w:rsidRPr="00496DB6">
        <w:t xml:space="preserve">2015, </w:t>
      </w:r>
      <w:r w:rsidR="00496DB6" w:rsidRPr="00AD7348">
        <w:rPr>
          <w:i/>
        </w:rPr>
        <w:t>Trade and Assistance Review 2013-14</w:t>
      </w:r>
      <w:r w:rsidR="00496DB6" w:rsidRPr="00496DB6">
        <w:t>, Annual Report Series, Canberra.</w:t>
      </w:r>
    </w:p>
    <w:p w14:paraId="70DDABD5" w14:textId="1CED0D43" w:rsidR="00496DB6" w:rsidRPr="00496DB6" w:rsidRDefault="00BA2C10" w:rsidP="00AD7348">
      <w:pPr>
        <w:pStyle w:val="Reference"/>
      </w:pPr>
      <w:r>
        <w:t>—— </w:t>
      </w:r>
      <w:r w:rsidR="00496DB6" w:rsidRPr="00496DB6">
        <w:t xml:space="preserve">2016, </w:t>
      </w:r>
      <w:r w:rsidR="00496DB6" w:rsidRPr="00AD7348">
        <w:rPr>
          <w:i/>
        </w:rPr>
        <w:t>Trade and Assistance Review 2014-15</w:t>
      </w:r>
      <w:r w:rsidR="00496DB6" w:rsidRPr="00496DB6">
        <w:t>, Annual Report Series, Canberra.</w:t>
      </w:r>
    </w:p>
    <w:p w14:paraId="70DDABD6" w14:textId="77777777" w:rsidR="00496DB6" w:rsidRPr="00496DB6" w:rsidRDefault="00496DB6" w:rsidP="00AD7348">
      <w:pPr>
        <w:pStyle w:val="Reference"/>
      </w:pPr>
      <w:r w:rsidRPr="00496DB6">
        <w:t xml:space="preserve">Tsakok, I. 1990, </w:t>
      </w:r>
      <w:r w:rsidRPr="00AD7348">
        <w:rPr>
          <w:i/>
        </w:rPr>
        <w:t>Agricultural Price Policy: A Practitioner’s Guide to Partial-equilibrium Analysis</w:t>
      </w:r>
      <w:r w:rsidRPr="00496DB6">
        <w:t>, Cornell University Press.</w:t>
      </w:r>
    </w:p>
    <w:p w14:paraId="70DDABD8" w14:textId="77777777" w:rsidR="00B03505" w:rsidRPr="009924D1" w:rsidRDefault="00B03505" w:rsidP="009924D1">
      <w:pPr>
        <w:pStyle w:val="Heading2"/>
      </w:pPr>
      <w:r w:rsidRPr="009924D1">
        <w:t>Additional references</w:t>
      </w:r>
    </w:p>
    <w:p w14:paraId="70DDABDA" w14:textId="77777777" w:rsidR="003B32BF" w:rsidRPr="00AD7348" w:rsidRDefault="003B32BF" w:rsidP="00AD7348">
      <w:pPr>
        <w:pStyle w:val="Reference"/>
        <w:rPr>
          <w:spacing w:val="-4"/>
        </w:rPr>
      </w:pPr>
      <w:r w:rsidRPr="00AD7348">
        <w:rPr>
          <w:spacing w:val="-4"/>
        </w:rPr>
        <w:t xml:space="preserve">Cobau, D. and Wells, R. 2002, </w:t>
      </w:r>
      <w:r w:rsidRPr="00AD7348">
        <w:rPr>
          <w:i/>
          <w:spacing w:val="-4"/>
        </w:rPr>
        <w:t>TIDES: Documentation of the Commission’s Tariff and Import Database and Estimating System</w:t>
      </w:r>
      <w:r w:rsidRPr="00AD7348">
        <w:rPr>
          <w:spacing w:val="-4"/>
        </w:rPr>
        <w:t>, Internal Research Memorandum, Cat. No. GA 509.</w:t>
      </w:r>
    </w:p>
    <w:p w14:paraId="70DDABDB" w14:textId="77777777" w:rsidR="003B32BF" w:rsidRPr="00192FF8" w:rsidRDefault="003B32BF" w:rsidP="00AD7348">
      <w:pPr>
        <w:pStyle w:val="Reference"/>
      </w:pPr>
      <w:r w:rsidRPr="00192FF8">
        <w:t xml:space="preserve">Wells, R. and Gretton, P. 2011, </w:t>
      </w:r>
      <w:r w:rsidRPr="00AD7348">
        <w:rPr>
          <w:i/>
        </w:rPr>
        <w:t>Notes on the Productivity Commission Tariff Assistance Model</w:t>
      </w:r>
      <w:r w:rsidRPr="00192FF8">
        <w:t>, Internal working paper. Not for quotation.</w:t>
      </w:r>
    </w:p>
    <w:p w14:paraId="70DDABDD" w14:textId="77777777" w:rsidR="00A95116" w:rsidRDefault="00A95116" w:rsidP="00A95116">
      <w:pPr>
        <w:pStyle w:val="BodyText"/>
      </w:pPr>
      <w:r>
        <w:br w:type="page"/>
      </w:r>
    </w:p>
    <w:p w14:paraId="70DDABDE" w14:textId="77777777" w:rsidR="00603604" w:rsidRDefault="008F64F2" w:rsidP="00603604">
      <w:pPr>
        <w:pStyle w:val="Heading2"/>
      </w:pPr>
      <w:bookmarkStart w:id="10" w:name="_AppendixNotByChapter"/>
      <w:bookmarkStart w:id="11" w:name="ChapterNumber"/>
      <w:bookmarkEnd w:id="10"/>
      <w:r>
        <w:lastRenderedPageBreak/>
        <w:t xml:space="preserve">Appendix </w:t>
      </w:r>
      <w:r w:rsidR="00603604">
        <w:t>A</w:t>
      </w:r>
      <w:bookmarkEnd w:id="11"/>
      <w:r>
        <w:t xml:space="preserve"> — Required data</w:t>
      </w:r>
    </w:p>
    <w:p w14:paraId="70DDABDF" w14:textId="77777777" w:rsidR="00603604" w:rsidRDefault="00603604" w:rsidP="00603604">
      <w:pPr>
        <w:pStyle w:val="BodyText"/>
      </w:pPr>
      <w:r>
        <w:t xml:space="preserve">This appendix presents a list of data sources used to derive the Commission’s assistance estimates. </w:t>
      </w:r>
    </w:p>
    <w:p w14:paraId="70DDABE0" w14:textId="77777777" w:rsidR="00603604" w:rsidRDefault="00603604" w:rsidP="00603604">
      <w:pPr>
        <w:pStyle w:val="Heading3"/>
      </w:pPr>
      <w:r>
        <w:t>Production, materials and value added data</w:t>
      </w:r>
    </w:p>
    <w:p w14:paraId="70DDABE1" w14:textId="77777777" w:rsidR="00603604" w:rsidRDefault="00603604" w:rsidP="00AD7348">
      <w:pPr>
        <w:pStyle w:val="Heading4"/>
        <w:spacing w:before="240"/>
      </w:pPr>
      <w:r>
        <w:t>ABS National Accounts Input-Output data</w:t>
      </w:r>
    </w:p>
    <w:p w14:paraId="70DDABE2" w14:textId="77777777" w:rsidR="00603604" w:rsidRDefault="00603604" w:rsidP="00603604">
      <w:pPr>
        <w:pStyle w:val="BodyText"/>
      </w:pPr>
      <w:r>
        <w:t xml:space="preserve">The ABS’s Input-Output (IO) data is used to derive estimates of production, material usage and value added. This data is then used to derive estimates of tariff assistance, effective rates and also as an input to the Adjustment Factor workbook. </w:t>
      </w:r>
    </w:p>
    <w:p w14:paraId="70DDABE3" w14:textId="77777777" w:rsidR="00603604" w:rsidRDefault="00603604" w:rsidP="00603604">
      <w:pPr>
        <w:pStyle w:val="Heading5"/>
      </w:pPr>
      <w:r>
        <w:t>Source</w:t>
      </w:r>
    </w:p>
    <w:p w14:paraId="70DDABE4" w14:textId="77777777" w:rsidR="00603604" w:rsidRDefault="00603604" w:rsidP="00603604">
      <w:pPr>
        <w:pStyle w:val="BodyText"/>
      </w:pPr>
      <w:r w:rsidRPr="005F57C9">
        <w:t>ABS (Australian Bureau of Statistics)</w:t>
      </w:r>
      <w:r w:rsidRPr="005F57C9">
        <w:rPr>
          <w:color w:val="000000" w:themeColor="text1"/>
        </w:rPr>
        <w:t> </w:t>
      </w:r>
      <w:r w:rsidRPr="005F57C9">
        <w:t>201</w:t>
      </w:r>
      <w:r>
        <w:t>2</w:t>
      </w:r>
      <w:r w:rsidRPr="005F57C9">
        <w:t xml:space="preserve">, </w:t>
      </w:r>
      <w:r w:rsidRPr="001F7BC7">
        <w:rPr>
          <w:i/>
        </w:rPr>
        <w:t>Australian National Accounts: Input-Output Tables 2008-09</w:t>
      </w:r>
      <w:r w:rsidRPr="005F57C9">
        <w:t xml:space="preserve">, Cat. no. </w:t>
      </w:r>
      <w:r w:rsidRPr="001F7BC7">
        <w:t>5209.0.55.001</w:t>
      </w:r>
      <w:r>
        <w:t xml:space="preserve"> (tables 1, 2 and 3), </w:t>
      </w:r>
      <w:r w:rsidRPr="005F57C9">
        <w:t>ABS, Canberra.</w:t>
      </w:r>
    </w:p>
    <w:p w14:paraId="70DDABE5" w14:textId="74395916" w:rsidR="00603604" w:rsidRDefault="00603604" w:rsidP="00603604">
      <w:pPr>
        <w:pStyle w:val="BodyText"/>
        <w:ind w:left="720" w:hanging="720"/>
      </w:pPr>
      <w:r>
        <w:tab/>
      </w:r>
      <w:r w:rsidRPr="00ED41EE">
        <w:t>http://www.abs.gov.au/AUSSTATS/abs@.nsf/DetailsPage/5209.0.55.0012008-09?OpenDocument</w:t>
      </w:r>
      <w:r>
        <w:t xml:space="preserve"> — tables 1, 2 and 3.</w:t>
      </w:r>
    </w:p>
    <w:p w14:paraId="70DDABE6" w14:textId="77777777" w:rsidR="00603604" w:rsidRPr="005F57C9" w:rsidRDefault="00603604" w:rsidP="00603604">
      <w:pPr>
        <w:pStyle w:val="Reference"/>
      </w:pPr>
      <w:r w:rsidRPr="005F57C9">
        <w:t>ABS (Australian Bureau of Statistics)</w:t>
      </w:r>
      <w:r w:rsidRPr="005F57C9">
        <w:rPr>
          <w:color w:val="000000" w:themeColor="text1"/>
        </w:rPr>
        <w:t> </w:t>
      </w:r>
      <w:r w:rsidRPr="005F57C9">
        <w:t xml:space="preserve">2014, </w:t>
      </w:r>
      <w:r w:rsidRPr="005F57C9">
        <w:rPr>
          <w:i/>
        </w:rPr>
        <w:t>Australian System of National Accounts</w:t>
      </w:r>
      <w:r w:rsidRPr="005F57C9">
        <w:t xml:space="preserve">, </w:t>
      </w:r>
      <w:r w:rsidRPr="005F57C9">
        <w:rPr>
          <w:i/>
        </w:rPr>
        <w:t>2013</w:t>
      </w:r>
      <w:r w:rsidRPr="005F57C9">
        <w:rPr>
          <w:i/>
        </w:rPr>
        <w:noBreakHyphen/>
        <w:t>14</w:t>
      </w:r>
      <w:r w:rsidRPr="005F57C9">
        <w:t>, Cat. no. 5204.0</w:t>
      </w:r>
      <w:r>
        <w:t xml:space="preserve"> (table 5), </w:t>
      </w:r>
      <w:r w:rsidRPr="005F57C9">
        <w:t xml:space="preserve">ABS, Canberra. </w:t>
      </w:r>
    </w:p>
    <w:p w14:paraId="70DDABE7" w14:textId="34534389" w:rsidR="00603604" w:rsidRDefault="00603604" w:rsidP="00603604">
      <w:pPr>
        <w:pStyle w:val="BodyText"/>
        <w:ind w:left="720" w:hanging="720"/>
      </w:pPr>
      <w:r>
        <w:tab/>
      </w:r>
      <w:r w:rsidRPr="00ED41EE">
        <w:t>http://www.abs.gov.au/AUSSTATS/abs@.nsf/DetailsPage/5204.02012-13?OpenDocument</w:t>
      </w:r>
      <w:r>
        <w:t xml:space="preserve"> — table 5.</w:t>
      </w:r>
    </w:p>
    <w:p w14:paraId="70DDABE8" w14:textId="77777777" w:rsidR="00603604" w:rsidRDefault="00603604" w:rsidP="00603604">
      <w:pPr>
        <w:pStyle w:val="Heading4"/>
      </w:pPr>
      <w:r>
        <w:t>ABS agricultural production data</w:t>
      </w:r>
    </w:p>
    <w:p w14:paraId="70DDABE9" w14:textId="77777777" w:rsidR="00603604" w:rsidRDefault="00603604" w:rsidP="00603604">
      <w:pPr>
        <w:pStyle w:val="BodyText"/>
      </w:pPr>
      <w:r>
        <w:t xml:space="preserve">ABS agricultural production data is used as an input to the Adjustment Factor workbook in deriving the adjustment, or scaling, factor for the agricultural sector. </w:t>
      </w:r>
    </w:p>
    <w:p w14:paraId="70DDABEA" w14:textId="77777777" w:rsidR="00603604" w:rsidRDefault="00603604" w:rsidP="00603604">
      <w:pPr>
        <w:pStyle w:val="Heading5"/>
      </w:pPr>
      <w:r>
        <w:t>Source</w:t>
      </w:r>
    </w:p>
    <w:p w14:paraId="70DDABEB" w14:textId="77777777" w:rsidR="00603604" w:rsidRDefault="00603604" w:rsidP="00603604">
      <w:pPr>
        <w:pStyle w:val="BodyText"/>
      </w:pPr>
      <w:r>
        <w:t xml:space="preserve">Australian Bureau of Statistics (ABS), </w:t>
      </w:r>
      <w:r w:rsidRPr="0059093E">
        <w:rPr>
          <w:i/>
        </w:rPr>
        <w:t>Value of Agricultural Commodities Produced, Australia, 2012-13 (table 1)</w:t>
      </w:r>
      <w:r>
        <w:t xml:space="preserve">, Cat. No. 7503.0, ABS, Canberra. </w:t>
      </w:r>
    </w:p>
    <w:p w14:paraId="70DDABEC" w14:textId="4E63C9D0" w:rsidR="00603604" w:rsidRDefault="00603604" w:rsidP="00603604">
      <w:pPr>
        <w:pStyle w:val="BodyText"/>
        <w:ind w:left="720" w:hanging="720"/>
      </w:pPr>
      <w:r>
        <w:tab/>
      </w:r>
      <w:r w:rsidRPr="00ED41EE">
        <w:t>http://www.abs.gov.au/AUSSTATS/abs@.nsf/DetailsPage/7503.02012-13?OpenDocument</w:t>
      </w:r>
      <w:r>
        <w:t xml:space="preserve"> </w:t>
      </w:r>
    </w:p>
    <w:p w14:paraId="70DDABED" w14:textId="77777777" w:rsidR="00603604" w:rsidRDefault="00603604" w:rsidP="00603604">
      <w:pPr>
        <w:pStyle w:val="Heading3"/>
      </w:pPr>
      <w:r>
        <w:lastRenderedPageBreak/>
        <w:t>Tariff assistance estimates</w:t>
      </w:r>
    </w:p>
    <w:p w14:paraId="70DDABEE" w14:textId="77777777" w:rsidR="00603604" w:rsidRDefault="00603604" w:rsidP="00AD7348">
      <w:pPr>
        <w:pStyle w:val="Heading4"/>
        <w:spacing w:before="240"/>
      </w:pPr>
      <w:r>
        <w:t>Tariff schedules</w:t>
      </w:r>
    </w:p>
    <w:p w14:paraId="70DDABEF" w14:textId="77777777" w:rsidR="00603604" w:rsidRDefault="00603604" w:rsidP="00603604">
      <w:pPr>
        <w:pStyle w:val="BodyText"/>
      </w:pPr>
      <w:r>
        <w:t xml:space="preserve">Tariff schedules are used in the Commission’s </w:t>
      </w:r>
      <w:r w:rsidRPr="00327B61">
        <w:t>Tariff and Import Database and Estimating System</w:t>
      </w:r>
      <w:r>
        <w:t xml:space="preserve"> (TIDES) model to derive benchmark (2008</w:t>
      </w:r>
      <w:r>
        <w:noBreakHyphen/>
        <w:t xml:space="preserve">09) estimates of the ‘price impacts’ of tariffs on domestic and imported goods. </w:t>
      </w:r>
    </w:p>
    <w:p w14:paraId="70DDABF0" w14:textId="77777777" w:rsidR="00603604" w:rsidRDefault="00603604" w:rsidP="00603604">
      <w:pPr>
        <w:pStyle w:val="BodyText"/>
      </w:pPr>
      <w:r>
        <w:t>The current tariff schedules used in the TIDES model were originally down-loaded from the APEC tariff database web site.</w:t>
      </w:r>
      <w:r>
        <w:rPr>
          <w:rStyle w:val="FootnoteReference"/>
        </w:rPr>
        <w:footnoteReference w:id="19"/>
      </w:r>
      <w:r>
        <w:t xml:space="preserve"> This file contained data on tariff rates by 8-digit tariff item and also listed tariff rate changes from 1996</w:t>
      </w:r>
      <w:r>
        <w:noBreakHyphen/>
        <w:t>97 to 2000</w:t>
      </w:r>
      <w:r>
        <w:noBreakHyphen/>
        <w:t xml:space="preserve">01. This tariff file was also supplemented by hard copies of the Australia Customs tariff schedules, including information on concessional tariff items, held by the Commission and available online from the Department of Immigration and Border Security. </w:t>
      </w:r>
    </w:p>
    <w:p w14:paraId="70DDABF1" w14:textId="77777777" w:rsidR="00603604" w:rsidRDefault="00603604" w:rsidP="00603604">
      <w:pPr>
        <w:pStyle w:val="BodyText"/>
      </w:pPr>
      <w:r>
        <w:t xml:space="preserve">For use in the Commission’s TIDES model, individual financial year tariff schedules were created from the original file. Specific rate and excise items were also identified in the Australian Customs tariff schedules. Subsequent arrangements for phasing out the tariffs for the </w:t>
      </w:r>
      <w:r w:rsidRPr="002E0C06">
        <w:rPr>
          <w:i/>
        </w:rPr>
        <w:t>textiles, clothing and footwear</w:t>
      </w:r>
      <w:r>
        <w:t xml:space="preserve"> and </w:t>
      </w:r>
      <w:r w:rsidRPr="002E0C06">
        <w:rPr>
          <w:i/>
        </w:rPr>
        <w:t>passenger motor vehicles</w:t>
      </w:r>
      <w:r>
        <w:t xml:space="preserve"> industries were then used to construct more recent tariff schedules. </w:t>
      </w:r>
    </w:p>
    <w:p w14:paraId="70DDABF2" w14:textId="77777777" w:rsidR="00603604" w:rsidRDefault="00603604" w:rsidP="00603604">
      <w:pPr>
        <w:pStyle w:val="BodyText"/>
      </w:pPr>
      <w:r>
        <w:t xml:space="preserve">The Department of Foreign Affairs and Trade also maintains a current version of the Australian tariff schedule in Excel format. The Commission has accessed this schedule on request from time-to-time to help supplement the Commission’s constructed tariff schedules. </w:t>
      </w:r>
    </w:p>
    <w:p w14:paraId="70DDABF3" w14:textId="77777777" w:rsidR="00603604" w:rsidRDefault="00603604" w:rsidP="00603604">
      <w:pPr>
        <w:pStyle w:val="BodyText"/>
      </w:pPr>
      <w:r>
        <w:t>Before the import and tariff rate tables can be used in TIDES, a number of adjustments and preparatory tasks needed to be carried out. These procedures are discussed in more detail in the TIDES model documentation.</w:t>
      </w:r>
    </w:p>
    <w:p w14:paraId="70DDABF4" w14:textId="77777777" w:rsidR="00603604" w:rsidRDefault="00603604" w:rsidP="00603604">
      <w:pPr>
        <w:pStyle w:val="Heading5"/>
      </w:pPr>
      <w:r>
        <w:t>Source</w:t>
      </w:r>
    </w:p>
    <w:p w14:paraId="70DDABF5" w14:textId="77777777" w:rsidR="00603604" w:rsidRDefault="00603604" w:rsidP="00603604">
      <w:pPr>
        <w:pStyle w:val="BodyText"/>
      </w:pPr>
      <w:r>
        <w:t xml:space="preserve">Department of Immigration and Border Security, </w:t>
      </w:r>
      <w:r w:rsidRPr="00970E6F">
        <w:rPr>
          <w:i/>
        </w:rPr>
        <w:t>Current tariff classification</w:t>
      </w:r>
      <w:r>
        <w:t xml:space="preserve">, </w:t>
      </w:r>
      <w:r w:rsidRPr="00970E6F">
        <w:t xml:space="preserve">www.border.gov.au/Busi/Tari/Curr </w:t>
      </w:r>
      <w:r>
        <w:t xml:space="preserve">(accessed 21 September 2016). </w:t>
      </w:r>
    </w:p>
    <w:p w14:paraId="70DDABF6" w14:textId="77777777" w:rsidR="00603604" w:rsidRDefault="00603604" w:rsidP="00603604">
      <w:pPr>
        <w:pStyle w:val="Heading4"/>
      </w:pPr>
      <w:r>
        <w:t>ABS Merchandise Trade Data Imports</w:t>
      </w:r>
    </w:p>
    <w:p w14:paraId="70DDABF7" w14:textId="77777777" w:rsidR="00603604" w:rsidRDefault="00603604" w:rsidP="00603604">
      <w:pPr>
        <w:pStyle w:val="BodyText"/>
      </w:pPr>
      <w:r>
        <w:t xml:space="preserve">ABS international merchandise trade imports are also used in the Commission’s TIDES model. </w:t>
      </w:r>
    </w:p>
    <w:p w14:paraId="70DDABF8" w14:textId="77777777" w:rsidR="00603604" w:rsidRDefault="00603604" w:rsidP="00603604">
      <w:pPr>
        <w:pStyle w:val="BodyText"/>
      </w:pPr>
      <w:r>
        <w:t>The ABS international merchandise trade imports and clearances data is obtained from the ABS in a compressed file format on a CD. The import data contains monthly data on import values and quantities, and duty payments. All information is classified at the 10</w:t>
      </w:r>
      <w:r>
        <w:noBreakHyphen/>
        <w:t xml:space="preserve">digit HS </w:t>
      </w:r>
      <w:r>
        <w:lastRenderedPageBreak/>
        <w:t xml:space="preserve">code level, includes country of origin information and allocates a specific ‘treatment’ code to all imports, which in-turn determines the duty payable for each import item on entry to Australia. The information required for the Commission’s TIDES model is extracted from the ABS file and imported into an Access database and saved as an Access table. </w:t>
      </w:r>
    </w:p>
    <w:p w14:paraId="70DDABF9" w14:textId="77777777" w:rsidR="00603604" w:rsidRDefault="00603604" w:rsidP="00603604">
      <w:pPr>
        <w:pStyle w:val="BodyText"/>
      </w:pPr>
      <w:r>
        <w:t xml:space="preserve">The procedures for extracting the ABS data are discussed in more detail in the documentation of the TIDES model. </w:t>
      </w:r>
    </w:p>
    <w:p w14:paraId="70DDABFA" w14:textId="77777777" w:rsidR="00603604" w:rsidRDefault="00603604" w:rsidP="00603604">
      <w:pPr>
        <w:pStyle w:val="Heading5"/>
      </w:pPr>
      <w:r>
        <w:t>Source</w:t>
      </w:r>
    </w:p>
    <w:p w14:paraId="70DDABFB" w14:textId="77777777" w:rsidR="00603604" w:rsidRDefault="00603604" w:rsidP="00603604">
      <w:pPr>
        <w:pStyle w:val="BodyText"/>
      </w:pPr>
      <w:r>
        <w:t xml:space="preserve">Australian Bureau of Statistics (ABS), </w:t>
      </w:r>
      <w:r w:rsidRPr="007F3817">
        <w:rPr>
          <w:i/>
        </w:rPr>
        <w:t>International Merchandise Imports, Australia (various months)</w:t>
      </w:r>
      <w:r>
        <w:t xml:space="preserve">, Cat. No. 5439.0, ABS, Canberra. </w:t>
      </w:r>
    </w:p>
    <w:p w14:paraId="70DDABFC" w14:textId="77777777" w:rsidR="00603604" w:rsidRDefault="00603604" w:rsidP="00603604">
      <w:pPr>
        <w:pStyle w:val="BodyText"/>
        <w:ind w:left="720" w:hanging="720"/>
      </w:pPr>
      <w:r>
        <w:tab/>
      </w:r>
      <w:r w:rsidRPr="007F3817">
        <w:t>http://www.abs.gov.au/AUSSTATS/abs@.nsf/Lookup/5439.0Main+Features1Dec%202015?OpenDocument</w:t>
      </w:r>
    </w:p>
    <w:p w14:paraId="70DDABFD" w14:textId="77777777" w:rsidR="00603604" w:rsidRDefault="00603604" w:rsidP="00603604">
      <w:pPr>
        <w:pStyle w:val="Heading3"/>
      </w:pPr>
      <w:r>
        <w:t>Budgetary assistance estimates</w:t>
      </w:r>
    </w:p>
    <w:p w14:paraId="70DDABFE" w14:textId="77777777" w:rsidR="00603604" w:rsidRDefault="00603604" w:rsidP="00603604">
      <w:pPr>
        <w:pStyle w:val="Heading4"/>
      </w:pPr>
      <w:r>
        <w:t>Total program funding</w:t>
      </w:r>
    </w:p>
    <w:p w14:paraId="70DDABFF" w14:textId="77777777" w:rsidR="00603604" w:rsidRDefault="00603604" w:rsidP="00603604">
      <w:pPr>
        <w:pStyle w:val="BodyText"/>
      </w:pPr>
      <w:r>
        <w:t xml:space="preserve">Budgetary assistance estimates are derived primarily from departmental and agency annual reports and contacts, and the Australian Government’s annual Tax Expenditures Statement (TES). </w:t>
      </w:r>
    </w:p>
    <w:p w14:paraId="70DDAC00" w14:textId="77777777" w:rsidR="00603604" w:rsidRDefault="00603604" w:rsidP="00603604">
      <w:pPr>
        <w:pStyle w:val="BodyText"/>
      </w:pPr>
      <w:r>
        <w:t>Table A.1 lists the data source for each budgetary assistance program with funding in 2013</w:t>
      </w:r>
      <w:r>
        <w:noBreakHyphen/>
        <w:t xml:space="preserve">14. </w:t>
      </w:r>
    </w:p>
    <w:p w14:paraId="70DDAC01" w14:textId="77777777" w:rsidR="00603604" w:rsidRDefault="00603604" w:rsidP="00603604">
      <w:pPr>
        <w:pStyle w:val="Heading5"/>
      </w:pPr>
      <w:r>
        <w:t>Source</w:t>
      </w:r>
    </w:p>
    <w:p w14:paraId="70DDAC02" w14:textId="77777777" w:rsidR="00603604" w:rsidRPr="005F57C9" w:rsidRDefault="00603604" w:rsidP="00603604">
      <w:pPr>
        <w:pStyle w:val="Reference"/>
      </w:pPr>
      <w:r>
        <w:rPr>
          <w:color w:val="000000" w:themeColor="text1"/>
        </w:rPr>
        <w:t>Australian Government</w:t>
      </w:r>
      <w:r w:rsidRPr="005F57C9">
        <w:rPr>
          <w:color w:val="000000" w:themeColor="text1"/>
        </w:rPr>
        <w:t xml:space="preserve"> 2015, </w:t>
      </w:r>
      <w:r w:rsidRPr="005F57C9">
        <w:rPr>
          <w:i/>
        </w:rPr>
        <w:t>Tax Expenditure Statement 2014</w:t>
      </w:r>
      <w:r w:rsidRPr="005F57C9">
        <w:t>, Department of Treasury, Canberra, January.</w:t>
      </w:r>
    </w:p>
    <w:p w14:paraId="70DDAC03" w14:textId="3D9EF232" w:rsidR="00603604" w:rsidRDefault="00603604" w:rsidP="0060360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03604" w14:paraId="70DDAC05" w14:textId="77777777" w:rsidTr="00D450C5">
        <w:tc>
          <w:tcPr>
            <w:tcW w:w="5000" w:type="pct"/>
            <w:tcBorders>
              <w:top w:val="single" w:sz="6" w:space="0" w:color="78A22F"/>
              <w:left w:val="nil"/>
              <w:bottom w:val="nil"/>
              <w:right w:val="nil"/>
            </w:tcBorders>
            <w:shd w:val="clear" w:color="auto" w:fill="auto"/>
          </w:tcPr>
          <w:p w14:paraId="70DDAC04" w14:textId="77777777" w:rsidR="00603604" w:rsidRPr="00784A05" w:rsidRDefault="00603604" w:rsidP="0007033B">
            <w:pPr>
              <w:pStyle w:val="TableTitle"/>
            </w:pPr>
            <w:r>
              <w:rPr>
                <w:b w:val="0"/>
              </w:rPr>
              <w:t>Table A.1</w:t>
            </w:r>
            <w:r>
              <w:tab/>
              <w:t>Australian Government budgetary assistance programs, 2013</w:t>
            </w:r>
            <w:r>
              <w:noBreakHyphen/>
              <w:t>14</w:t>
            </w:r>
          </w:p>
        </w:tc>
      </w:tr>
      <w:tr w:rsidR="00603604" w14:paraId="70DDAC64" w14:textId="77777777" w:rsidTr="00D450C5">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686"/>
              <w:gridCol w:w="4819"/>
            </w:tblGrid>
            <w:tr w:rsidR="00603604" w14:paraId="70DDAC08" w14:textId="77777777" w:rsidTr="0007033B">
              <w:trPr>
                <w:tblHeader/>
              </w:trPr>
              <w:tc>
                <w:tcPr>
                  <w:tcW w:w="2167" w:type="pct"/>
                  <w:tcBorders>
                    <w:top w:val="single" w:sz="6" w:space="0" w:color="BFBFBF"/>
                    <w:bottom w:val="single" w:sz="6" w:space="0" w:color="BFBFBF"/>
                  </w:tcBorders>
                  <w:shd w:val="clear" w:color="auto" w:fill="auto"/>
                  <w:tcMar>
                    <w:top w:w="28" w:type="dxa"/>
                  </w:tcMar>
                </w:tcPr>
                <w:p w14:paraId="70DDAC06" w14:textId="77777777" w:rsidR="00603604" w:rsidRDefault="00603604" w:rsidP="0007033B">
                  <w:pPr>
                    <w:pStyle w:val="TableColumnHeading"/>
                    <w:jc w:val="left"/>
                  </w:pPr>
                  <w:r>
                    <w:t>Program</w:t>
                  </w:r>
                </w:p>
              </w:tc>
              <w:tc>
                <w:tcPr>
                  <w:tcW w:w="2833" w:type="pct"/>
                  <w:tcBorders>
                    <w:top w:val="single" w:sz="6" w:space="0" w:color="BFBFBF"/>
                    <w:bottom w:val="single" w:sz="6" w:space="0" w:color="BFBFBF"/>
                  </w:tcBorders>
                  <w:shd w:val="clear" w:color="auto" w:fill="auto"/>
                  <w:tcMar>
                    <w:top w:w="28" w:type="dxa"/>
                  </w:tcMar>
                </w:tcPr>
                <w:p w14:paraId="70DDAC07" w14:textId="77777777" w:rsidR="00603604" w:rsidRDefault="00603604" w:rsidP="0007033B">
                  <w:pPr>
                    <w:pStyle w:val="TableColumnHeading"/>
                    <w:ind w:right="28"/>
                    <w:jc w:val="left"/>
                  </w:pPr>
                  <w:r>
                    <w:t>Funding source</w:t>
                  </w:r>
                </w:p>
              </w:tc>
            </w:tr>
            <w:tr w:rsidR="00603604" w14:paraId="70DDAC0B" w14:textId="77777777" w:rsidTr="0007033B">
              <w:tc>
                <w:tcPr>
                  <w:tcW w:w="2167" w:type="pct"/>
                  <w:tcBorders>
                    <w:top w:val="single" w:sz="6" w:space="0" w:color="BFBFBF"/>
                  </w:tcBorders>
                </w:tcPr>
                <w:p w14:paraId="70DDAC09" w14:textId="77777777" w:rsidR="00603604" w:rsidRDefault="00603604" w:rsidP="0007033B">
                  <w:pPr>
                    <w:pStyle w:val="TableUnitsRow"/>
                    <w:jc w:val="left"/>
                  </w:pPr>
                  <w:r>
                    <w:t>Farm Management Deposits Scheme</w:t>
                  </w:r>
                </w:p>
              </w:tc>
              <w:tc>
                <w:tcPr>
                  <w:tcW w:w="2833" w:type="pct"/>
                  <w:tcBorders>
                    <w:top w:val="single" w:sz="6" w:space="0" w:color="BFBFBF"/>
                  </w:tcBorders>
                </w:tcPr>
                <w:p w14:paraId="70DDAC0A" w14:textId="77777777" w:rsidR="00603604" w:rsidRDefault="00603604" w:rsidP="0007033B">
                  <w:pPr>
                    <w:pStyle w:val="TableUnitsRow"/>
                    <w:ind w:right="28"/>
                    <w:jc w:val="left"/>
                  </w:pPr>
                  <w:r w:rsidRPr="004F3DC5">
                    <w:t>Tax Expenditures Statement 2014 (B39), p.45.</w:t>
                  </w:r>
                </w:p>
              </w:tc>
            </w:tr>
            <w:tr w:rsidR="00603604" w14:paraId="70DDAC0E" w14:textId="77777777" w:rsidTr="0007033B">
              <w:tc>
                <w:tcPr>
                  <w:tcW w:w="2167" w:type="pct"/>
                  <w:vAlign w:val="center"/>
                </w:tcPr>
                <w:p w14:paraId="70DDAC0C" w14:textId="77777777" w:rsidR="00603604" w:rsidRPr="00252A02" w:rsidRDefault="00603604" w:rsidP="0007033B">
                  <w:pPr>
                    <w:pStyle w:val="TableBodyText"/>
                    <w:jc w:val="left"/>
                  </w:pPr>
                  <w:r w:rsidRPr="00252A02">
                    <w:t>Rural Financial Counselling Service</w:t>
                  </w:r>
                </w:p>
              </w:tc>
              <w:tc>
                <w:tcPr>
                  <w:tcW w:w="2833" w:type="pct"/>
                  <w:vAlign w:val="center"/>
                </w:tcPr>
                <w:p w14:paraId="70DDAC0D" w14:textId="77777777" w:rsidR="00603604" w:rsidRPr="004F3DC5" w:rsidRDefault="00603604" w:rsidP="0007033B">
                  <w:pPr>
                    <w:pStyle w:val="TableBodyText"/>
                    <w:jc w:val="left"/>
                  </w:pPr>
                  <w:r w:rsidRPr="004F3DC5">
                    <w:t>Department of Agricultur</w:t>
                  </w:r>
                  <w:r>
                    <w:t>e Annual Report 2013-14, p.139.</w:t>
                  </w:r>
                </w:p>
              </w:tc>
            </w:tr>
            <w:tr w:rsidR="00603604" w14:paraId="70DDAC11" w14:textId="77777777" w:rsidTr="0007033B">
              <w:tc>
                <w:tcPr>
                  <w:tcW w:w="2167" w:type="pct"/>
                  <w:vAlign w:val="center"/>
                </w:tcPr>
                <w:p w14:paraId="70DDAC0F" w14:textId="77777777" w:rsidR="00603604" w:rsidRPr="00252A02" w:rsidRDefault="00603604" w:rsidP="0007033B">
                  <w:pPr>
                    <w:pStyle w:val="TableBodyText"/>
                    <w:jc w:val="left"/>
                  </w:pPr>
                  <w:r w:rsidRPr="00252A02">
                    <w:t xml:space="preserve">Caring for our country </w:t>
                  </w:r>
                  <w:r>
                    <w:t>–</w:t>
                  </w:r>
                  <w:r w:rsidRPr="00252A02">
                    <w:t xml:space="preserve"> Landcare</w:t>
                  </w:r>
                </w:p>
              </w:tc>
              <w:tc>
                <w:tcPr>
                  <w:tcW w:w="2833" w:type="pct"/>
                  <w:vAlign w:val="center"/>
                </w:tcPr>
                <w:p w14:paraId="70DDAC10" w14:textId="77777777" w:rsidR="00603604" w:rsidRPr="004F3DC5" w:rsidRDefault="00603604" w:rsidP="0007033B">
                  <w:pPr>
                    <w:pStyle w:val="TableBodyText"/>
                    <w:jc w:val="left"/>
                  </w:pPr>
                  <w:r w:rsidRPr="004F3DC5">
                    <w:t xml:space="preserve">Department of Agriculture Annual Report 2013-14, p.134. </w:t>
                  </w:r>
                </w:p>
              </w:tc>
            </w:tr>
            <w:tr w:rsidR="00603604" w14:paraId="70DDAC14" w14:textId="77777777" w:rsidTr="0007033B">
              <w:tc>
                <w:tcPr>
                  <w:tcW w:w="2167" w:type="pct"/>
                  <w:vAlign w:val="center"/>
                </w:tcPr>
                <w:p w14:paraId="70DDAC12" w14:textId="77777777" w:rsidR="00603604" w:rsidRPr="00252A02" w:rsidRDefault="00603604" w:rsidP="0007033B">
                  <w:pPr>
                    <w:pStyle w:val="TableBodyText"/>
                    <w:jc w:val="left"/>
                  </w:pPr>
                  <w:r w:rsidRPr="00252A02">
                    <w:t>Live Animal Exports Business Assistance</w:t>
                  </w:r>
                </w:p>
              </w:tc>
              <w:tc>
                <w:tcPr>
                  <w:tcW w:w="2833" w:type="pct"/>
                  <w:vAlign w:val="center"/>
                </w:tcPr>
                <w:p w14:paraId="70DDAC13" w14:textId="77777777" w:rsidR="00603604" w:rsidRPr="004F3DC5" w:rsidRDefault="00603604" w:rsidP="0007033B">
                  <w:pPr>
                    <w:pStyle w:val="TableBodyText"/>
                    <w:jc w:val="left"/>
                  </w:pPr>
                  <w:r w:rsidRPr="004F3DC5">
                    <w:t>Department of Agriculture Annual Report 2013-14, p.137 and 139.</w:t>
                  </w:r>
                </w:p>
              </w:tc>
            </w:tr>
            <w:tr w:rsidR="00603604" w14:paraId="70DDAC17" w14:textId="77777777" w:rsidTr="0007033B">
              <w:tc>
                <w:tcPr>
                  <w:tcW w:w="2167" w:type="pct"/>
                  <w:vAlign w:val="center"/>
                </w:tcPr>
                <w:p w14:paraId="70DDAC15" w14:textId="77777777" w:rsidR="00603604" w:rsidRPr="00252A02" w:rsidRDefault="00603604" w:rsidP="0007033B">
                  <w:pPr>
                    <w:pStyle w:val="TableBodyText"/>
                    <w:jc w:val="left"/>
                  </w:pPr>
                  <w:r w:rsidRPr="00252A02">
                    <w:t>Carbon Farming Futures</w:t>
                  </w:r>
                </w:p>
              </w:tc>
              <w:tc>
                <w:tcPr>
                  <w:tcW w:w="2833" w:type="pct"/>
                  <w:vAlign w:val="center"/>
                </w:tcPr>
                <w:p w14:paraId="70DDAC16" w14:textId="77777777" w:rsidR="00603604" w:rsidRPr="004F3DC5" w:rsidRDefault="00603604" w:rsidP="0007033B">
                  <w:pPr>
                    <w:pStyle w:val="TableBodyText"/>
                    <w:jc w:val="left"/>
                  </w:pPr>
                  <w:r w:rsidRPr="004F3DC5">
                    <w:t>Science, Research and Innovation Budget Tables 2014-15, p.7 and 11.</w:t>
                  </w:r>
                </w:p>
              </w:tc>
            </w:tr>
            <w:tr w:rsidR="00603604" w14:paraId="70DDAC1A" w14:textId="77777777" w:rsidTr="0007033B">
              <w:tc>
                <w:tcPr>
                  <w:tcW w:w="2167" w:type="pct"/>
                  <w:vAlign w:val="center"/>
                </w:tcPr>
                <w:p w14:paraId="70DDAC18" w14:textId="77777777" w:rsidR="00603604" w:rsidRPr="00252A02" w:rsidRDefault="00603604" w:rsidP="0007033B">
                  <w:pPr>
                    <w:pStyle w:val="TableBodyText"/>
                    <w:jc w:val="left"/>
                  </w:pPr>
                  <w:r w:rsidRPr="00252A02">
                    <w:t>Carbon Farming Initiative</w:t>
                  </w:r>
                </w:p>
              </w:tc>
              <w:tc>
                <w:tcPr>
                  <w:tcW w:w="2833" w:type="pct"/>
                  <w:vAlign w:val="center"/>
                </w:tcPr>
                <w:p w14:paraId="70DDAC19" w14:textId="77777777" w:rsidR="00603604" w:rsidRPr="004F3DC5" w:rsidRDefault="00603604" w:rsidP="0007033B">
                  <w:pPr>
                    <w:pStyle w:val="TableBodyText"/>
                    <w:jc w:val="left"/>
                  </w:pPr>
                  <w:r w:rsidRPr="004F3DC5">
                    <w:t xml:space="preserve">Department of Agriculture Annual Report 2013-14, p.134. </w:t>
                  </w:r>
                </w:p>
              </w:tc>
            </w:tr>
            <w:tr w:rsidR="00603604" w14:paraId="70DDAC1D" w14:textId="77777777" w:rsidTr="0007033B">
              <w:tc>
                <w:tcPr>
                  <w:tcW w:w="2167" w:type="pct"/>
                  <w:vAlign w:val="center"/>
                </w:tcPr>
                <w:p w14:paraId="70DDAC1B" w14:textId="77777777" w:rsidR="00603604" w:rsidRPr="00252A02" w:rsidRDefault="00603604" w:rsidP="0007033B">
                  <w:pPr>
                    <w:pStyle w:val="TableBodyText"/>
                    <w:jc w:val="left"/>
                  </w:pPr>
                  <w:r w:rsidRPr="00252A02">
                    <w:t>Australian Animal Health Laboratory</w:t>
                  </w:r>
                </w:p>
              </w:tc>
              <w:tc>
                <w:tcPr>
                  <w:tcW w:w="2833" w:type="pct"/>
                  <w:vAlign w:val="center"/>
                </w:tcPr>
                <w:p w14:paraId="70DDAC1C" w14:textId="77777777" w:rsidR="00603604" w:rsidRPr="004F3DC5" w:rsidRDefault="00603604" w:rsidP="0007033B">
                  <w:pPr>
                    <w:pStyle w:val="TableBodyText"/>
                    <w:jc w:val="left"/>
                  </w:pPr>
                  <w:r w:rsidRPr="004F3DC5">
                    <w:t xml:space="preserve">Department of Agriculture Annual Report 2013-14, p.142. </w:t>
                  </w:r>
                </w:p>
              </w:tc>
            </w:tr>
            <w:tr w:rsidR="00603604" w14:paraId="70DDAC20" w14:textId="77777777" w:rsidTr="0007033B">
              <w:tc>
                <w:tcPr>
                  <w:tcW w:w="2167" w:type="pct"/>
                  <w:vAlign w:val="center"/>
                </w:tcPr>
                <w:p w14:paraId="70DDAC1E" w14:textId="77777777" w:rsidR="00603604" w:rsidRPr="00252A02" w:rsidRDefault="00603604" w:rsidP="0007033B">
                  <w:pPr>
                    <w:pStyle w:val="TableBodyText"/>
                    <w:jc w:val="left"/>
                  </w:pPr>
                  <w:r w:rsidRPr="00252A02">
                    <w:t>Exceptional Circumstances - relief payments</w:t>
                  </w:r>
                </w:p>
              </w:tc>
              <w:tc>
                <w:tcPr>
                  <w:tcW w:w="2833" w:type="pct"/>
                  <w:vAlign w:val="center"/>
                </w:tcPr>
                <w:p w14:paraId="70DDAC1F" w14:textId="77777777" w:rsidR="00603604" w:rsidRPr="004F3DC5" w:rsidRDefault="00603604" w:rsidP="0007033B">
                  <w:pPr>
                    <w:pStyle w:val="TableBodyText"/>
                    <w:jc w:val="left"/>
                  </w:pPr>
                  <w:r w:rsidRPr="004F3DC5">
                    <w:t>Department of Agriculture Annual Report 2013-14, p.142.</w:t>
                  </w:r>
                </w:p>
              </w:tc>
            </w:tr>
            <w:tr w:rsidR="00603604" w14:paraId="70DDAC23" w14:textId="77777777" w:rsidTr="0007033B">
              <w:tc>
                <w:tcPr>
                  <w:tcW w:w="2167" w:type="pct"/>
                  <w:vAlign w:val="center"/>
                </w:tcPr>
                <w:p w14:paraId="70DDAC21" w14:textId="77777777" w:rsidR="00603604" w:rsidRDefault="00603604" w:rsidP="0007033B">
                  <w:pPr>
                    <w:pStyle w:val="TableBodyText"/>
                    <w:jc w:val="left"/>
                  </w:pPr>
                  <w:r w:rsidRPr="00252A02">
                    <w:t>Fisheries Resources Research Fund</w:t>
                  </w:r>
                </w:p>
              </w:tc>
              <w:tc>
                <w:tcPr>
                  <w:tcW w:w="2833" w:type="pct"/>
                  <w:vAlign w:val="center"/>
                </w:tcPr>
                <w:p w14:paraId="70DDAC22" w14:textId="77777777" w:rsidR="00603604" w:rsidRDefault="00603604" w:rsidP="0007033B">
                  <w:pPr>
                    <w:pStyle w:val="TableBodyText"/>
                    <w:jc w:val="left"/>
                  </w:pPr>
                  <w:r w:rsidRPr="004F3DC5">
                    <w:t>Department of Agriculture Annual Report 2013-14, p.134.</w:t>
                  </w:r>
                </w:p>
              </w:tc>
            </w:tr>
            <w:tr w:rsidR="00603604" w14:paraId="70DDAC26" w14:textId="77777777" w:rsidTr="0007033B">
              <w:tc>
                <w:tcPr>
                  <w:tcW w:w="2167" w:type="pct"/>
                  <w:vAlign w:val="center"/>
                </w:tcPr>
                <w:p w14:paraId="70DDAC24" w14:textId="77777777" w:rsidR="00603604" w:rsidRPr="00A50292" w:rsidRDefault="00603604" w:rsidP="0007033B">
                  <w:pPr>
                    <w:pStyle w:val="TableBodyText"/>
                    <w:jc w:val="left"/>
                  </w:pPr>
                  <w:r w:rsidRPr="00A50292">
                    <w:t>Egg Research and Development</w:t>
                  </w:r>
                </w:p>
              </w:tc>
              <w:tc>
                <w:tcPr>
                  <w:tcW w:w="2833" w:type="pct"/>
                  <w:vAlign w:val="center"/>
                </w:tcPr>
                <w:p w14:paraId="70DDAC25" w14:textId="77777777" w:rsidR="00603604" w:rsidRPr="000648AC" w:rsidRDefault="00603604" w:rsidP="0007033B">
                  <w:pPr>
                    <w:pStyle w:val="TableBodyText"/>
                    <w:jc w:val="left"/>
                  </w:pPr>
                  <w:r w:rsidRPr="000648AC">
                    <w:t xml:space="preserve">Australian Egg Corporation Annual Report 2013-14, p.14.  </w:t>
                  </w:r>
                </w:p>
              </w:tc>
            </w:tr>
            <w:tr w:rsidR="00603604" w14:paraId="70DDAC29" w14:textId="77777777" w:rsidTr="0007033B">
              <w:tc>
                <w:tcPr>
                  <w:tcW w:w="2167" w:type="pct"/>
                  <w:vAlign w:val="center"/>
                </w:tcPr>
                <w:p w14:paraId="70DDAC27" w14:textId="77777777" w:rsidR="00603604" w:rsidRPr="00A50292" w:rsidRDefault="00603604" w:rsidP="0007033B">
                  <w:pPr>
                    <w:pStyle w:val="TableBodyText"/>
                    <w:jc w:val="left"/>
                  </w:pPr>
                  <w:r w:rsidRPr="00A50292">
                    <w:t>Pig Research and Development</w:t>
                  </w:r>
                </w:p>
              </w:tc>
              <w:tc>
                <w:tcPr>
                  <w:tcW w:w="2833" w:type="pct"/>
                  <w:vAlign w:val="center"/>
                </w:tcPr>
                <w:p w14:paraId="70DDAC28" w14:textId="77777777" w:rsidR="00603604" w:rsidRPr="000648AC" w:rsidRDefault="00603604" w:rsidP="0007033B">
                  <w:pPr>
                    <w:pStyle w:val="TableBodyText"/>
                    <w:jc w:val="left"/>
                  </w:pPr>
                  <w:r w:rsidRPr="000648AC">
                    <w:t xml:space="preserve">Australian Pork Annual Report 2013-14, p.89. </w:t>
                  </w:r>
                </w:p>
              </w:tc>
            </w:tr>
            <w:tr w:rsidR="00603604" w14:paraId="70DDAC2C" w14:textId="77777777" w:rsidTr="0007033B">
              <w:tc>
                <w:tcPr>
                  <w:tcW w:w="2167" w:type="pct"/>
                  <w:vAlign w:val="center"/>
                </w:tcPr>
                <w:p w14:paraId="70DDAC2A" w14:textId="77777777" w:rsidR="00603604" w:rsidRPr="00A50292" w:rsidRDefault="00603604" w:rsidP="0007033B">
                  <w:pPr>
                    <w:pStyle w:val="TableBodyText"/>
                    <w:jc w:val="left"/>
                  </w:pPr>
                  <w:r w:rsidRPr="00A50292">
                    <w:t>Wool Research and Development</w:t>
                  </w:r>
                </w:p>
              </w:tc>
              <w:tc>
                <w:tcPr>
                  <w:tcW w:w="2833" w:type="pct"/>
                  <w:vAlign w:val="center"/>
                </w:tcPr>
                <w:p w14:paraId="70DDAC2B" w14:textId="77777777" w:rsidR="00603604" w:rsidRPr="000648AC" w:rsidRDefault="00603604" w:rsidP="0007033B">
                  <w:pPr>
                    <w:pStyle w:val="TableBodyText"/>
                    <w:jc w:val="left"/>
                  </w:pPr>
                  <w:r w:rsidRPr="000648AC">
                    <w:t>Australian Wool Innovation Annual Report 2013-14, p.76.</w:t>
                  </w:r>
                </w:p>
              </w:tc>
            </w:tr>
            <w:tr w:rsidR="00603604" w14:paraId="70DDAC2F" w14:textId="77777777" w:rsidTr="0007033B">
              <w:tc>
                <w:tcPr>
                  <w:tcW w:w="2167" w:type="pct"/>
                  <w:vAlign w:val="center"/>
                </w:tcPr>
                <w:p w14:paraId="70DDAC2D" w14:textId="77777777" w:rsidR="00603604" w:rsidRPr="00A50292" w:rsidRDefault="00603604" w:rsidP="0007033B">
                  <w:pPr>
                    <w:pStyle w:val="TableBodyText"/>
                    <w:jc w:val="left"/>
                  </w:pPr>
                  <w:r w:rsidRPr="00A50292">
                    <w:t>Cotton Research and Development</w:t>
                  </w:r>
                </w:p>
              </w:tc>
              <w:tc>
                <w:tcPr>
                  <w:tcW w:w="2833" w:type="pct"/>
                  <w:vAlign w:val="center"/>
                </w:tcPr>
                <w:p w14:paraId="70DDAC2E" w14:textId="77777777" w:rsidR="00603604" w:rsidRPr="000648AC" w:rsidRDefault="00603604" w:rsidP="0007033B">
                  <w:pPr>
                    <w:pStyle w:val="TableBodyText"/>
                    <w:jc w:val="left"/>
                  </w:pPr>
                  <w:r w:rsidRPr="000648AC">
                    <w:t>Cotton Research &amp; Development Annual Report 2013-14, p.89.</w:t>
                  </w:r>
                </w:p>
              </w:tc>
            </w:tr>
            <w:tr w:rsidR="00603604" w14:paraId="70DDAC32" w14:textId="77777777" w:rsidTr="0007033B">
              <w:tc>
                <w:tcPr>
                  <w:tcW w:w="2167" w:type="pct"/>
                  <w:vAlign w:val="center"/>
                </w:tcPr>
                <w:p w14:paraId="70DDAC30" w14:textId="77777777" w:rsidR="00603604" w:rsidRPr="00A50292" w:rsidRDefault="00603604" w:rsidP="0007033B">
                  <w:pPr>
                    <w:pStyle w:val="TableBodyText"/>
                    <w:jc w:val="left"/>
                  </w:pPr>
                  <w:r w:rsidRPr="00A50292">
                    <w:t xml:space="preserve">Dairy Research and Development </w:t>
                  </w:r>
                </w:p>
              </w:tc>
              <w:tc>
                <w:tcPr>
                  <w:tcW w:w="2833" w:type="pct"/>
                  <w:vAlign w:val="center"/>
                </w:tcPr>
                <w:p w14:paraId="70DDAC31" w14:textId="77777777" w:rsidR="00603604" w:rsidRPr="000648AC" w:rsidRDefault="00603604" w:rsidP="0007033B">
                  <w:pPr>
                    <w:pStyle w:val="TableBodyText"/>
                    <w:jc w:val="left"/>
                  </w:pPr>
                  <w:r w:rsidRPr="000648AC">
                    <w:t xml:space="preserve">Dairy Australia Annual Report 2013-14, p.78. </w:t>
                  </w:r>
                </w:p>
              </w:tc>
            </w:tr>
            <w:tr w:rsidR="00603604" w14:paraId="70DDAC35" w14:textId="77777777" w:rsidTr="0007033B">
              <w:tc>
                <w:tcPr>
                  <w:tcW w:w="2167" w:type="pct"/>
                  <w:vAlign w:val="center"/>
                </w:tcPr>
                <w:p w14:paraId="70DDAC33" w14:textId="77777777" w:rsidR="00603604" w:rsidRPr="00A50292" w:rsidRDefault="00603604" w:rsidP="0007033B">
                  <w:pPr>
                    <w:pStyle w:val="TableBodyText"/>
                    <w:jc w:val="left"/>
                  </w:pPr>
                  <w:r w:rsidRPr="00A50292">
                    <w:t>Fisheries Research and Development</w:t>
                  </w:r>
                </w:p>
              </w:tc>
              <w:tc>
                <w:tcPr>
                  <w:tcW w:w="2833" w:type="pct"/>
                  <w:vAlign w:val="center"/>
                </w:tcPr>
                <w:p w14:paraId="70DDAC34" w14:textId="77777777" w:rsidR="00603604" w:rsidRPr="000648AC" w:rsidRDefault="00603604" w:rsidP="0007033B">
                  <w:pPr>
                    <w:pStyle w:val="TableBodyText"/>
                    <w:jc w:val="left"/>
                  </w:pPr>
                  <w:r w:rsidRPr="000648AC">
                    <w:t xml:space="preserve">Fisheries Research &amp; Development Annual Report 2013-14, p.108. </w:t>
                  </w:r>
                </w:p>
              </w:tc>
            </w:tr>
            <w:tr w:rsidR="00603604" w14:paraId="70DDAC38" w14:textId="77777777" w:rsidTr="0007033B">
              <w:tc>
                <w:tcPr>
                  <w:tcW w:w="2167" w:type="pct"/>
                  <w:vAlign w:val="center"/>
                </w:tcPr>
                <w:p w14:paraId="70DDAC36" w14:textId="77777777" w:rsidR="00603604" w:rsidRPr="00A50292" w:rsidRDefault="00603604" w:rsidP="0007033B">
                  <w:pPr>
                    <w:pStyle w:val="TableBodyText"/>
                    <w:jc w:val="left"/>
                  </w:pPr>
                  <w:r w:rsidRPr="00A50292">
                    <w:t>Forest and Wood Products Research and Development</w:t>
                  </w:r>
                </w:p>
              </w:tc>
              <w:tc>
                <w:tcPr>
                  <w:tcW w:w="2833" w:type="pct"/>
                  <w:vAlign w:val="center"/>
                </w:tcPr>
                <w:p w14:paraId="70DDAC37" w14:textId="77777777" w:rsidR="00603604" w:rsidRPr="000648AC" w:rsidRDefault="00603604" w:rsidP="0007033B">
                  <w:pPr>
                    <w:pStyle w:val="TableBodyText"/>
                    <w:jc w:val="left"/>
                  </w:pPr>
                  <w:r w:rsidRPr="000648AC">
                    <w:t>Forest &amp; Wood Products Annual Report 2013-14, p.91.</w:t>
                  </w:r>
                </w:p>
              </w:tc>
            </w:tr>
            <w:tr w:rsidR="00603604" w14:paraId="70DDAC3B" w14:textId="77777777" w:rsidTr="0007033B">
              <w:tc>
                <w:tcPr>
                  <w:tcW w:w="2167" w:type="pct"/>
                  <w:vAlign w:val="center"/>
                </w:tcPr>
                <w:p w14:paraId="70DDAC39" w14:textId="77777777" w:rsidR="00603604" w:rsidRPr="00A50292" w:rsidRDefault="00603604" w:rsidP="0007033B">
                  <w:pPr>
                    <w:pStyle w:val="TableBodyText"/>
                    <w:jc w:val="left"/>
                  </w:pPr>
                  <w:r w:rsidRPr="00A50292">
                    <w:t>Grains Research and Development</w:t>
                  </w:r>
                </w:p>
              </w:tc>
              <w:tc>
                <w:tcPr>
                  <w:tcW w:w="2833" w:type="pct"/>
                  <w:vAlign w:val="center"/>
                </w:tcPr>
                <w:p w14:paraId="70DDAC3A" w14:textId="77777777" w:rsidR="00603604" w:rsidRPr="000648AC" w:rsidRDefault="00603604" w:rsidP="0007033B">
                  <w:pPr>
                    <w:pStyle w:val="TableBodyText"/>
                    <w:jc w:val="left"/>
                  </w:pPr>
                  <w:r w:rsidRPr="000648AC">
                    <w:t xml:space="preserve">Grains Research and Development Annual Report 2013-14, p.118. </w:t>
                  </w:r>
                </w:p>
              </w:tc>
            </w:tr>
            <w:tr w:rsidR="00603604" w14:paraId="70DDAC3E" w14:textId="77777777" w:rsidTr="0007033B">
              <w:tc>
                <w:tcPr>
                  <w:tcW w:w="2167" w:type="pct"/>
                  <w:vAlign w:val="center"/>
                </w:tcPr>
                <w:p w14:paraId="70DDAC3C" w14:textId="77777777" w:rsidR="00603604" w:rsidRPr="00A50292" w:rsidRDefault="00603604" w:rsidP="0007033B">
                  <w:pPr>
                    <w:pStyle w:val="TableBodyText"/>
                    <w:jc w:val="left"/>
                  </w:pPr>
                  <w:r w:rsidRPr="00A50292">
                    <w:t>Grape and Wine  Research and Development</w:t>
                  </w:r>
                </w:p>
              </w:tc>
              <w:tc>
                <w:tcPr>
                  <w:tcW w:w="2833" w:type="pct"/>
                  <w:vAlign w:val="center"/>
                </w:tcPr>
                <w:p w14:paraId="70DDAC3D" w14:textId="77777777" w:rsidR="00603604" w:rsidRPr="000648AC" w:rsidRDefault="00603604" w:rsidP="0007033B">
                  <w:pPr>
                    <w:pStyle w:val="TableBodyText"/>
                    <w:jc w:val="left"/>
                  </w:pPr>
                  <w:r w:rsidRPr="000648AC">
                    <w:t xml:space="preserve">Grape and Wine Research &amp; Development Annual Report 2013-14, p.81.  </w:t>
                  </w:r>
                </w:p>
              </w:tc>
            </w:tr>
            <w:tr w:rsidR="00603604" w14:paraId="70DDAC41" w14:textId="77777777" w:rsidTr="0007033B">
              <w:tc>
                <w:tcPr>
                  <w:tcW w:w="2167" w:type="pct"/>
                  <w:vAlign w:val="center"/>
                </w:tcPr>
                <w:p w14:paraId="70DDAC3F" w14:textId="77777777" w:rsidR="00603604" w:rsidRDefault="00603604" w:rsidP="0007033B">
                  <w:pPr>
                    <w:pStyle w:val="TableBodyText"/>
                    <w:jc w:val="left"/>
                  </w:pPr>
                  <w:r w:rsidRPr="00A50292">
                    <w:t>Horticulture Research and Development</w:t>
                  </w:r>
                </w:p>
              </w:tc>
              <w:tc>
                <w:tcPr>
                  <w:tcW w:w="2833" w:type="pct"/>
                  <w:vAlign w:val="center"/>
                </w:tcPr>
                <w:p w14:paraId="70DDAC40" w14:textId="77777777" w:rsidR="00603604" w:rsidRDefault="00603604" w:rsidP="0007033B">
                  <w:pPr>
                    <w:pStyle w:val="TableBodyText"/>
                    <w:jc w:val="left"/>
                  </w:pPr>
                  <w:r w:rsidRPr="000648AC">
                    <w:t xml:space="preserve">Horticulture Australia Annual Report 2013-14, p.108. </w:t>
                  </w:r>
                </w:p>
              </w:tc>
            </w:tr>
            <w:tr w:rsidR="00603604" w14:paraId="70DDAC44" w14:textId="77777777" w:rsidTr="0007033B">
              <w:tc>
                <w:tcPr>
                  <w:tcW w:w="2167" w:type="pct"/>
                  <w:vAlign w:val="center"/>
                </w:tcPr>
                <w:p w14:paraId="70DDAC42" w14:textId="77777777" w:rsidR="00603604" w:rsidRPr="00626D3B" w:rsidRDefault="00603604" w:rsidP="0007033B">
                  <w:pPr>
                    <w:pStyle w:val="TableBodyText"/>
                    <w:jc w:val="left"/>
                  </w:pPr>
                  <w:r w:rsidRPr="00626D3B">
                    <w:t>Meat and Livestock Research and Development</w:t>
                  </w:r>
                </w:p>
              </w:tc>
              <w:tc>
                <w:tcPr>
                  <w:tcW w:w="2833" w:type="pct"/>
                  <w:vAlign w:val="center"/>
                </w:tcPr>
                <w:p w14:paraId="70DDAC43" w14:textId="77777777" w:rsidR="00603604" w:rsidRPr="00BA5C95" w:rsidRDefault="00603604" w:rsidP="0007033B">
                  <w:pPr>
                    <w:pStyle w:val="TableBodyText"/>
                    <w:jc w:val="left"/>
                  </w:pPr>
                  <w:r w:rsidRPr="00BA5C95">
                    <w:t xml:space="preserve">Meat and Livestock Australia Annual Report 2013-14, p.69. </w:t>
                  </w:r>
                </w:p>
              </w:tc>
            </w:tr>
            <w:tr w:rsidR="00603604" w14:paraId="70DDAC47" w14:textId="77777777" w:rsidTr="0007033B">
              <w:tc>
                <w:tcPr>
                  <w:tcW w:w="2167" w:type="pct"/>
                  <w:vAlign w:val="center"/>
                </w:tcPr>
                <w:p w14:paraId="70DDAC45" w14:textId="77777777" w:rsidR="00603604" w:rsidRPr="00626D3B" w:rsidRDefault="00603604" w:rsidP="0007033B">
                  <w:pPr>
                    <w:pStyle w:val="TableBodyText"/>
                    <w:jc w:val="left"/>
                  </w:pPr>
                  <w:r w:rsidRPr="00626D3B">
                    <w:t>Rural Industries Research and Development</w:t>
                  </w:r>
                </w:p>
              </w:tc>
              <w:tc>
                <w:tcPr>
                  <w:tcW w:w="2833" w:type="pct"/>
                  <w:vAlign w:val="center"/>
                </w:tcPr>
                <w:p w14:paraId="70DDAC46" w14:textId="77777777" w:rsidR="00603604" w:rsidRPr="00BA5C95" w:rsidRDefault="00603604" w:rsidP="0007033B">
                  <w:pPr>
                    <w:pStyle w:val="TableBodyText"/>
                    <w:jc w:val="left"/>
                  </w:pPr>
                  <w:r w:rsidRPr="00BA5C95">
                    <w:t xml:space="preserve">Rural Industries Research &amp; Development Annual Report 2013-14, p.116.  </w:t>
                  </w:r>
                </w:p>
              </w:tc>
            </w:tr>
            <w:tr w:rsidR="00603604" w14:paraId="70DDAC4A" w14:textId="77777777" w:rsidTr="0007033B">
              <w:tc>
                <w:tcPr>
                  <w:tcW w:w="2167" w:type="pct"/>
                  <w:vAlign w:val="center"/>
                </w:tcPr>
                <w:p w14:paraId="70DDAC48" w14:textId="77777777" w:rsidR="00603604" w:rsidRPr="00626D3B" w:rsidRDefault="00603604" w:rsidP="0007033B">
                  <w:pPr>
                    <w:pStyle w:val="TableBodyText"/>
                    <w:jc w:val="left"/>
                  </w:pPr>
                  <w:r w:rsidRPr="00626D3B">
                    <w:t>Sugar Research and Development</w:t>
                  </w:r>
                </w:p>
              </w:tc>
              <w:tc>
                <w:tcPr>
                  <w:tcW w:w="2833" w:type="pct"/>
                  <w:vAlign w:val="center"/>
                </w:tcPr>
                <w:p w14:paraId="70DDAC49" w14:textId="77777777" w:rsidR="00603604" w:rsidRPr="00BA5C95" w:rsidRDefault="00603604" w:rsidP="0007033B">
                  <w:pPr>
                    <w:pStyle w:val="TableBodyText"/>
                    <w:jc w:val="left"/>
                  </w:pPr>
                  <w:r w:rsidRPr="00BA5C95">
                    <w:t>Sugar Research &amp; Development Annual Report 2013-14, p.50.</w:t>
                  </w:r>
                </w:p>
              </w:tc>
            </w:tr>
            <w:tr w:rsidR="00603604" w14:paraId="70DDAC4D" w14:textId="77777777" w:rsidTr="0007033B">
              <w:tc>
                <w:tcPr>
                  <w:tcW w:w="2167" w:type="pct"/>
                  <w:vAlign w:val="center"/>
                </w:tcPr>
                <w:p w14:paraId="70DDAC4B" w14:textId="77777777" w:rsidR="00603604" w:rsidRPr="00626D3B" w:rsidRDefault="00603604" w:rsidP="0007033B">
                  <w:pPr>
                    <w:pStyle w:val="TableBodyText"/>
                    <w:jc w:val="left"/>
                  </w:pPr>
                  <w:r w:rsidRPr="00626D3B">
                    <w:t>Income tax averaging provisions</w:t>
                  </w:r>
                </w:p>
              </w:tc>
              <w:tc>
                <w:tcPr>
                  <w:tcW w:w="2833" w:type="pct"/>
                  <w:vAlign w:val="center"/>
                </w:tcPr>
                <w:p w14:paraId="70DDAC4C" w14:textId="77777777" w:rsidR="00603604" w:rsidRPr="00BA5C95" w:rsidRDefault="00603604" w:rsidP="0007033B">
                  <w:pPr>
                    <w:pStyle w:val="TableBodyText"/>
                    <w:jc w:val="left"/>
                  </w:pPr>
                  <w:r w:rsidRPr="00BA5C95">
                    <w:t>Tax Expenditures Statement 2014 (B40), p.45 (Category 3+ (range $100</w:t>
                  </w:r>
                  <w:r>
                    <w:t xml:space="preserve"> </w:t>
                  </w:r>
                  <w:r w:rsidRPr="00BA5C95">
                    <w:t>m</w:t>
                  </w:r>
                  <w:r>
                    <w:t>illion</w:t>
                  </w:r>
                  <w:r w:rsidRPr="00BA5C95">
                    <w:t xml:space="preserve"> to $1</w:t>
                  </w:r>
                  <w:r>
                    <w:t> </w:t>
                  </w:r>
                  <w:r w:rsidRPr="00BA5C95">
                    <w:t>000</w:t>
                  </w:r>
                  <w:r>
                    <w:t xml:space="preserve"> </w:t>
                  </w:r>
                  <w:r w:rsidRPr="00BA5C95">
                    <w:t>m</w:t>
                  </w:r>
                  <w:r>
                    <w:t>illion</w:t>
                  </w:r>
                  <w:r w:rsidRPr="00BA5C95">
                    <w:t>).  Have set equal to 2012-13 TES estimate).</w:t>
                  </w:r>
                </w:p>
              </w:tc>
            </w:tr>
            <w:tr w:rsidR="00603604" w14:paraId="70DDAC50" w14:textId="77777777" w:rsidTr="0007033B">
              <w:tc>
                <w:tcPr>
                  <w:tcW w:w="2167" w:type="pct"/>
                  <w:vAlign w:val="center"/>
                </w:tcPr>
                <w:p w14:paraId="70DDAC4E" w14:textId="77777777" w:rsidR="00603604" w:rsidRPr="00626D3B" w:rsidRDefault="00603604" w:rsidP="0007033B">
                  <w:pPr>
                    <w:pStyle w:val="TableBodyText"/>
                    <w:jc w:val="left"/>
                  </w:pPr>
                  <w:r w:rsidRPr="00626D3B">
                    <w:t>Australian Wine Industry Support</w:t>
                  </w:r>
                </w:p>
              </w:tc>
              <w:tc>
                <w:tcPr>
                  <w:tcW w:w="2833" w:type="pct"/>
                  <w:vAlign w:val="center"/>
                </w:tcPr>
                <w:p w14:paraId="70DDAC4F" w14:textId="77777777" w:rsidR="00603604" w:rsidRPr="00BA5C95" w:rsidRDefault="00603604" w:rsidP="0007033B">
                  <w:pPr>
                    <w:pStyle w:val="TableBodyText"/>
                    <w:jc w:val="left"/>
                  </w:pPr>
                  <w:r w:rsidRPr="00BA5C95">
                    <w:t>Department of Agriculture Annual Report 2013-14, p.137.</w:t>
                  </w:r>
                </w:p>
              </w:tc>
            </w:tr>
            <w:tr w:rsidR="00603604" w14:paraId="70DDAC53" w14:textId="77777777" w:rsidTr="0007033B">
              <w:tc>
                <w:tcPr>
                  <w:tcW w:w="2167" w:type="pct"/>
                  <w:vAlign w:val="center"/>
                </w:tcPr>
                <w:p w14:paraId="70DDAC51" w14:textId="77777777" w:rsidR="00603604" w:rsidRPr="00626D3B" w:rsidRDefault="00603604" w:rsidP="0007033B">
                  <w:pPr>
                    <w:pStyle w:val="TableBodyText"/>
                    <w:jc w:val="left"/>
                  </w:pPr>
                  <w:r w:rsidRPr="00626D3B">
                    <w:t>Wine Australia Corporation</w:t>
                  </w:r>
                </w:p>
              </w:tc>
              <w:tc>
                <w:tcPr>
                  <w:tcW w:w="2833" w:type="pct"/>
                  <w:vAlign w:val="center"/>
                </w:tcPr>
                <w:p w14:paraId="70DDAC52" w14:textId="77777777" w:rsidR="00603604" w:rsidRPr="00BA5C95" w:rsidRDefault="00603604" w:rsidP="0007033B">
                  <w:pPr>
                    <w:pStyle w:val="TableBodyText"/>
                    <w:jc w:val="left"/>
                  </w:pPr>
                  <w:r w:rsidRPr="00BA5C95">
                    <w:t xml:space="preserve">Department of Agriculture Annual Report 2013-14, p.138. </w:t>
                  </w:r>
                </w:p>
              </w:tc>
            </w:tr>
            <w:tr w:rsidR="00603604" w14:paraId="70DDAC56" w14:textId="77777777" w:rsidTr="0007033B">
              <w:tc>
                <w:tcPr>
                  <w:tcW w:w="2167" w:type="pct"/>
                  <w:vAlign w:val="center"/>
                </w:tcPr>
                <w:p w14:paraId="70DDAC54" w14:textId="77777777" w:rsidR="00603604" w:rsidRPr="00626D3B" w:rsidRDefault="00603604" w:rsidP="0007033B">
                  <w:pPr>
                    <w:pStyle w:val="TableBodyText"/>
                    <w:jc w:val="left"/>
                  </w:pPr>
                  <w:r w:rsidRPr="00626D3B">
                    <w:t>Screen Australia</w:t>
                  </w:r>
                </w:p>
              </w:tc>
              <w:tc>
                <w:tcPr>
                  <w:tcW w:w="2833" w:type="pct"/>
                  <w:vAlign w:val="center"/>
                </w:tcPr>
                <w:p w14:paraId="70DDAC55" w14:textId="77777777" w:rsidR="00603604" w:rsidRPr="00BA5C95" w:rsidRDefault="00603604" w:rsidP="0007033B">
                  <w:pPr>
                    <w:pStyle w:val="TableBodyText"/>
                    <w:jc w:val="left"/>
                  </w:pPr>
                  <w:r w:rsidRPr="00BA5C95">
                    <w:t xml:space="preserve">Screen Australia Annual Report 2013-14, p.149. </w:t>
                  </w:r>
                </w:p>
              </w:tc>
            </w:tr>
            <w:tr w:rsidR="00603604" w14:paraId="70DDAC59" w14:textId="77777777" w:rsidTr="0007033B">
              <w:tc>
                <w:tcPr>
                  <w:tcW w:w="2167" w:type="pct"/>
                  <w:vAlign w:val="center"/>
                </w:tcPr>
                <w:p w14:paraId="70DDAC57" w14:textId="77777777" w:rsidR="00603604" w:rsidRPr="00626D3B" w:rsidRDefault="00603604" w:rsidP="0007033B">
                  <w:pPr>
                    <w:pStyle w:val="TableBodyText"/>
                    <w:jc w:val="left"/>
                  </w:pPr>
                  <w:r w:rsidRPr="00626D3B">
                    <w:t>Film industry offsets</w:t>
                  </w:r>
                </w:p>
              </w:tc>
              <w:tc>
                <w:tcPr>
                  <w:tcW w:w="2833" w:type="pct"/>
                  <w:vAlign w:val="center"/>
                </w:tcPr>
                <w:p w14:paraId="70DDAC58" w14:textId="77777777" w:rsidR="00603604" w:rsidRPr="00BA5C95" w:rsidRDefault="00603604" w:rsidP="0007033B">
                  <w:pPr>
                    <w:pStyle w:val="TableBodyText"/>
                    <w:jc w:val="left"/>
                  </w:pPr>
                  <w:r w:rsidRPr="00BA5C95">
                    <w:t xml:space="preserve">Commissioner of Taxation Annual Report, p.84.  </w:t>
                  </w:r>
                </w:p>
              </w:tc>
            </w:tr>
            <w:tr w:rsidR="00603604" w14:paraId="70DDAC5C" w14:textId="77777777" w:rsidTr="0007033B">
              <w:tc>
                <w:tcPr>
                  <w:tcW w:w="2167" w:type="pct"/>
                  <w:vAlign w:val="center"/>
                </w:tcPr>
                <w:p w14:paraId="70DDAC5A" w14:textId="77777777" w:rsidR="00603604" w:rsidRPr="00626D3B" w:rsidRDefault="00603604" w:rsidP="0007033B">
                  <w:pPr>
                    <w:pStyle w:val="TableBodyText"/>
                    <w:jc w:val="left"/>
                  </w:pPr>
                  <w:r w:rsidRPr="00626D3B">
                    <w:t>Exemption of film tax offset payments</w:t>
                  </w:r>
                </w:p>
              </w:tc>
              <w:tc>
                <w:tcPr>
                  <w:tcW w:w="2833" w:type="pct"/>
                  <w:vAlign w:val="center"/>
                </w:tcPr>
                <w:p w14:paraId="70DDAC5B" w14:textId="77777777" w:rsidR="00603604" w:rsidRPr="00BA5C95" w:rsidRDefault="00603604" w:rsidP="0007033B">
                  <w:pPr>
                    <w:pStyle w:val="TableBodyText"/>
                    <w:jc w:val="left"/>
                  </w:pPr>
                  <w:r w:rsidRPr="00BA5C95">
                    <w:t xml:space="preserve">Tax Expenditures Statement 2014 (B32), p.42.  </w:t>
                  </w:r>
                </w:p>
              </w:tc>
            </w:tr>
            <w:tr w:rsidR="00603604" w14:paraId="70DDAC5F" w14:textId="77777777" w:rsidTr="00AD7348">
              <w:tc>
                <w:tcPr>
                  <w:tcW w:w="2167" w:type="pct"/>
                  <w:vAlign w:val="center"/>
                </w:tcPr>
                <w:p w14:paraId="70DDAC5D" w14:textId="77777777" w:rsidR="00603604" w:rsidRDefault="00603604" w:rsidP="0007033B">
                  <w:pPr>
                    <w:pStyle w:val="TableBodyText"/>
                    <w:jc w:val="left"/>
                  </w:pPr>
                  <w:r w:rsidRPr="00626D3B">
                    <w:t>Tax incentives for film investment</w:t>
                  </w:r>
                </w:p>
              </w:tc>
              <w:tc>
                <w:tcPr>
                  <w:tcW w:w="2833" w:type="pct"/>
                  <w:vAlign w:val="center"/>
                </w:tcPr>
                <w:p w14:paraId="70DDAC5E" w14:textId="77777777" w:rsidR="00603604" w:rsidRDefault="00603604" w:rsidP="0007033B">
                  <w:pPr>
                    <w:pStyle w:val="TableBodyText"/>
                    <w:jc w:val="left"/>
                  </w:pPr>
                  <w:r w:rsidRPr="00BA5C95">
                    <w:t xml:space="preserve">Tax Expenditures Statement 2013, B74, p.81.  </w:t>
                  </w:r>
                </w:p>
              </w:tc>
            </w:tr>
            <w:tr w:rsidR="00603604" w:rsidRPr="001F17BE" w14:paraId="70DDAC62" w14:textId="77777777" w:rsidTr="00AD7348">
              <w:tc>
                <w:tcPr>
                  <w:tcW w:w="2167" w:type="pct"/>
                  <w:tcBorders>
                    <w:bottom w:val="single" w:sz="4" w:space="0" w:color="BFBFBF"/>
                  </w:tcBorders>
                  <w:shd w:val="clear" w:color="auto" w:fill="auto"/>
                  <w:vAlign w:val="center"/>
                </w:tcPr>
                <w:p w14:paraId="70DDAC60" w14:textId="77777777" w:rsidR="00603604" w:rsidRPr="001F17BE" w:rsidRDefault="00603604" w:rsidP="0007033B">
                  <w:pPr>
                    <w:pStyle w:val="TableBodyText"/>
                    <w:jc w:val="left"/>
                  </w:pPr>
                  <w:r>
                    <w:t>Community Broadcasting Program</w:t>
                  </w:r>
                </w:p>
              </w:tc>
              <w:tc>
                <w:tcPr>
                  <w:tcW w:w="2833" w:type="pct"/>
                  <w:tcBorders>
                    <w:bottom w:val="single" w:sz="4" w:space="0" w:color="BFBFBF"/>
                  </w:tcBorders>
                  <w:shd w:val="clear" w:color="auto" w:fill="auto"/>
                  <w:vAlign w:val="center"/>
                </w:tcPr>
                <w:p w14:paraId="70DDAC61" w14:textId="77777777" w:rsidR="00603604" w:rsidRPr="001F17BE" w:rsidRDefault="00603604" w:rsidP="0007033B">
                  <w:pPr>
                    <w:pStyle w:val="TableBodyText"/>
                    <w:jc w:val="left"/>
                  </w:pPr>
                  <w:r w:rsidRPr="001F17BE">
                    <w:t>Department of</w:t>
                  </w:r>
                  <w:r>
                    <w:t xml:space="preserve"> </w:t>
                  </w:r>
                  <w:r w:rsidRPr="00AD6F5A">
                    <w:t>Communication</w:t>
                  </w:r>
                  <w:r>
                    <w:t>s Annual Report 2013-14, p.50</w:t>
                  </w:r>
                  <w:r w:rsidRPr="001F17BE">
                    <w:t>.</w:t>
                  </w:r>
                </w:p>
              </w:tc>
            </w:tr>
          </w:tbl>
          <w:p w14:paraId="70DDAC63" w14:textId="77777777" w:rsidR="00603604" w:rsidRDefault="00603604" w:rsidP="0007033B">
            <w:pPr>
              <w:pStyle w:val="Box"/>
            </w:pPr>
          </w:p>
        </w:tc>
      </w:tr>
      <w:tr w:rsidR="00603604" w14:paraId="70DDAC66" w14:textId="77777777" w:rsidTr="00D450C5">
        <w:tc>
          <w:tcPr>
            <w:tcW w:w="5000" w:type="pct"/>
            <w:tcBorders>
              <w:top w:val="nil"/>
              <w:left w:val="nil"/>
              <w:bottom w:val="nil"/>
              <w:right w:val="nil"/>
            </w:tcBorders>
            <w:shd w:val="clear" w:color="auto" w:fill="auto"/>
          </w:tcPr>
          <w:p w14:paraId="70DDAC65" w14:textId="77777777" w:rsidR="00603604" w:rsidRDefault="00603604" w:rsidP="0007033B">
            <w:pPr>
              <w:pStyle w:val="Source"/>
              <w:jc w:val="right"/>
            </w:pPr>
            <w:r>
              <w:t>(continued next page)</w:t>
            </w:r>
          </w:p>
        </w:tc>
      </w:tr>
      <w:tr w:rsidR="00603604" w14:paraId="70DDAC68" w14:textId="77777777" w:rsidTr="00D450C5">
        <w:tc>
          <w:tcPr>
            <w:tcW w:w="5000" w:type="pct"/>
            <w:tcBorders>
              <w:top w:val="nil"/>
              <w:left w:val="nil"/>
              <w:bottom w:val="single" w:sz="6" w:space="0" w:color="78A22F"/>
              <w:right w:val="nil"/>
            </w:tcBorders>
            <w:shd w:val="clear" w:color="auto" w:fill="auto"/>
          </w:tcPr>
          <w:p w14:paraId="70DDAC67" w14:textId="77777777" w:rsidR="00603604" w:rsidRDefault="00603604" w:rsidP="0007033B">
            <w:pPr>
              <w:pStyle w:val="Box"/>
              <w:spacing w:before="0" w:line="120" w:lineRule="exact"/>
            </w:pPr>
          </w:p>
        </w:tc>
      </w:tr>
      <w:tr w:rsidR="00603604" w:rsidRPr="000863A5" w14:paraId="70DDAC6A" w14:textId="77777777" w:rsidTr="00D450C5">
        <w:tc>
          <w:tcPr>
            <w:tcW w:w="5000" w:type="pct"/>
            <w:tcBorders>
              <w:top w:val="single" w:sz="6" w:space="0" w:color="78A22F"/>
              <w:left w:val="nil"/>
              <w:bottom w:val="nil"/>
              <w:right w:val="nil"/>
            </w:tcBorders>
          </w:tcPr>
          <w:p w14:paraId="70DDAC69" w14:textId="15BE46F4" w:rsidR="00603604" w:rsidRPr="00626D32" w:rsidRDefault="00603604" w:rsidP="0007033B">
            <w:pPr>
              <w:pStyle w:val="BoxSpaceBelow"/>
            </w:pPr>
          </w:p>
        </w:tc>
      </w:tr>
    </w:tbl>
    <w:p w14:paraId="70DDAC6B" w14:textId="3FB4A980" w:rsidR="00603604" w:rsidRDefault="00603604" w:rsidP="0060360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03604" w14:paraId="70DDAC6D" w14:textId="77777777" w:rsidTr="00D450C5">
        <w:tc>
          <w:tcPr>
            <w:tcW w:w="5000" w:type="pct"/>
            <w:tcBorders>
              <w:top w:val="single" w:sz="6" w:space="0" w:color="78A22F"/>
              <w:left w:val="nil"/>
              <w:bottom w:val="nil"/>
              <w:right w:val="nil"/>
            </w:tcBorders>
            <w:shd w:val="clear" w:color="auto" w:fill="auto"/>
          </w:tcPr>
          <w:p w14:paraId="70DDAC6C" w14:textId="77777777" w:rsidR="00603604" w:rsidRPr="00784A05" w:rsidRDefault="00603604" w:rsidP="0007033B">
            <w:pPr>
              <w:pStyle w:val="TableTitle"/>
            </w:pPr>
            <w:r>
              <w:rPr>
                <w:b w:val="0"/>
              </w:rPr>
              <w:t>Table A.1</w:t>
            </w:r>
            <w:r>
              <w:tab/>
            </w:r>
            <w:r w:rsidRPr="00AD7348">
              <w:rPr>
                <w:b w:val="0"/>
                <w:sz w:val="18"/>
                <w:szCs w:val="18"/>
              </w:rPr>
              <w:t>(continued)</w:t>
            </w:r>
          </w:p>
        </w:tc>
      </w:tr>
      <w:tr w:rsidR="00603604" w14:paraId="70DDACBA" w14:textId="77777777" w:rsidTr="00D450C5">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261"/>
              <w:gridCol w:w="5244"/>
            </w:tblGrid>
            <w:tr w:rsidR="00603604" w14:paraId="70DDAC70" w14:textId="77777777" w:rsidTr="00AD7348">
              <w:trPr>
                <w:tblHeader/>
              </w:trPr>
              <w:tc>
                <w:tcPr>
                  <w:tcW w:w="1917" w:type="pct"/>
                  <w:tcBorders>
                    <w:top w:val="single" w:sz="6" w:space="0" w:color="BFBFBF"/>
                    <w:bottom w:val="single" w:sz="6" w:space="0" w:color="BFBFBF"/>
                  </w:tcBorders>
                  <w:shd w:val="clear" w:color="auto" w:fill="auto"/>
                  <w:tcMar>
                    <w:top w:w="28" w:type="dxa"/>
                  </w:tcMar>
                </w:tcPr>
                <w:p w14:paraId="70DDAC6E" w14:textId="77777777" w:rsidR="00603604" w:rsidRDefault="00603604" w:rsidP="00AD7348">
                  <w:pPr>
                    <w:pStyle w:val="TableColumnHeading"/>
                    <w:jc w:val="left"/>
                  </w:pPr>
                  <w:r>
                    <w:t>Program</w:t>
                  </w:r>
                </w:p>
              </w:tc>
              <w:tc>
                <w:tcPr>
                  <w:tcW w:w="3083" w:type="pct"/>
                  <w:tcBorders>
                    <w:top w:val="single" w:sz="6" w:space="0" w:color="BFBFBF"/>
                    <w:bottom w:val="single" w:sz="6" w:space="0" w:color="BFBFBF"/>
                  </w:tcBorders>
                  <w:shd w:val="clear" w:color="auto" w:fill="auto"/>
                  <w:tcMar>
                    <w:top w:w="28" w:type="dxa"/>
                  </w:tcMar>
                </w:tcPr>
                <w:p w14:paraId="70DDAC6F" w14:textId="77777777" w:rsidR="00603604" w:rsidRDefault="00603604" w:rsidP="00AD7348">
                  <w:pPr>
                    <w:pStyle w:val="TableColumnHeading"/>
                    <w:ind w:right="28"/>
                    <w:jc w:val="left"/>
                  </w:pPr>
                  <w:r>
                    <w:t>Funding source</w:t>
                  </w:r>
                </w:p>
              </w:tc>
            </w:tr>
            <w:tr w:rsidR="00603604" w14:paraId="70DDAC73" w14:textId="77777777" w:rsidTr="00AD7348">
              <w:tc>
                <w:tcPr>
                  <w:tcW w:w="1917" w:type="pct"/>
                  <w:tcBorders>
                    <w:top w:val="single" w:sz="6" w:space="0" w:color="BFBFBF"/>
                  </w:tcBorders>
                </w:tcPr>
                <w:p w14:paraId="70DDAC71" w14:textId="77777777" w:rsidR="00603604" w:rsidRDefault="00603604" w:rsidP="00AD7348">
                  <w:pPr>
                    <w:pStyle w:val="TableUnitsRow"/>
                    <w:jc w:val="left"/>
                  </w:pPr>
                  <w:r w:rsidRPr="00E20AD9">
                    <w:t>Regional Equalisation Plan</w:t>
                  </w:r>
                </w:p>
              </w:tc>
              <w:tc>
                <w:tcPr>
                  <w:tcW w:w="3083" w:type="pct"/>
                  <w:tcBorders>
                    <w:top w:val="single" w:sz="6" w:space="0" w:color="BFBFBF"/>
                  </w:tcBorders>
                </w:tcPr>
                <w:p w14:paraId="70DDAC72" w14:textId="77777777" w:rsidR="00603604" w:rsidRDefault="00603604" w:rsidP="00AD7348">
                  <w:pPr>
                    <w:pStyle w:val="TableUnitsRow"/>
                    <w:ind w:right="28"/>
                    <w:jc w:val="left"/>
                  </w:pPr>
                  <w:r w:rsidRPr="001631D4">
                    <w:t>Department of Communication</w:t>
                  </w:r>
                  <w:r>
                    <w:t>s Annual Report 2013-14, p.46.</w:t>
                  </w:r>
                </w:p>
              </w:tc>
            </w:tr>
            <w:tr w:rsidR="00603604" w14:paraId="70DDAC76" w14:textId="77777777" w:rsidTr="00AD7348">
              <w:tc>
                <w:tcPr>
                  <w:tcW w:w="1917" w:type="pct"/>
                </w:tcPr>
                <w:p w14:paraId="70DDAC74" w14:textId="77777777" w:rsidR="00603604" w:rsidRPr="00E20AD9" w:rsidRDefault="00603604" w:rsidP="00AD7348">
                  <w:pPr>
                    <w:pStyle w:val="TableBodyText"/>
                    <w:jc w:val="left"/>
                  </w:pPr>
                  <w:r w:rsidRPr="00E20AD9">
                    <w:t>ICT centre of excellence</w:t>
                  </w:r>
                </w:p>
              </w:tc>
              <w:tc>
                <w:tcPr>
                  <w:tcW w:w="3083" w:type="pct"/>
                </w:tcPr>
                <w:p w14:paraId="70DDAC75" w14:textId="77777777" w:rsidR="00603604" w:rsidRPr="001631D4" w:rsidRDefault="00603604" w:rsidP="00AD7348">
                  <w:pPr>
                    <w:pStyle w:val="TableBodyText"/>
                    <w:jc w:val="left"/>
                  </w:pPr>
                  <w:r w:rsidRPr="001631D4">
                    <w:t>Department of Communicatio</w:t>
                  </w:r>
                  <w:r>
                    <w:t>ns Annual Report 2013-14, p.31.</w:t>
                  </w:r>
                </w:p>
              </w:tc>
            </w:tr>
            <w:tr w:rsidR="00603604" w14:paraId="70DDAC79" w14:textId="77777777" w:rsidTr="00AD7348">
              <w:tc>
                <w:tcPr>
                  <w:tcW w:w="1917" w:type="pct"/>
                </w:tcPr>
                <w:p w14:paraId="70DDAC77" w14:textId="77777777" w:rsidR="00603604" w:rsidRDefault="00603604" w:rsidP="00AD7348">
                  <w:pPr>
                    <w:pStyle w:val="TableBodyText"/>
                    <w:jc w:val="left"/>
                  </w:pPr>
                  <w:r w:rsidRPr="00E20AD9">
                    <w:t>Digital Enterprise Program</w:t>
                  </w:r>
                </w:p>
              </w:tc>
              <w:tc>
                <w:tcPr>
                  <w:tcW w:w="3083" w:type="pct"/>
                </w:tcPr>
                <w:p w14:paraId="70DDAC78" w14:textId="77777777" w:rsidR="00603604" w:rsidRDefault="00603604" w:rsidP="00AD7348">
                  <w:pPr>
                    <w:pStyle w:val="TableBodyText"/>
                    <w:jc w:val="left"/>
                  </w:pPr>
                  <w:r w:rsidRPr="001631D4">
                    <w:t>Department of Communications Annua</w:t>
                  </w:r>
                  <w:r>
                    <w:t>l Report 2013-14, p.25 and 26.</w:t>
                  </w:r>
                </w:p>
              </w:tc>
            </w:tr>
            <w:tr w:rsidR="00603604" w14:paraId="70DDAC7C" w14:textId="77777777" w:rsidTr="00AD7348">
              <w:tc>
                <w:tcPr>
                  <w:tcW w:w="1917" w:type="pct"/>
                </w:tcPr>
                <w:p w14:paraId="70DDAC7A" w14:textId="77777777" w:rsidR="00603604" w:rsidRPr="009D643B" w:rsidRDefault="00603604" w:rsidP="00AD7348">
                  <w:pPr>
                    <w:pStyle w:val="TableBodyText"/>
                    <w:jc w:val="left"/>
                  </w:pPr>
                  <w:r w:rsidRPr="009D643B">
                    <w:t>Indigenous Broadcasting Program</w:t>
                  </w:r>
                </w:p>
              </w:tc>
              <w:tc>
                <w:tcPr>
                  <w:tcW w:w="3083" w:type="pct"/>
                </w:tcPr>
                <w:p w14:paraId="70DDAC7B" w14:textId="2D4E7033" w:rsidR="00603604" w:rsidRDefault="00603604" w:rsidP="00AD7348">
                  <w:pPr>
                    <w:pStyle w:val="TableBodyText"/>
                    <w:jc w:val="left"/>
                  </w:pPr>
                  <w:r w:rsidRPr="00913E23">
                    <w:t>Sum of grants to individual projects (sum of individual grants) (</w:t>
                  </w:r>
                  <w:r w:rsidRPr="00D450C5">
                    <w:t>http://www.communications.gov.au/__data/</w:t>
                  </w:r>
                  <w:r w:rsidRPr="00913E23">
                    <w:t>assets</w:t>
                  </w:r>
                  <w:r>
                    <w:t xml:space="preserve"> </w:t>
                  </w:r>
                  <w:r w:rsidRPr="00913E23">
                    <w:t>/pdf_file/0004/169591/Grant-reporting-2013-14-Indigenous</w:t>
                  </w:r>
                  <w:r>
                    <w:t xml:space="preserve"> </w:t>
                  </w:r>
                  <w:r w:rsidRPr="00913E23">
                    <w:t>-Broadcasting-Program.pdf).</w:t>
                  </w:r>
                </w:p>
              </w:tc>
            </w:tr>
            <w:tr w:rsidR="00603604" w14:paraId="70DDAC7F" w14:textId="77777777" w:rsidTr="00AD7348">
              <w:tc>
                <w:tcPr>
                  <w:tcW w:w="1917" w:type="pct"/>
                </w:tcPr>
                <w:p w14:paraId="70DDAC7D" w14:textId="77777777" w:rsidR="00603604" w:rsidRPr="009D643B" w:rsidRDefault="00603604" w:rsidP="00AD7348">
                  <w:pPr>
                    <w:pStyle w:val="TableBodyText"/>
                    <w:jc w:val="left"/>
                  </w:pPr>
                  <w:r w:rsidRPr="009D643B">
                    <w:t>Environmental Stewardship Program</w:t>
                  </w:r>
                </w:p>
              </w:tc>
              <w:tc>
                <w:tcPr>
                  <w:tcW w:w="3083" w:type="pct"/>
                </w:tcPr>
                <w:p w14:paraId="70DDAC7E" w14:textId="77777777" w:rsidR="00603604" w:rsidRPr="009B0340" w:rsidRDefault="00603604" w:rsidP="00AD7348">
                  <w:pPr>
                    <w:pStyle w:val="TableBodyText"/>
                    <w:jc w:val="left"/>
                  </w:pPr>
                  <w:r w:rsidRPr="009B0340">
                    <w:t xml:space="preserve">Department of the Environment Annual Report 2013-14, p.345.  </w:t>
                  </w:r>
                </w:p>
              </w:tc>
            </w:tr>
            <w:tr w:rsidR="00603604" w14:paraId="70DDAC82" w14:textId="77777777" w:rsidTr="00AD7348">
              <w:tc>
                <w:tcPr>
                  <w:tcW w:w="1917" w:type="pct"/>
                </w:tcPr>
                <w:p w14:paraId="70DDAC80" w14:textId="77777777" w:rsidR="00603604" w:rsidRPr="009D643B" w:rsidRDefault="00603604" w:rsidP="00AD7348">
                  <w:pPr>
                    <w:pStyle w:val="TableBodyText"/>
                    <w:jc w:val="left"/>
                  </w:pPr>
                  <w:r w:rsidRPr="009D643B">
                    <w:t>Indigenous Carbon Farming Fund</w:t>
                  </w:r>
                </w:p>
              </w:tc>
              <w:tc>
                <w:tcPr>
                  <w:tcW w:w="3083" w:type="pct"/>
                </w:tcPr>
                <w:p w14:paraId="70DDAC81" w14:textId="77777777" w:rsidR="00603604" w:rsidRPr="009B0340" w:rsidRDefault="00603604" w:rsidP="00AD7348">
                  <w:pPr>
                    <w:pStyle w:val="TableBodyText"/>
                    <w:jc w:val="left"/>
                  </w:pPr>
                  <w:r w:rsidRPr="009B0340">
                    <w:t xml:space="preserve">Department of the Environment Annual Report 2013-14, p.345.  </w:t>
                  </w:r>
                </w:p>
              </w:tc>
            </w:tr>
            <w:tr w:rsidR="00603604" w14:paraId="70DDAC85" w14:textId="77777777" w:rsidTr="00AD7348">
              <w:tc>
                <w:tcPr>
                  <w:tcW w:w="1917" w:type="pct"/>
                </w:tcPr>
                <w:p w14:paraId="70DDAC83" w14:textId="77777777" w:rsidR="00603604" w:rsidRPr="009D643B" w:rsidRDefault="00603604" w:rsidP="00AD7348">
                  <w:pPr>
                    <w:pStyle w:val="TableBodyText"/>
                    <w:jc w:val="left"/>
                  </w:pPr>
                  <w:r w:rsidRPr="009D643B">
                    <w:t>National Urban Water and Desalination Plan</w:t>
                  </w:r>
                </w:p>
              </w:tc>
              <w:tc>
                <w:tcPr>
                  <w:tcW w:w="3083" w:type="pct"/>
                </w:tcPr>
                <w:p w14:paraId="70DDAC84" w14:textId="77777777" w:rsidR="00603604" w:rsidRDefault="00603604" w:rsidP="00AD7348">
                  <w:pPr>
                    <w:pStyle w:val="TableBodyText"/>
                    <w:jc w:val="left"/>
                  </w:pPr>
                  <w:r w:rsidRPr="009B0340">
                    <w:t xml:space="preserve">Department of the Environment Annual Report 2013-14, p.345.  </w:t>
                  </w:r>
                </w:p>
              </w:tc>
            </w:tr>
            <w:tr w:rsidR="00603604" w:rsidRPr="00E9581A" w14:paraId="70DDAC88" w14:textId="77777777" w:rsidTr="00AD7348">
              <w:tc>
                <w:tcPr>
                  <w:tcW w:w="1917" w:type="pct"/>
                </w:tcPr>
                <w:p w14:paraId="70DDAC86" w14:textId="77777777" w:rsidR="00603604" w:rsidRPr="00E9581A" w:rsidRDefault="00603604" w:rsidP="00AD7348">
                  <w:pPr>
                    <w:pStyle w:val="TableBodyText"/>
                    <w:jc w:val="left"/>
                  </w:pPr>
                  <w:r w:rsidRPr="00E9581A">
                    <w:t>Sustainable Rural Water Use and Infrastructure Program</w:t>
                  </w:r>
                </w:p>
              </w:tc>
              <w:tc>
                <w:tcPr>
                  <w:tcW w:w="3083" w:type="pct"/>
                </w:tcPr>
                <w:p w14:paraId="70DDAC87" w14:textId="77777777" w:rsidR="00603604" w:rsidRPr="00E9581A" w:rsidRDefault="00603604" w:rsidP="00AD7348">
                  <w:pPr>
                    <w:pStyle w:val="TableBodyText"/>
                    <w:jc w:val="left"/>
                  </w:pPr>
                  <w:r w:rsidRPr="00E9581A">
                    <w:t>Department of the Environment Annual Report 2013-14, p.345.</w:t>
                  </w:r>
                </w:p>
              </w:tc>
            </w:tr>
            <w:tr w:rsidR="00603604" w14:paraId="70DDAC8B" w14:textId="77777777" w:rsidTr="00AD7348">
              <w:tc>
                <w:tcPr>
                  <w:tcW w:w="1917" w:type="pct"/>
                </w:tcPr>
                <w:p w14:paraId="70DDAC89" w14:textId="77777777" w:rsidR="00603604" w:rsidRPr="00E60526" w:rsidRDefault="00603604" w:rsidP="00AD7348">
                  <w:pPr>
                    <w:pStyle w:val="TableBodyText"/>
                    <w:jc w:val="left"/>
                  </w:pPr>
                  <w:r w:rsidRPr="00E60526">
                    <w:t>Austrade</w:t>
                  </w:r>
                </w:p>
              </w:tc>
              <w:tc>
                <w:tcPr>
                  <w:tcW w:w="3083" w:type="pct"/>
                </w:tcPr>
                <w:p w14:paraId="70DDAC8A" w14:textId="77777777" w:rsidR="00603604" w:rsidRPr="007072DF" w:rsidRDefault="00603604" w:rsidP="00AD7348">
                  <w:pPr>
                    <w:pStyle w:val="TableBodyText"/>
                    <w:jc w:val="left"/>
                  </w:pPr>
                  <w:r w:rsidRPr="00A47E30">
                    <w:t>For 2013-14, Austrade Annual Report 2013-14, p.161.</w:t>
                  </w:r>
                </w:p>
              </w:tc>
            </w:tr>
            <w:tr w:rsidR="00603604" w14:paraId="70DDAC8E" w14:textId="77777777" w:rsidTr="00AD7348">
              <w:tc>
                <w:tcPr>
                  <w:tcW w:w="1917" w:type="pct"/>
                </w:tcPr>
                <w:p w14:paraId="70DDAC8C" w14:textId="77777777" w:rsidR="00603604" w:rsidRPr="00E60526" w:rsidRDefault="00603604" w:rsidP="00AD7348">
                  <w:pPr>
                    <w:pStyle w:val="TableBodyText"/>
                    <w:jc w:val="left"/>
                  </w:pPr>
                  <w:r w:rsidRPr="00E60526">
                    <w:t>Export Market Development Grants Scheme</w:t>
                  </w:r>
                </w:p>
              </w:tc>
              <w:tc>
                <w:tcPr>
                  <w:tcW w:w="3083" w:type="pct"/>
                </w:tcPr>
                <w:p w14:paraId="70DDAC8D" w14:textId="77777777" w:rsidR="00603604" w:rsidRPr="007072DF" w:rsidRDefault="00603604" w:rsidP="00AD7348">
                  <w:pPr>
                    <w:pStyle w:val="TableBodyText"/>
                    <w:jc w:val="left"/>
                  </w:pPr>
                  <w:r w:rsidRPr="007072DF">
                    <w:t xml:space="preserve">Austrade Annual Report 2013-14, p.88.  </w:t>
                  </w:r>
                </w:p>
              </w:tc>
            </w:tr>
            <w:tr w:rsidR="00603604" w14:paraId="70DDAC91" w14:textId="77777777" w:rsidTr="00AD7348">
              <w:tc>
                <w:tcPr>
                  <w:tcW w:w="1917" w:type="pct"/>
                </w:tcPr>
                <w:p w14:paraId="70DDAC8F" w14:textId="77777777" w:rsidR="00603604" w:rsidRPr="00E60526" w:rsidRDefault="00603604" w:rsidP="00AD7348">
                  <w:pPr>
                    <w:pStyle w:val="TableBodyText"/>
                    <w:jc w:val="left"/>
                  </w:pPr>
                  <w:r w:rsidRPr="00E60526">
                    <w:t>High Costs Claims Scheme</w:t>
                  </w:r>
                </w:p>
              </w:tc>
              <w:tc>
                <w:tcPr>
                  <w:tcW w:w="3083" w:type="pct"/>
                </w:tcPr>
                <w:p w14:paraId="70DDAC90" w14:textId="77777777" w:rsidR="00603604" w:rsidRPr="007072DF" w:rsidRDefault="00603604" w:rsidP="00AD7348">
                  <w:pPr>
                    <w:pStyle w:val="TableBodyText"/>
                    <w:jc w:val="left"/>
                  </w:pPr>
                  <w:r w:rsidRPr="007072DF">
                    <w:t xml:space="preserve">Department of Human Services Annual Report 2013-14, p.57. </w:t>
                  </w:r>
                </w:p>
              </w:tc>
            </w:tr>
            <w:tr w:rsidR="00603604" w14:paraId="70DDAC94" w14:textId="77777777" w:rsidTr="00AD7348">
              <w:tc>
                <w:tcPr>
                  <w:tcW w:w="1917" w:type="pct"/>
                </w:tcPr>
                <w:p w14:paraId="70DDAC92" w14:textId="77777777" w:rsidR="00603604" w:rsidRPr="00E60526" w:rsidRDefault="00603604" w:rsidP="00AD7348">
                  <w:pPr>
                    <w:pStyle w:val="TableBodyText"/>
                    <w:jc w:val="left"/>
                  </w:pPr>
                  <w:r w:rsidRPr="00E60526">
                    <w:t>Premium Support Scheme</w:t>
                  </w:r>
                </w:p>
              </w:tc>
              <w:tc>
                <w:tcPr>
                  <w:tcW w:w="3083" w:type="pct"/>
                </w:tcPr>
                <w:p w14:paraId="70DDAC93" w14:textId="77777777" w:rsidR="00603604" w:rsidRPr="007072DF" w:rsidRDefault="00603604" w:rsidP="00AD7348">
                  <w:pPr>
                    <w:pStyle w:val="TableBodyText"/>
                    <w:jc w:val="left"/>
                  </w:pPr>
                  <w:r w:rsidRPr="007072DF">
                    <w:t>Department of Human Services Annual Report 2013-14, p.57.</w:t>
                  </w:r>
                </w:p>
              </w:tc>
            </w:tr>
            <w:tr w:rsidR="00603604" w14:paraId="70DDAC97" w14:textId="77777777" w:rsidTr="00AD7348">
              <w:tc>
                <w:tcPr>
                  <w:tcW w:w="1917" w:type="pct"/>
                </w:tcPr>
                <w:p w14:paraId="70DDAC95" w14:textId="77777777" w:rsidR="00603604" w:rsidRDefault="00603604" w:rsidP="00AD7348">
                  <w:pPr>
                    <w:pStyle w:val="TableBodyText"/>
                    <w:jc w:val="left"/>
                  </w:pPr>
                  <w:r w:rsidRPr="00E60526">
                    <w:t>TRADEX</w:t>
                  </w:r>
                </w:p>
              </w:tc>
              <w:tc>
                <w:tcPr>
                  <w:tcW w:w="3083" w:type="pct"/>
                </w:tcPr>
                <w:p w14:paraId="70DDAC96" w14:textId="77777777" w:rsidR="00603604" w:rsidRDefault="00603604" w:rsidP="00AD7348">
                  <w:pPr>
                    <w:pStyle w:val="TableBodyText"/>
                    <w:jc w:val="left"/>
                  </w:pPr>
                  <w:r w:rsidRPr="007072DF">
                    <w:t xml:space="preserve">Customs contact (Tom Lees - thomas.lees@customs.gov.au).  </w:t>
                  </w:r>
                </w:p>
              </w:tc>
            </w:tr>
            <w:tr w:rsidR="00603604" w14:paraId="70DDAC9A" w14:textId="77777777" w:rsidTr="00AD7348">
              <w:tc>
                <w:tcPr>
                  <w:tcW w:w="1917" w:type="pct"/>
                </w:tcPr>
                <w:p w14:paraId="70DDAC98" w14:textId="77777777" w:rsidR="00603604" w:rsidRPr="001E138A" w:rsidRDefault="00603604" w:rsidP="00AD7348">
                  <w:pPr>
                    <w:pStyle w:val="TableBodyText"/>
                    <w:jc w:val="left"/>
                  </w:pPr>
                  <w:r w:rsidRPr="001E138A">
                    <w:t>Duty Drawback</w:t>
                  </w:r>
                </w:p>
              </w:tc>
              <w:tc>
                <w:tcPr>
                  <w:tcW w:w="3083" w:type="pct"/>
                </w:tcPr>
                <w:p w14:paraId="70DDAC99" w14:textId="77777777" w:rsidR="00603604" w:rsidRPr="00740634" w:rsidRDefault="00603604" w:rsidP="00AD7348">
                  <w:pPr>
                    <w:pStyle w:val="TableBodyText"/>
                    <w:jc w:val="left"/>
                  </w:pPr>
                  <w:r w:rsidRPr="00740634">
                    <w:t xml:space="preserve">Australian Customs and Border Protection Service, Annual Report 2013-14, p.44. </w:t>
                  </w:r>
                </w:p>
              </w:tc>
            </w:tr>
            <w:tr w:rsidR="00603604" w14:paraId="70DDAC9D" w14:textId="77777777" w:rsidTr="00AD7348">
              <w:tc>
                <w:tcPr>
                  <w:tcW w:w="1917" w:type="pct"/>
                </w:tcPr>
                <w:p w14:paraId="70DDAC9B" w14:textId="77777777" w:rsidR="00603604" w:rsidRPr="001E138A" w:rsidRDefault="00603604" w:rsidP="00AD7348">
                  <w:pPr>
                    <w:pStyle w:val="TableBodyText"/>
                    <w:jc w:val="left"/>
                  </w:pPr>
                  <w:r w:rsidRPr="001E138A">
                    <w:t>Automotive Transformation Scheme</w:t>
                  </w:r>
                </w:p>
              </w:tc>
              <w:tc>
                <w:tcPr>
                  <w:tcW w:w="3083" w:type="pct"/>
                </w:tcPr>
                <w:p w14:paraId="70DDAC9C" w14:textId="77777777" w:rsidR="00603604" w:rsidRPr="00740634" w:rsidRDefault="00603604" w:rsidP="00AD7348">
                  <w:pPr>
                    <w:pStyle w:val="TableBodyText"/>
                    <w:jc w:val="left"/>
                  </w:pPr>
                  <w:r w:rsidRPr="00740634">
                    <w:t xml:space="preserve">Department of Industry contact (see accrual allocation spreadsheet).  </w:t>
                  </w:r>
                </w:p>
              </w:tc>
            </w:tr>
            <w:tr w:rsidR="00603604" w14:paraId="70DDACA0" w14:textId="77777777" w:rsidTr="00AD7348">
              <w:tc>
                <w:tcPr>
                  <w:tcW w:w="1917" w:type="pct"/>
                </w:tcPr>
                <w:p w14:paraId="70DDAC9E" w14:textId="77777777" w:rsidR="00603604" w:rsidRPr="001E138A" w:rsidRDefault="00603604" w:rsidP="00AD7348">
                  <w:pPr>
                    <w:pStyle w:val="TableBodyText"/>
                    <w:jc w:val="left"/>
                  </w:pPr>
                  <w:r w:rsidRPr="001E138A">
                    <w:t>Green Car Innovation Fund</w:t>
                  </w:r>
                </w:p>
              </w:tc>
              <w:tc>
                <w:tcPr>
                  <w:tcW w:w="3083" w:type="pct"/>
                </w:tcPr>
                <w:p w14:paraId="70DDAC9F" w14:textId="77777777" w:rsidR="00603604" w:rsidRPr="00740634" w:rsidRDefault="00603604" w:rsidP="00AD7348">
                  <w:pPr>
                    <w:pStyle w:val="TableBodyText"/>
                    <w:jc w:val="left"/>
                  </w:pPr>
                  <w:r w:rsidRPr="00740634">
                    <w:t xml:space="preserve">Department of Industry contact (see accrual allocation spreadsheet).  </w:t>
                  </w:r>
                </w:p>
              </w:tc>
            </w:tr>
            <w:tr w:rsidR="00603604" w14:paraId="70DDACA3" w14:textId="77777777" w:rsidTr="00AD7348">
              <w:tc>
                <w:tcPr>
                  <w:tcW w:w="1917" w:type="pct"/>
                </w:tcPr>
                <w:p w14:paraId="70DDACA1" w14:textId="77777777" w:rsidR="00603604" w:rsidRPr="001E138A" w:rsidRDefault="00603604" w:rsidP="00AD7348">
                  <w:pPr>
                    <w:pStyle w:val="TableBodyText"/>
                    <w:jc w:val="left"/>
                  </w:pPr>
                  <w:r w:rsidRPr="001E138A">
                    <w:t>Automotive New Markets Initiative</w:t>
                  </w:r>
                </w:p>
              </w:tc>
              <w:tc>
                <w:tcPr>
                  <w:tcW w:w="3083" w:type="pct"/>
                </w:tcPr>
                <w:p w14:paraId="70DDACA2" w14:textId="77777777" w:rsidR="00603604" w:rsidRPr="00740634" w:rsidRDefault="00603604" w:rsidP="00AD7348">
                  <w:pPr>
                    <w:pStyle w:val="TableBodyText"/>
                    <w:jc w:val="left"/>
                  </w:pPr>
                  <w:r w:rsidRPr="00740634">
                    <w:t xml:space="preserve">Department of Industry contact (see accrual allocation spreadsheet).  </w:t>
                  </w:r>
                </w:p>
              </w:tc>
            </w:tr>
            <w:tr w:rsidR="00603604" w14:paraId="70DDACA6" w14:textId="77777777" w:rsidTr="00AD7348">
              <w:tc>
                <w:tcPr>
                  <w:tcW w:w="1917" w:type="pct"/>
                </w:tcPr>
                <w:p w14:paraId="70DDACA4" w14:textId="77777777" w:rsidR="00603604" w:rsidRDefault="00603604" w:rsidP="00AD7348">
                  <w:pPr>
                    <w:pStyle w:val="TableBodyText"/>
                    <w:jc w:val="left"/>
                  </w:pPr>
                  <w:r w:rsidRPr="001E138A">
                    <w:t>Coal Mining Abatement Support Package</w:t>
                  </w:r>
                </w:p>
              </w:tc>
              <w:tc>
                <w:tcPr>
                  <w:tcW w:w="3083" w:type="pct"/>
                </w:tcPr>
                <w:p w14:paraId="70DDACA5" w14:textId="77777777" w:rsidR="00603604" w:rsidRDefault="00603604" w:rsidP="00AD7348">
                  <w:pPr>
                    <w:pStyle w:val="TableBodyText"/>
                    <w:jc w:val="left"/>
                  </w:pPr>
                  <w:r w:rsidRPr="00740634">
                    <w:t>Department of Resources, Energy and Tourism Annual Report 2012-13, p.197.</w:t>
                  </w:r>
                </w:p>
              </w:tc>
            </w:tr>
            <w:tr w:rsidR="00603604" w14:paraId="70DDACA9" w14:textId="77777777" w:rsidTr="00AD7348">
              <w:tc>
                <w:tcPr>
                  <w:tcW w:w="1917" w:type="pct"/>
                </w:tcPr>
                <w:p w14:paraId="70DDACA7" w14:textId="77777777" w:rsidR="00603604" w:rsidRPr="00BA1F54" w:rsidRDefault="00603604" w:rsidP="00AD7348">
                  <w:pPr>
                    <w:pStyle w:val="TableBodyText"/>
                    <w:jc w:val="left"/>
                  </w:pPr>
                  <w:r w:rsidRPr="00BA1F54">
                    <w:t>Australian Centre for Renewable Energy</w:t>
                  </w:r>
                </w:p>
              </w:tc>
              <w:tc>
                <w:tcPr>
                  <w:tcW w:w="3083" w:type="pct"/>
                </w:tcPr>
                <w:p w14:paraId="70DDACA8" w14:textId="77777777" w:rsidR="00603604" w:rsidRPr="00FB3049" w:rsidRDefault="00603604" w:rsidP="00AD7348">
                  <w:pPr>
                    <w:pStyle w:val="TableBodyText"/>
                    <w:jc w:val="left"/>
                  </w:pPr>
                  <w:r w:rsidRPr="00FB3049">
                    <w:t xml:space="preserve">Australian Renewable Energy Agency Annual Report 2013-14, p.82. </w:t>
                  </w:r>
                </w:p>
              </w:tc>
            </w:tr>
            <w:tr w:rsidR="00603604" w14:paraId="70DDACAC" w14:textId="77777777" w:rsidTr="00AD7348">
              <w:tc>
                <w:tcPr>
                  <w:tcW w:w="1917" w:type="pct"/>
                </w:tcPr>
                <w:p w14:paraId="70DDACAA" w14:textId="77777777" w:rsidR="00603604" w:rsidRPr="00BA1F54" w:rsidRDefault="00603604" w:rsidP="00AD7348">
                  <w:pPr>
                    <w:pStyle w:val="TableBodyText"/>
                    <w:jc w:val="left"/>
                  </w:pPr>
                  <w:r w:rsidRPr="00BA1F54">
                    <w:t>Carbon Capture and Storage Flagships Program</w:t>
                  </w:r>
                </w:p>
              </w:tc>
              <w:tc>
                <w:tcPr>
                  <w:tcW w:w="3083" w:type="pct"/>
                </w:tcPr>
                <w:p w14:paraId="70DDACAB" w14:textId="77777777" w:rsidR="00603604" w:rsidRPr="00FB3049" w:rsidRDefault="00603604" w:rsidP="00AD7348">
                  <w:pPr>
                    <w:pStyle w:val="TableBodyText"/>
                    <w:jc w:val="left"/>
                  </w:pPr>
                  <w:r w:rsidRPr="00FB3049">
                    <w:t>Department of Resources, Energy and Tourism Annual Report 2012-13, p.197.</w:t>
                  </w:r>
                </w:p>
              </w:tc>
            </w:tr>
            <w:tr w:rsidR="00603604" w14:paraId="70DDACAF" w14:textId="77777777" w:rsidTr="00AD7348">
              <w:tc>
                <w:tcPr>
                  <w:tcW w:w="1917" w:type="pct"/>
                </w:tcPr>
                <w:p w14:paraId="70DDACAD" w14:textId="77777777" w:rsidR="00603604" w:rsidRDefault="00603604" w:rsidP="00AD7348">
                  <w:pPr>
                    <w:pStyle w:val="TableBodyText"/>
                    <w:jc w:val="left"/>
                  </w:pPr>
                  <w:r w:rsidRPr="00BA1F54">
                    <w:t>National Low Emissions Coal Initiative</w:t>
                  </w:r>
                </w:p>
              </w:tc>
              <w:tc>
                <w:tcPr>
                  <w:tcW w:w="3083" w:type="pct"/>
                </w:tcPr>
                <w:p w14:paraId="70DDACAE" w14:textId="77777777" w:rsidR="00603604" w:rsidRDefault="00603604" w:rsidP="00AD7348">
                  <w:pPr>
                    <w:pStyle w:val="TableBodyText"/>
                    <w:jc w:val="left"/>
                  </w:pPr>
                  <w:r w:rsidRPr="00FB3049">
                    <w:t xml:space="preserve">Science, Research and Innovation Budget Tables 2014-15.  </w:t>
                  </w:r>
                </w:p>
              </w:tc>
            </w:tr>
            <w:tr w:rsidR="00603604" w14:paraId="70DDACB2" w14:textId="77777777" w:rsidTr="00AD7348">
              <w:tc>
                <w:tcPr>
                  <w:tcW w:w="1917" w:type="pct"/>
                </w:tcPr>
                <w:p w14:paraId="70DDACB0" w14:textId="77777777" w:rsidR="00603604" w:rsidRPr="00427956" w:rsidRDefault="00603604" w:rsidP="00AD7348">
                  <w:pPr>
                    <w:pStyle w:val="TableBodyText"/>
                    <w:jc w:val="left"/>
                  </w:pPr>
                  <w:r w:rsidRPr="00427956">
                    <w:t>Energy Efficiency Information Grants</w:t>
                  </w:r>
                </w:p>
              </w:tc>
              <w:tc>
                <w:tcPr>
                  <w:tcW w:w="3083" w:type="pct"/>
                </w:tcPr>
                <w:p w14:paraId="70DDACB1" w14:textId="77777777" w:rsidR="00603604" w:rsidRPr="009158AA" w:rsidRDefault="00603604" w:rsidP="00AD7348">
                  <w:pPr>
                    <w:pStyle w:val="TableBodyText"/>
                    <w:jc w:val="left"/>
                  </w:pPr>
                  <w:r w:rsidRPr="009158AA">
                    <w:t>Department of Resources, Energy and Tourism Annual Report 2012-13, p.197.</w:t>
                  </w:r>
                </w:p>
              </w:tc>
            </w:tr>
            <w:tr w:rsidR="00603604" w14:paraId="70DDACB5" w14:textId="77777777" w:rsidTr="00AD7348">
              <w:tc>
                <w:tcPr>
                  <w:tcW w:w="1917" w:type="pct"/>
                </w:tcPr>
                <w:p w14:paraId="70DDACB3" w14:textId="77777777" w:rsidR="00603604" w:rsidRDefault="00603604" w:rsidP="00AD7348">
                  <w:pPr>
                    <w:pStyle w:val="TableBodyText"/>
                    <w:jc w:val="left"/>
                  </w:pPr>
                  <w:r w:rsidRPr="00427956">
                    <w:t>Energy Brix Australia Corporation</w:t>
                  </w:r>
                </w:p>
              </w:tc>
              <w:tc>
                <w:tcPr>
                  <w:tcW w:w="3083" w:type="pct"/>
                </w:tcPr>
                <w:p w14:paraId="70DDACB4" w14:textId="77777777" w:rsidR="00603604" w:rsidRDefault="00603604" w:rsidP="00AD7348">
                  <w:pPr>
                    <w:pStyle w:val="TableBodyText"/>
                    <w:jc w:val="left"/>
                  </w:pPr>
                  <w:r w:rsidRPr="009158AA">
                    <w:t xml:space="preserve">Department of Industry contact (see accrual allocation spreadsheet).  </w:t>
                  </w:r>
                </w:p>
              </w:tc>
            </w:tr>
            <w:tr w:rsidR="00603604" w:rsidRPr="001F17BE" w14:paraId="70DDACB8" w14:textId="77777777" w:rsidTr="00AD7348">
              <w:tc>
                <w:tcPr>
                  <w:tcW w:w="1917" w:type="pct"/>
                  <w:tcBorders>
                    <w:bottom w:val="single" w:sz="4" w:space="0" w:color="auto"/>
                  </w:tcBorders>
                  <w:shd w:val="clear" w:color="auto" w:fill="auto"/>
                </w:tcPr>
                <w:p w14:paraId="70DDACB6" w14:textId="77777777" w:rsidR="00603604" w:rsidRPr="001F17BE" w:rsidRDefault="00603604" w:rsidP="00AD7348">
                  <w:pPr>
                    <w:pStyle w:val="TableBodyText"/>
                    <w:jc w:val="left"/>
                  </w:pPr>
                  <w:r w:rsidRPr="001F17BE">
                    <w:t>Energy Brix Australia Corporation</w:t>
                  </w:r>
                </w:p>
              </w:tc>
              <w:tc>
                <w:tcPr>
                  <w:tcW w:w="3083" w:type="pct"/>
                  <w:tcBorders>
                    <w:bottom w:val="single" w:sz="4" w:space="0" w:color="auto"/>
                  </w:tcBorders>
                  <w:shd w:val="clear" w:color="auto" w:fill="auto"/>
                </w:tcPr>
                <w:p w14:paraId="70DDACB7" w14:textId="77777777" w:rsidR="00603604" w:rsidRPr="001F17BE" w:rsidRDefault="00603604" w:rsidP="00AD7348">
                  <w:pPr>
                    <w:pStyle w:val="TableBodyText"/>
                    <w:jc w:val="left"/>
                  </w:pPr>
                  <w:r w:rsidRPr="001F17BE">
                    <w:t>Department of Industry contact (see accrual allocation spreadsheet).</w:t>
                  </w:r>
                </w:p>
              </w:tc>
            </w:tr>
          </w:tbl>
          <w:p w14:paraId="70DDACB9" w14:textId="77777777" w:rsidR="00603604" w:rsidRDefault="00603604" w:rsidP="0007033B">
            <w:pPr>
              <w:pStyle w:val="Box"/>
            </w:pPr>
          </w:p>
        </w:tc>
      </w:tr>
      <w:tr w:rsidR="00603604" w14:paraId="70DDACBC" w14:textId="77777777" w:rsidTr="00D450C5">
        <w:tc>
          <w:tcPr>
            <w:tcW w:w="5000" w:type="pct"/>
            <w:tcBorders>
              <w:top w:val="nil"/>
              <w:left w:val="nil"/>
              <w:bottom w:val="nil"/>
              <w:right w:val="nil"/>
            </w:tcBorders>
            <w:shd w:val="clear" w:color="auto" w:fill="auto"/>
            <w:vAlign w:val="center"/>
          </w:tcPr>
          <w:p w14:paraId="70DDACBB" w14:textId="77777777" w:rsidR="00603604" w:rsidRDefault="00603604" w:rsidP="0007033B">
            <w:pPr>
              <w:pStyle w:val="Source"/>
              <w:jc w:val="right"/>
            </w:pPr>
            <w:r>
              <w:t>(continued next page)</w:t>
            </w:r>
          </w:p>
        </w:tc>
      </w:tr>
      <w:tr w:rsidR="00603604" w14:paraId="70DDACBE" w14:textId="77777777" w:rsidTr="00D450C5">
        <w:tc>
          <w:tcPr>
            <w:tcW w:w="5000" w:type="pct"/>
            <w:tcBorders>
              <w:top w:val="nil"/>
              <w:left w:val="nil"/>
              <w:bottom w:val="single" w:sz="6" w:space="0" w:color="78A22F"/>
              <w:right w:val="nil"/>
            </w:tcBorders>
            <w:shd w:val="clear" w:color="auto" w:fill="auto"/>
          </w:tcPr>
          <w:p w14:paraId="70DDACBD" w14:textId="77777777" w:rsidR="00603604" w:rsidRDefault="00603604" w:rsidP="0007033B">
            <w:pPr>
              <w:pStyle w:val="Box"/>
              <w:spacing w:before="0" w:line="120" w:lineRule="exact"/>
            </w:pPr>
          </w:p>
        </w:tc>
      </w:tr>
      <w:tr w:rsidR="00603604" w:rsidRPr="000863A5" w14:paraId="70DDACC0" w14:textId="77777777" w:rsidTr="00D450C5">
        <w:tc>
          <w:tcPr>
            <w:tcW w:w="5000" w:type="pct"/>
            <w:tcBorders>
              <w:top w:val="single" w:sz="6" w:space="0" w:color="78A22F"/>
              <w:left w:val="nil"/>
              <w:bottom w:val="nil"/>
              <w:right w:val="nil"/>
            </w:tcBorders>
          </w:tcPr>
          <w:p w14:paraId="70DDACBF" w14:textId="10D76972" w:rsidR="00603604" w:rsidRPr="00626D32" w:rsidRDefault="00603604" w:rsidP="0007033B">
            <w:pPr>
              <w:pStyle w:val="BoxSpaceBelow"/>
            </w:pPr>
          </w:p>
        </w:tc>
      </w:tr>
    </w:tbl>
    <w:p w14:paraId="70DDACC1" w14:textId="7B4E1EDD" w:rsidR="00603604" w:rsidRDefault="00603604" w:rsidP="0060360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03604" w14:paraId="70DDACC3" w14:textId="77777777" w:rsidTr="00D450C5">
        <w:tc>
          <w:tcPr>
            <w:tcW w:w="5000" w:type="pct"/>
            <w:tcBorders>
              <w:top w:val="single" w:sz="6" w:space="0" w:color="78A22F"/>
              <w:left w:val="nil"/>
              <w:bottom w:val="nil"/>
              <w:right w:val="nil"/>
            </w:tcBorders>
            <w:shd w:val="clear" w:color="auto" w:fill="auto"/>
          </w:tcPr>
          <w:p w14:paraId="70DDACC2" w14:textId="77777777" w:rsidR="00603604" w:rsidRPr="00784A05" w:rsidRDefault="00603604" w:rsidP="0007033B">
            <w:pPr>
              <w:pStyle w:val="TableTitle"/>
            </w:pPr>
            <w:r>
              <w:rPr>
                <w:b w:val="0"/>
              </w:rPr>
              <w:t>Table A.1</w:t>
            </w:r>
            <w:r>
              <w:tab/>
            </w:r>
            <w:r w:rsidRPr="00AD7348">
              <w:rPr>
                <w:b w:val="0"/>
                <w:sz w:val="18"/>
                <w:szCs w:val="18"/>
              </w:rPr>
              <w:t>(continued)</w:t>
            </w:r>
          </w:p>
        </w:tc>
      </w:tr>
      <w:tr w:rsidR="00603604" w14:paraId="70DDAD10" w14:textId="77777777" w:rsidTr="00D450C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685"/>
              <w:gridCol w:w="4818"/>
            </w:tblGrid>
            <w:tr w:rsidR="00603604" w14:paraId="70DDACC6" w14:textId="77777777" w:rsidTr="0007033B">
              <w:trPr>
                <w:tblHeader/>
              </w:trPr>
              <w:tc>
                <w:tcPr>
                  <w:tcW w:w="2167" w:type="pct"/>
                  <w:tcBorders>
                    <w:top w:val="single" w:sz="6" w:space="0" w:color="BFBFBF"/>
                    <w:bottom w:val="single" w:sz="6" w:space="0" w:color="BFBFBF"/>
                  </w:tcBorders>
                  <w:shd w:val="clear" w:color="auto" w:fill="auto"/>
                  <w:tcMar>
                    <w:top w:w="28" w:type="dxa"/>
                  </w:tcMar>
                  <w:vAlign w:val="center"/>
                </w:tcPr>
                <w:p w14:paraId="70DDACC4" w14:textId="77777777" w:rsidR="00603604" w:rsidRDefault="00603604" w:rsidP="0007033B">
                  <w:pPr>
                    <w:pStyle w:val="TableColumnHeading"/>
                    <w:jc w:val="left"/>
                  </w:pPr>
                  <w:r>
                    <w:t>Program</w:t>
                  </w:r>
                </w:p>
              </w:tc>
              <w:tc>
                <w:tcPr>
                  <w:tcW w:w="2833" w:type="pct"/>
                  <w:tcBorders>
                    <w:top w:val="single" w:sz="6" w:space="0" w:color="BFBFBF"/>
                    <w:bottom w:val="single" w:sz="6" w:space="0" w:color="BFBFBF"/>
                  </w:tcBorders>
                  <w:shd w:val="clear" w:color="auto" w:fill="auto"/>
                  <w:tcMar>
                    <w:top w:w="28" w:type="dxa"/>
                  </w:tcMar>
                  <w:vAlign w:val="center"/>
                </w:tcPr>
                <w:p w14:paraId="70DDACC5" w14:textId="77777777" w:rsidR="00603604" w:rsidRDefault="00603604" w:rsidP="0007033B">
                  <w:pPr>
                    <w:pStyle w:val="TableColumnHeading"/>
                    <w:ind w:right="28"/>
                    <w:jc w:val="left"/>
                  </w:pPr>
                  <w:r>
                    <w:t>Funding source</w:t>
                  </w:r>
                </w:p>
              </w:tc>
            </w:tr>
            <w:tr w:rsidR="00603604" w14:paraId="70DDACC9" w14:textId="77777777" w:rsidTr="0007033B">
              <w:tc>
                <w:tcPr>
                  <w:tcW w:w="2167" w:type="pct"/>
                  <w:vAlign w:val="center"/>
                </w:tcPr>
                <w:p w14:paraId="70DDACC7" w14:textId="77777777" w:rsidR="00603604" w:rsidRPr="00094F98" w:rsidRDefault="00603604" w:rsidP="0007033B">
                  <w:pPr>
                    <w:pStyle w:val="TableBodyText"/>
                    <w:spacing w:before="40"/>
                    <w:jc w:val="left"/>
                  </w:pPr>
                  <w:r w:rsidRPr="00094F98">
                    <w:t>Ethanol production subsidy</w:t>
                  </w:r>
                </w:p>
              </w:tc>
              <w:tc>
                <w:tcPr>
                  <w:tcW w:w="2833" w:type="pct"/>
                  <w:vAlign w:val="center"/>
                </w:tcPr>
                <w:p w14:paraId="70DDACC8" w14:textId="77777777" w:rsidR="00603604" w:rsidRPr="00C92462" w:rsidRDefault="00603604" w:rsidP="0007033B">
                  <w:pPr>
                    <w:pStyle w:val="TableBodyText"/>
                    <w:spacing w:before="40"/>
                    <w:jc w:val="left"/>
                  </w:pPr>
                  <w:r w:rsidRPr="00C92462">
                    <w:t xml:space="preserve">Department of Industry Annual Report 2013-14, p.61. </w:t>
                  </w:r>
                </w:p>
              </w:tc>
            </w:tr>
            <w:tr w:rsidR="00603604" w14:paraId="70DDACCC" w14:textId="77777777" w:rsidTr="0007033B">
              <w:tc>
                <w:tcPr>
                  <w:tcW w:w="2167" w:type="pct"/>
                  <w:vAlign w:val="center"/>
                </w:tcPr>
                <w:p w14:paraId="70DDACCA" w14:textId="77777777" w:rsidR="00603604" w:rsidRPr="00094F98" w:rsidRDefault="00603604" w:rsidP="0007033B">
                  <w:pPr>
                    <w:pStyle w:val="TableBodyText"/>
                    <w:jc w:val="left"/>
                  </w:pPr>
                  <w:r w:rsidRPr="00094F98">
                    <w:t>Commercialisation Australia</w:t>
                  </w:r>
                </w:p>
              </w:tc>
              <w:tc>
                <w:tcPr>
                  <w:tcW w:w="2833" w:type="pct"/>
                  <w:vAlign w:val="center"/>
                </w:tcPr>
                <w:p w14:paraId="70DDACCB" w14:textId="77777777" w:rsidR="00603604" w:rsidRPr="00C92462" w:rsidRDefault="00603604" w:rsidP="0007033B">
                  <w:pPr>
                    <w:pStyle w:val="TableBodyText"/>
                    <w:jc w:val="left"/>
                  </w:pPr>
                  <w:r w:rsidRPr="00C92462">
                    <w:t xml:space="preserve">Department of Industry contact (see accrual allocation spreadsheet).  </w:t>
                  </w:r>
                </w:p>
              </w:tc>
            </w:tr>
            <w:tr w:rsidR="00603604" w14:paraId="70DDACCF" w14:textId="77777777" w:rsidTr="0007033B">
              <w:tc>
                <w:tcPr>
                  <w:tcW w:w="2167" w:type="pct"/>
                  <w:vAlign w:val="center"/>
                </w:tcPr>
                <w:p w14:paraId="70DDACCD" w14:textId="77777777" w:rsidR="00603604" w:rsidRPr="00094F98" w:rsidRDefault="00603604" w:rsidP="0007033B">
                  <w:pPr>
                    <w:pStyle w:val="TableBodyText"/>
                    <w:jc w:val="left"/>
                  </w:pPr>
                  <w:r w:rsidRPr="00094F98">
                    <w:t>CSL - Commonwealth assistance</w:t>
                  </w:r>
                </w:p>
              </w:tc>
              <w:tc>
                <w:tcPr>
                  <w:tcW w:w="2833" w:type="pct"/>
                  <w:vAlign w:val="center"/>
                </w:tcPr>
                <w:p w14:paraId="70DDACCE" w14:textId="77777777" w:rsidR="00603604" w:rsidRPr="00C92462" w:rsidRDefault="00603604" w:rsidP="0007033B">
                  <w:pPr>
                    <w:pStyle w:val="TableBodyText"/>
                    <w:jc w:val="left"/>
                  </w:pPr>
                  <w:r w:rsidRPr="00C92462">
                    <w:t xml:space="preserve">Department of Industry contact (see accrual allocation spreadsheet).  </w:t>
                  </w:r>
                </w:p>
              </w:tc>
            </w:tr>
            <w:tr w:rsidR="00603604" w14:paraId="70DDACD2" w14:textId="77777777" w:rsidTr="0007033B">
              <w:tc>
                <w:tcPr>
                  <w:tcW w:w="2167" w:type="pct"/>
                  <w:vAlign w:val="center"/>
                </w:tcPr>
                <w:p w14:paraId="70DDACD0" w14:textId="77777777" w:rsidR="00603604" w:rsidRPr="00094F98" w:rsidRDefault="00603604" w:rsidP="0007033B">
                  <w:pPr>
                    <w:pStyle w:val="TableBodyText"/>
                    <w:jc w:val="left"/>
                  </w:pPr>
                  <w:r w:rsidRPr="00094F98">
                    <w:t>Enterprise Connect Innovation Centres</w:t>
                  </w:r>
                </w:p>
              </w:tc>
              <w:tc>
                <w:tcPr>
                  <w:tcW w:w="2833" w:type="pct"/>
                  <w:vAlign w:val="center"/>
                </w:tcPr>
                <w:p w14:paraId="70DDACD1" w14:textId="77777777" w:rsidR="00603604" w:rsidRPr="00C92462" w:rsidRDefault="00603604" w:rsidP="0007033B">
                  <w:pPr>
                    <w:pStyle w:val="TableBodyText"/>
                    <w:jc w:val="left"/>
                  </w:pPr>
                  <w:r w:rsidRPr="00C92462">
                    <w:t xml:space="preserve">Department of Industry contact (see accrual allocation spreadsheet).  </w:t>
                  </w:r>
                </w:p>
              </w:tc>
            </w:tr>
            <w:tr w:rsidR="00603604" w14:paraId="70DDACD5" w14:textId="77777777" w:rsidTr="0007033B">
              <w:tc>
                <w:tcPr>
                  <w:tcW w:w="2167" w:type="pct"/>
                  <w:vAlign w:val="center"/>
                </w:tcPr>
                <w:p w14:paraId="70DDACD3" w14:textId="77777777" w:rsidR="00603604" w:rsidRDefault="00603604" w:rsidP="0007033B">
                  <w:pPr>
                    <w:pStyle w:val="TableBodyText"/>
                    <w:jc w:val="left"/>
                  </w:pPr>
                  <w:r w:rsidRPr="00094F98">
                    <w:t>Manufacturing Technology Innovation Centre</w:t>
                  </w:r>
                </w:p>
              </w:tc>
              <w:tc>
                <w:tcPr>
                  <w:tcW w:w="2833" w:type="pct"/>
                  <w:vAlign w:val="center"/>
                </w:tcPr>
                <w:p w14:paraId="70DDACD4" w14:textId="77777777" w:rsidR="00603604" w:rsidRDefault="00603604" w:rsidP="0007033B">
                  <w:pPr>
                    <w:pStyle w:val="TableBodyText"/>
                    <w:jc w:val="left"/>
                  </w:pPr>
                  <w:r w:rsidRPr="00C92462">
                    <w:t>Department of Industry contact (see accrual allocation spreadsheet) ($7.54</w:t>
                  </w:r>
                  <w:r>
                    <w:t xml:space="preserve"> </w:t>
                  </w:r>
                  <w:r w:rsidRPr="00C92462">
                    <w:t>m</w:t>
                  </w:r>
                  <w:r>
                    <w:t>illion</w:t>
                  </w:r>
                  <w:r w:rsidRPr="00C92462">
                    <w:t xml:space="preserve"> + $4.369</w:t>
                  </w:r>
                  <w:r>
                    <w:t xml:space="preserve"> </w:t>
                  </w:r>
                  <w:r w:rsidRPr="00C92462">
                    <w:t>m</w:t>
                  </w:r>
                  <w:r>
                    <w:t>illion</w:t>
                  </w:r>
                  <w:r w:rsidRPr="00C92462">
                    <w:t xml:space="preserve">).  </w:t>
                  </w:r>
                </w:p>
              </w:tc>
            </w:tr>
            <w:tr w:rsidR="00603604" w14:paraId="70DDACD8" w14:textId="77777777" w:rsidTr="0007033B">
              <w:tc>
                <w:tcPr>
                  <w:tcW w:w="2167" w:type="pct"/>
                  <w:vAlign w:val="center"/>
                </w:tcPr>
                <w:p w14:paraId="70DDACD6" w14:textId="77777777" w:rsidR="00603604" w:rsidRPr="00E47D5A" w:rsidRDefault="00603604" w:rsidP="0007033B">
                  <w:pPr>
                    <w:pStyle w:val="TableBodyText"/>
                    <w:jc w:val="left"/>
                  </w:pPr>
                  <w:r w:rsidRPr="00E47D5A">
                    <w:t>Clean Business Australia - Green Building Fund</w:t>
                  </w:r>
                </w:p>
              </w:tc>
              <w:tc>
                <w:tcPr>
                  <w:tcW w:w="2833" w:type="pct"/>
                  <w:vAlign w:val="center"/>
                </w:tcPr>
                <w:p w14:paraId="70DDACD7" w14:textId="77777777" w:rsidR="00603604" w:rsidRPr="003F3C36" w:rsidRDefault="00603604" w:rsidP="0007033B">
                  <w:pPr>
                    <w:pStyle w:val="TableBodyText"/>
                    <w:jc w:val="left"/>
                  </w:pPr>
                  <w:r w:rsidRPr="003F3C36">
                    <w:t xml:space="preserve">Department of Industry contact (see accrual allocation spreadsheet).  </w:t>
                  </w:r>
                </w:p>
              </w:tc>
            </w:tr>
            <w:tr w:rsidR="00603604" w14:paraId="70DDACDB" w14:textId="77777777" w:rsidTr="0007033B">
              <w:tc>
                <w:tcPr>
                  <w:tcW w:w="2167" w:type="pct"/>
                  <w:vAlign w:val="center"/>
                </w:tcPr>
                <w:p w14:paraId="70DDACD9" w14:textId="77777777" w:rsidR="00603604" w:rsidRPr="00E47D5A" w:rsidRDefault="00603604" w:rsidP="0007033B">
                  <w:pPr>
                    <w:pStyle w:val="TableBodyText"/>
                    <w:jc w:val="left"/>
                  </w:pPr>
                  <w:r w:rsidRPr="00E47D5A">
                    <w:t>Clean Technology Investment - Food and Foundries Program</w:t>
                  </w:r>
                </w:p>
              </w:tc>
              <w:tc>
                <w:tcPr>
                  <w:tcW w:w="2833" w:type="pct"/>
                  <w:vAlign w:val="center"/>
                </w:tcPr>
                <w:p w14:paraId="70DDACDA" w14:textId="77777777" w:rsidR="00603604" w:rsidRPr="003F3C36" w:rsidRDefault="00603604" w:rsidP="0007033B">
                  <w:pPr>
                    <w:pStyle w:val="TableBodyText"/>
                    <w:jc w:val="left"/>
                  </w:pPr>
                  <w:r w:rsidRPr="003F3C36">
                    <w:t xml:space="preserve">Department of Industry contact (see accrual allocation spreadsheet).  </w:t>
                  </w:r>
                </w:p>
              </w:tc>
            </w:tr>
            <w:tr w:rsidR="00603604" w14:paraId="70DDACDE" w14:textId="77777777" w:rsidTr="0007033B">
              <w:tc>
                <w:tcPr>
                  <w:tcW w:w="2167" w:type="pct"/>
                  <w:vAlign w:val="center"/>
                </w:tcPr>
                <w:p w14:paraId="70DDACDC" w14:textId="77777777" w:rsidR="00603604" w:rsidRPr="00E47D5A" w:rsidRDefault="00603604" w:rsidP="0007033B">
                  <w:pPr>
                    <w:pStyle w:val="TableBodyText"/>
                    <w:jc w:val="left"/>
                  </w:pPr>
                  <w:r w:rsidRPr="00E47D5A">
                    <w:t>Clean Technology Investment - General Program</w:t>
                  </w:r>
                </w:p>
              </w:tc>
              <w:tc>
                <w:tcPr>
                  <w:tcW w:w="2833" w:type="pct"/>
                  <w:vAlign w:val="center"/>
                </w:tcPr>
                <w:p w14:paraId="70DDACDD" w14:textId="77777777" w:rsidR="00603604" w:rsidRPr="003F3C36" w:rsidRDefault="00603604" w:rsidP="0007033B">
                  <w:pPr>
                    <w:pStyle w:val="TableBodyText"/>
                    <w:jc w:val="left"/>
                  </w:pPr>
                  <w:r w:rsidRPr="003F3C36">
                    <w:t xml:space="preserve">Department of Industry contact (see accrual allocation spreadsheet).  </w:t>
                  </w:r>
                </w:p>
              </w:tc>
            </w:tr>
            <w:tr w:rsidR="00603604" w14:paraId="70DDACE1" w14:textId="77777777" w:rsidTr="0007033B">
              <w:tc>
                <w:tcPr>
                  <w:tcW w:w="2167" w:type="pct"/>
                  <w:vAlign w:val="center"/>
                </w:tcPr>
                <w:p w14:paraId="70DDACDF" w14:textId="77777777" w:rsidR="00603604" w:rsidRPr="00E47D5A" w:rsidRDefault="00603604" w:rsidP="0007033B">
                  <w:pPr>
                    <w:pStyle w:val="TableBodyText"/>
                    <w:jc w:val="left"/>
                  </w:pPr>
                  <w:r w:rsidRPr="00E47D5A">
                    <w:t>Clean Technology Innovation Program</w:t>
                  </w:r>
                </w:p>
              </w:tc>
              <w:tc>
                <w:tcPr>
                  <w:tcW w:w="2833" w:type="pct"/>
                  <w:vAlign w:val="center"/>
                </w:tcPr>
                <w:p w14:paraId="70DDACE0" w14:textId="77777777" w:rsidR="00603604" w:rsidRPr="003F3C36" w:rsidRDefault="00603604" w:rsidP="0007033B">
                  <w:pPr>
                    <w:pStyle w:val="TableBodyText"/>
                    <w:jc w:val="left"/>
                  </w:pPr>
                  <w:r w:rsidRPr="003F3C36">
                    <w:t xml:space="preserve">Department of Industry contact (see accrual allocation spreadsheet).  </w:t>
                  </w:r>
                </w:p>
              </w:tc>
            </w:tr>
            <w:tr w:rsidR="00603604" w14:paraId="70DDACE4" w14:textId="77777777" w:rsidTr="0007033B">
              <w:tc>
                <w:tcPr>
                  <w:tcW w:w="2167" w:type="pct"/>
                  <w:vAlign w:val="center"/>
                </w:tcPr>
                <w:p w14:paraId="70DDACE2" w14:textId="77777777" w:rsidR="00603604" w:rsidRDefault="00603604" w:rsidP="0007033B">
                  <w:pPr>
                    <w:pStyle w:val="TableBodyText"/>
                    <w:jc w:val="left"/>
                  </w:pPr>
                  <w:r w:rsidRPr="00E47D5A">
                    <w:t>Tasmanian Innovation and Investment Fund</w:t>
                  </w:r>
                </w:p>
              </w:tc>
              <w:tc>
                <w:tcPr>
                  <w:tcW w:w="2833" w:type="pct"/>
                  <w:vAlign w:val="center"/>
                </w:tcPr>
                <w:p w14:paraId="70DDACE3" w14:textId="77777777" w:rsidR="00603604" w:rsidRDefault="00603604" w:rsidP="0007033B">
                  <w:pPr>
                    <w:pStyle w:val="TableBodyText"/>
                    <w:jc w:val="left"/>
                  </w:pPr>
                  <w:r w:rsidRPr="003F3C36">
                    <w:t xml:space="preserve">Department of Industry contact (see accrual allocation spreadsheet).  </w:t>
                  </w:r>
                </w:p>
              </w:tc>
            </w:tr>
            <w:tr w:rsidR="00603604" w14:paraId="70DDACE7" w14:textId="77777777" w:rsidTr="0007033B">
              <w:tc>
                <w:tcPr>
                  <w:tcW w:w="2167" w:type="pct"/>
                  <w:vAlign w:val="center"/>
                </w:tcPr>
                <w:p w14:paraId="70DDACE5" w14:textId="77777777" w:rsidR="00603604" w:rsidRPr="00BB0DF8" w:rsidRDefault="00603604" w:rsidP="0007033B">
                  <w:pPr>
                    <w:pStyle w:val="TableBodyText"/>
                    <w:jc w:val="left"/>
                  </w:pPr>
                  <w:r w:rsidRPr="00BB0DF8">
                    <w:t>Asia Marketing Fund</w:t>
                  </w:r>
                </w:p>
              </w:tc>
              <w:tc>
                <w:tcPr>
                  <w:tcW w:w="2833" w:type="pct"/>
                  <w:vAlign w:val="center"/>
                </w:tcPr>
                <w:p w14:paraId="70DDACE6" w14:textId="77777777" w:rsidR="00603604" w:rsidRPr="005A1DDE" w:rsidRDefault="00603604" w:rsidP="0007033B">
                  <w:pPr>
                    <w:pStyle w:val="TableBodyText"/>
                    <w:jc w:val="left"/>
                  </w:pPr>
                  <w:r w:rsidRPr="005A1DDE">
                    <w:t>Department of Resources, Energy and Tourism Annual Report 2012-13, p.197.</w:t>
                  </w:r>
                </w:p>
              </w:tc>
            </w:tr>
            <w:tr w:rsidR="00603604" w14:paraId="70DDACEA" w14:textId="77777777" w:rsidTr="0007033B">
              <w:tc>
                <w:tcPr>
                  <w:tcW w:w="2167" w:type="pct"/>
                  <w:vAlign w:val="center"/>
                </w:tcPr>
                <w:p w14:paraId="70DDACE8" w14:textId="77777777" w:rsidR="00603604" w:rsidRPr="00BB0DF8" w:rsidRDefault="00603604" w:rsidP="0007033B">
                  <w:pPr>
                    <w:pStyle w:val="TableBodyText"/>
                    <w:jc w:val="left"/>
                  </w:pPr>
                  <w:r w:rsidRPr="00BB0DF8">
                    <w:t>Venture capital limited partnerships</w:t>
                  </w:r>
                </w:p>
              </w:tc>
              <w:tc>
                <w:tcPr>
                  <w:tcW w:w="2833" w:type="pct"/>
                  <w:vAlign w:val="center"/>
                </w:tcPr>
                <w:p w14:paraId="70DDACE9" w14:textId="77777777" w:rsidR="00603604" w:rsidRPr="005A1DDE" w:rsidRDefault="00603604" w:rsidP="0007033B">
                  <w:pPr>
                    <w:pStyle w:val="TableBodyText"/>
                    <w:jc w:val="left"/>
                  </w:pPr>
                  <w:r w:rsidRPr="005A1DDE">
                    <w:t>Tax Expenditures Statement 2014 (B48 and E30), p.48 and 97 (Category 1+ and 2+, respectively, or tax expenditure between 0-$10</w:t>
                  </w:r>
                  <w:r>
                    <w:t xml:space="preserve"> </w:t>
                  </w:r>
                  <w:r w:rsidRPr="005A1DDE">
                    <w:t>m</w:t>
                  </w:r>
                  <w:r>
                    <w:t>illion</w:t>
                  </w:r>
                  <w:r w:rsidRPr="005A1DDE">
                    <w:t xml:space="preserve"> and $10</w:t>
                  </w:r>
                  <w:r>
                    <w:t xml:space="preserve"> </w:t>
                  </w:r>
                  <w:r w:rsidRPr="005A1DDE">
                    <w:t>m</w:t>
                  </w:r>
                  <w:r>
                    <w:t>illion</w:t>
                  </w:r>
                  <w:r w:rsidRPr="005A1DDE">
                    <w:t>-$100</w:t>
                  </w:r>
                  <w:r>
                    <w:t xml:space="preserve"> </w:t>
                  </w:r>
                  <w:r w:rsidRPr="005A1DDE">
                    <w:t>m</w:t>
                  </w:r>
                  <w:r>
                    <w:t>illion</w:t>
                  </w:r>
                  <w:r w:rsidRPr="005A1DDE">
                    <w:t xml:space="preserve">, respectively).  Estimate from TES 2010 (B56). </w:t>
                  </w:r>
                </w:p>
              </w:tc>
            </w:tr>
            <w:tr w:rsidR="00603604" w14:paraId="70DDACED" w14:textId="77777777" w:rsidTr="0007033B">
              <w:tc>
                <w:tcPr>
                  <w:tcW w:w="2167" w:type="pct"/>
                  <w:vAlign w:val="center"/>
                </w:tcPr>
                <w:p w14:paraId="70DDACEB" w14:textId="77777777" w:rsidR="00603604" w:rsidRPr="00BB0DF8" w:rsidRDefault="00603604" w:rsidP="0007033B">
                  <w:pPr>
                    <w:pStyle w:val="TableBodyText"/>
                    <w:jc w:val="left"/>
                  </w:pPr>
                  <w:r w:rsidRPr="00BB0DF8">
                    <w:t>Innovation Investment Fund</w:t>
                  </w:r>
                </w:p>
              </w:tc>
              <w:tc>
                <w:tcPr>
                  <w:tcW w:w="2833" w:type="pct"/>
                  <w:vAlign w:val="center"/>
                </w:tcPr>
                <w:p w14:paraId="70DDACEC" w14:textId="77777777" w:rsidR="00603604" w:rsidRPr="005A1DDE" w:rsidRDefault="00603604" w:rsidP="0007033B">
                  <w:pPr>
                    <w:pStyle w:val="TableBodyText"/>
                    <w:jc w:val="left"/>
                  </w:pPr>
                  <w:r w:rsidRPr="005A1DDE">
                    <w:t xml:space="preserve">Innovation Australia Annual Report 2013-14, p.46. </w:t>
                  </w:r>
                </w:p>
              </w:tc>
            </w:tr>
            <w:tr w:rsidR="00603604" w14:paraId="70DDACF0" w14:textId="77777777" w:rsidTr="0007033B">
              <w:tc>
                <w:tcPr>
                  <w:tcW w:w="2167" w:type="pct"/>
                  <w:vAlign w:val="center"/>
                </w:tcPr>
                <w:p w14:paraId="70DDACEE" w14:textId="77777777" w:rsidR="00603604" w:rsidRPr="00BB0DF8" w:rsidRDefault="00603604" w:rsidP="0007033B">
                  <w:pPr>
                    <w:pStyle w:val="TableBodyText"/>
                    <w:jc w:val="left"/>
                  </w:pPr>
                  <w:r w:rsidRPr="00BB0DF8">
                    <w:t>Innovation Investment Follow-on Fund</w:t>
                  </w:r>
                </w:p>
              </w:tc>
              <w:tc>
                <w:tcPr>
                  <w:tcW w:w="2833" w:type="pct"/>
                  <w:vAlign w:val="center"/>
                </w:tcPr>
                <w:p w14:paraId="70DDACEF" w14:textId="77777777" w:rsidR="00603604" w:rsidRPr="005A1DDE" w:rsidRDefault="00603604" w:rsidP="0007033B">
                  <w:pPr>
                    <w:pStyle w:val="TableBodyText"/>
                    <w:jc w:val="left"/>
                  </w:pPr>
                  <w:r w:rsidRPr="005A1DDE">
                    <w:t>Innovation Australia Annual Report 2013-14, p.59.</w:t>
                  </w:r>
                </w:p>
              </w:tc>
            </w:tr>
            <w:tr w:rsidR="00603604" w14:paraId="70DDACF3" w14:textId="77777777" w:rsidTr="0007033B">
              <w:tc>
                <w:tcPr>
                  <w:tcW w:w="2167" w:type="pct"/>
                  <w:vAlign w:val="center"/>
                </w:tcPr>
                <w:p w14:paraId="70DDACF1" w14:textId="77777777" w:rsidR="00603604" w:rsidRDefault="00603604" w:rsidP="0007033B">
                  <w:pPr>
                    <w:pStyle w:val="TableBodyText"/>
                    <w:jc w:val="left"/>
                  </w:pPr>
                  <w:r w:rsidRPr="00BB0DF8">
                    <w:t>R&amp;D tax concession</w:t>
                  </w:r>
                </w:p>
              </w:tc>
              <w:tc>
                <w:tcPr>
                  <w:tcW w:w="2833" w:type="pct"/>
                  <w:vAlign w:val="center"/>
                </w:tcPr>
                <w:p w14:paraId="70DDACF2" w14:textId="77777777" w:rsidR="00603604" w:rsidRDefault="00603604" w:rsidP="0007033B">
                  <w:pPr>
                    <w:pStyle w:val="TableBodyText"/>
                    <w:jc w:val="left"/>
                  </w:pPr>
                  <w:r w:rsidRPr="005A1DDE">
                    <w:t>Tax Expenditures Statement 2013 (B100), p.93.</w:t>
                  </w:r>
                </w:p>
              </w:tc>
            </w:tr>
            <w:tr w:rsidR="00603604" w14:paraId="70DDACF6" w14:textId="77777777" w:rsidTr="0007033B">
              <w:tc>
                <w:tcPr>
                  <w:tcW w:w="2167" w:type="pct"/>
                  <w:vAlign w:val="center"/>
                </w:tcPr>
                <w:p w14:paraId="70DDACF4" w14:textId="77777777" w:rsidR="00603604" w:rsidRPr="0087323A" w:rsidRDefault="00603604" w:rsidP="0007033B">
                  <w:pPr>
                    <w:pStyle w:val="TableBodyText"/>
                    <w:jc w:val="left"/>
                  </w:pPr>
                  <w:r w:rsidRPr="0087323A">
                    <w:t>Premium R&amp;D tax concession</w:t>
                  </w:r>
                </w:p>
              </w:tc>
              <w:tc>
                <w:tcPr>
                  <w:tcW w:w="2833" w:type="pct"/>
                  <w:vAlign w:val="center"/>
                </w:tcPr>
                <w:p w14:paraId="70DDACF5" w14:textId="77777777" w:rsidR="00603604" w:rsidRPr="006453B7" w:rsidRDefault="00603604" w:rsidP="0007033B">
                  <w:pPr>
                    <w:pStyle w:val="TableBodyText"/>
                    <w:jc w:val="left"/>
                  </w:pPr>
                  <w:r w:rsidRPr="006453B7">
                    <w:t xml:space="preserve">Tax Expenditures Statement 2013 (B99), p.92. </w:t>
                  </w:r>
                </w:p>
              </w:tc>
            </w:tr>
            <w:tr w:rsidR="00603604" w14:paraId="70DDACF9" w14:textId="77777777" w:rsidTr="0007033B">
              <w:tc>
                <w:tcPr>
                  <w:tcW w:w="2167" w:type="pct"/>
                  <w:vAlign w:val="center"/>
                </w:tcPr>
                <w:p w14:paraId="70DDACF7" w14:textId="77777777" w:rsidR="00603604" w:rsidRPr="0087323A" w:rsidRDefault="00603604" w:rsidP="0007033B">
                  <w:pPr>
                    <w:pStyle w:val="TableBodyText"/>
                    <w:jc w:val="left"/>
                  </w:pPr>
                  <w:r w:rsidRPr="0087323A">
                    <w:t>R&amp;D tax offset payments - exemption</w:t>
                  </w:r>
                </w:p>
              </w:tc>
              <w:tc>
                <w:tcPr>
                  <w:tcW w:w="2833" w:type="pct"/>
                  <w:vAlign w:val="center"/>
                </w:tcPr>
                <w:p w14:paraId="70DDACF8" w14:textId="77777777" w:rsidR="00603604" w:rsidRPr="006453B7" w:rsidRDefault="00603604" w:rsidP="0007033B">
                  <w:pPr>
                    <w:pStyle w:val="TableBodyText"/>
                    <w:jc w:val="left"/>
                  </w:pPr>
                  <w:r w:rsidRPr="006453B7">
                    <w:t>Tax Expenditures Statement 2013 (B95), p.90.</w:t>
                  </w:r>
                </w:p>
              </w:tc>
            </w:tr>
            <w:tr w:rsidR="00603604" w14:paraId="70DDACFC" w14:textId="77777777" w:rsidTr="0007033B">
              <w:tc>
                <w:tcPr>
                  <w:tcW w:w="2167" w:type="pct"/>
                  <w:vAlign w:val="center"/>
                </w:tcPr>
                <w:p w14:paraId="70DDACFA" w14:textId="77777777" w:rsidR="00603604" w:rsidRPr="0087323A" w:rsidRDefault="00603604" w:rsidP="0007033B">
                  <w:pPr>
                    <w:pStyle w:val="TableBodyText"/>
                    <w:jc w:val="left"/>
                  </w:pPr>
                  <w:r w:rsidRPr="0087323A">
                    <w:t xml:space="preserve">Australian Paper's Maryville Pulp and Paper </w:t>
                  </w:r>
                  <w:r>
                    <w:t>–</w:t>
                  </w:r>
                  <w:r w:rsidRPr="0087323A">
                    <w:t xml:space="preserve"> Assistance</w:t>
                  </w:r>
                </w:p>
              </w:tc>
              <w:tc>
                <w:tcPr>
                  <w:tcW w:w="2833" w:type="pct"/>
                  <w:vAlign w:val="center"/>
                </w:tcPr>
                <w:p w14:paraId="70DDACFB" w14:textId="77777777" w:rsidR="00603604" w:rsidRPr="006453B7" w:rsidRDefault="00603604" w:rsidP="0007033B">
                  <w:pPr>
                    <w:pStyle w:val="TableBodyText"/>
                    <w:jc w:val="left"/>
                  </w:pPr>
                  <w:r w:rsidRPr="006453B7">
                    <w:t xml:space="preserve">Department of Industry contact (see accrual allocation spreadsheet).  </w:t>
                  </w:r>
                </w:p>
              </w:tc>
            </w:tr>
            <w:tr w:rsidR="00603604" w14:paraId="70DDACFF" w14:textId="77777777" w:rsidTr="0007033B">
              <w:tc>
                <w:tcPr>
                  <w:tcW w:w="2167" w:type="pct"/>
                  <w:vAlign w:val="center"/>
                </w:tcPr>
                <w:p w14:paraId="70DDACFD" w14:textId="77777777" w:rsidR="00603604" w:rsidRPr="0087323A" w:rsidRDefault="00603604" w:rsidP="0007033B">
                  <w:pPr>
                    <w:pStyle w:val="TableBodyText"/>
                    <w:jc w:val="left"/>
                  </w:pPr>
                  <w:r w:rsidRPr="0087323A">
                    <w:t>Cooperative Research Centres</w:t>
                  </w:r>
                </w:p>
              </w:tc>
              <w:tc>
                <w:tcPr>
                  <w:tcW w:w="2833" w:type="pct"/>
                  <w:vAlign w:val="center"/>
                </w:tcPr>
                <w:p w14:paraId="70DDACFE" w14:textId="77777777" w:rsidR="00603604" w:rsidRPr="006453B7" w:rsidRDefault="00603604" w:rsidP="0007033B">
                  <w:pPr>
                    <w:pStyle w:val="TableBodyText"/>
                    <w:jc w:val="left"/>
                  </w:pPr>
                  <w:r w:rsidRPr="006453B7">
                    <w:t xml:space="preserve">Cooperative Research Centres contact (see CRC allocation spreadsheet).  </w:t>
                  </w:r>
                </w:p>
              </w:tc>
            </w:tr>
            <w:tr w:rsidR="00603604" w14:paraId="70DDAD02" w14:textId="77777777" w:rsidTr="0007033B">
              <w:tc>
                <w:tcPr>
                  <w:tcW w:w="2167" w:type="pct"/>
                  <w:vAlign w:val="center"/>
                </w:tcPr>
                <w:p w14:paraId="70DDAD00" w14:textId="77777777" w:rsidR="00603604" w:rsidRDefault="00603604" w:rsidP="0007033B">
                  <w:pPr>
                    <w:pStyle w:val="TableBodyText"/>
                    <w:jc w:val="left"/>
                  </w:pPr>
                  <w:r w:rsidRPr="0087323A">
                    <w:t>CSIRO</w:t>
                  </w:r>
                </w:p>
              </w:tc>
              <w:tc>
                <w:tcPr>
                  <w:tcW w:w="2833" w:type="pct"/>
                  <w:vAlign w:val="center"/>
                </w:tcPr>
                <w:p w14:paraId="70DDAD01" w14:textId="77777777" w:rsidR="00603604" w:rsidRDefault="00603604" w:rsidP="0007033B">
                  <w:pPr>
                    <w:pStyle w:val="TableBodyText"/>
                    <w:jc w:val="left"/>
                  </w:pPr>
                  <w:r w:rsidRPr="006453B7">
                    <w:t xml:space="preserve">CSIRO contact (see CSIRO allocation spreadsheet). </w:t>
                  </w:r>
                </w:p>
              </w:tc>
            </w:tr>
            <w:tr w:rsidR="00603604" w14:paraId="70DDAD05" w14:textId="77777777" w:rsidTr="0007033B">
              <w:tc>
                <w:tcPr>
                  <w:tcW w:w="2167" w:type="pct"/>
                  <w:vAlign w:val="center"/>
                </w:tcPr>
                <w:p w14:paraId="70DDAD03" w14:textId="77777777" w:rsidR="00603604" w:rsidRPr="00ED0B6D" w:rsidRDefault="00603604" w:rsidP="0007033B">
                  <w:pPr>
                    <w:pStyle w:val="TableBodyText"/>
                    <w:jc w:val="left"/>
                  </w:pPr>
                  <w:r w:rsidRPr="00ED0B6D">
                    <w:t>Small Business Advisory Services Program</w:t>
                  </w:r>
                </w:p>
              </w:tc>
              <w:tc>
                <w:tcPr>
                  <w:tcW w:w="2833" w:type="pct"/>
                  <w:vAlign w:val="center"/>
                </w:tcPr>
                <w:p w14:paraId="70DDAD04" w14:textId="77777777" w:rsidR="00603604" w:rsidRPr="00436333" w:rsidRDefault="00603604" w:rsidP="0007033B">
                  <w:pPr>
                    <w:pStyle w:val="TableBodyText"/>
                    <w:jc w:val="left"/>
                  </w:pPr>
                  <w:r w:rsidRPr="00436333">
                    <w:t xml:space="preserve">Department of Industry contact (see accrual allocation spreadsheet).  </w:t>
                  </w:r>
                </w:p>
              </w:tc>
            </w:tr>
            <w:tr w:rsidR="00603604" w14:paraId="70DDAD08" w14:textId="77777777" w:rsidTr="0007033B">
              <w:tc>
                <w:tcPr>
                  <w:tcW w:w="2167" w:type="pct"/>
                  <w:vAlign w:val="center"/>
                </w:tcPr>
                <w:p w14:paraId="70DDAD06" w14:textId="77777777" w:rsidR="00603604" w:rsidRPr="00ED0B6D" w:rsidRDefault="00603604" w:rsidP="0007033B">
                  <w:pPr>
                    <w:pStyle w:val="TableBodyText"/>
                    <w:jc w:val="left"/>
                  </w:pPr>
                  <w:r w:rsidRPr="00ED0B6D">
                    <w:t>TCF Structural Adjustment Scheme</w:t>
                  </w:r>
                </w:p>
              </w:tc>
              <w:tc>
                <w:tcPr>
                  <w:tcW w:w="2833" w:type="pct"/>
                  <w:vAlign w:val="center"/>
                </w:tcPr>
                <w:p w14:paraId="70DDAD07" w14:textId="77777777" w:rsidR="00603604" w:rsidRPr="00436333" w:rsidRDefault="00603604" w:rsidP="0007033B">
                  <w:pPr>
                    <w:pStyle w:val="TableBodyText"/>
                    <w:jc w:val="left"/>
                  </w:pPr>
                  <w:r w:rsidRPr="00436333">
                    <w:t xml:space="preserve">Department of Industry contact (see accrual allocation spreadsheet).  </w:t>
                  </w:r>
                </w:p>
              </w:tc>
            </w:tr>
            <w:tr w:rsidR="00603604" w14:paraId="70DDAD0B" w14:textId="77777777" w:rsidTr="0007033B">
              <w:tc>
                <w:tcPr>
                  <w:tcW w:w="2167" w:type="pct"/>
                  <w:vAlign w:val="center"/>
                </w:tcPr>
                <w:p w14:paraId="70DDAD09" w14:textId="77777777" w:rsidR="00603604" w:rsidRPr="00ED0B6D" w:rsidRDefault="00603604" w:rsidP="0007033B">
                  <w:pPr>
                    <w:pStyle w:val="TableBodyText"/>
                    <w:jc w:val="left"/>
                  </w:pPr>
                  <w:r w:rsidRPr="00ED0B6D">
                    <w:t>TCF Small Business Program</w:t>
                  </w:r>
                </w:p>
              </w:tc>
              <w:tc>
                <w:tcPr>
                  <w:tcW w:w="2833" w:type="pct"/>
                  <w:vAlign w:val="center"/>
                </w:tcPr>
                <w:p w14:paraId="70DDAD0A" w14:textId="77777777" w:rsidR="00603604" w:rsidRPr="00436333" w:rsidRDefault="00603604" w:rsidP="0007033B">
                  <w:pPr>
                    <w:pStyle w:val="TableBodyText"/>
                    <w:jc w:val="left"/>
                  </w:pPr>
                  <w:r w:rsidRPr="00436333">
                    <w:t xml:space="preserve">Department of Industry contact (see accrual allocation spreadsheet).  </w:t>
                  </w:r>
                </w:p>
              </w:tc>
            </w:tr>
            <w:tr w:rsidR="00603604" w:rsidRPr="00460E81" w14:paraId="70DDAD0E" w14:textId="77777777" w:rsidTr="0007033B">
              <w:tc>
                <w:tcPr>
                  <w:tcW w:w="2167" w:type="pct"/>
                  <w:tcBorders>
                    <w:bottom w:val="single" w:sz="6" w:space="0" w:color="BFBFBF"/>
                  </w:tcBorders>
                  <w:shd w:val="clear" w:color="auto" w:fill="auto"/>
                  <w:vAlign w:val="center"/>
                </w:tcPr>
                <w:p w14:paraId="70DDAD0C" w14:textId="77777777" w:rsidR="00603604" w:rsidRPr="00460E81" w:rsidRDefault="00603604" w:rsidP="0007033B">
                  <w:pPr>
                    <w:pStyle w:val="TableBodyText"/>
                    <w:jc w:val="left"/>
                  </w:pPr>
                  <w:r w:rsidRPr="00460E81">
                    <w:t>TCF Strategic Capability Program</w:t>
                  </w:r>
                </w:p>
              </w:tc>
              <w:tc>
                <w:tcPr>
                  <w:tcW w:w="2833" w:type="pct"/>
                  <w:tcBorders>
                    <w:bottom w:val="single" w:sz="6" w:space="0" w:color="BFBFBF"/>
                  </w:tcBorders>
                  <w:shd w:val="clear" w:color="auto" w:fill="auto"/>
                  <w:vAlign w:val="center"/>
                </w:tcPr>
                <w:p w14:paraId="70DDAD0D" w14:textId="77777777" w:rsidR="00603604" w:rsidRPr="00460E81" w:rsidRDefault="00603604" w:rsidP="0007033B">
                  <w:pPr>
                    <w:pStyle w:val="TableBodyText"/>
                    <w:jc w:val="left"/>
                  </w:pPr>
                  <w:r w:rsidRPr="00460E81">
                    <w:t xml:space="preserve">Department of Industry contact (see accrual allocation spreadsheet).  </w:t>
                  </w:r>
                </w:p>
              </w:tc>
            </w:tr>
          </w:tbl>
          <w:p w14:paraId="70DDAD0F" w14:textId="77777777" w:rsidR="00603604" w:rsidRDefault="00603604" w:rsidP="0007033B">
            <w:pPr>
              <w:pStyle w:val="Box"/>
            </w:pPr>
          </w:p>
        </w:tc>
      </w:tr>
      <w:tr w:rsidR="00603604" w14:paraId="70DDAD12" w14:textId="77777777" w:rsidTr="00D450C5">
        <w:tc>
          <w:tcPr>
            <w:tcW w:w="5000" w:type="pct"/>
            <w:tcBorders>
              <w:top w:val="nil"/>
              <w:left w:val="nil"/>
              <w:bottom w:val="nil"/>
              <w:right w:val="nil"/>
            </w:tcBorders>
            <w:shd w:val="clear" w:color="auto" w:fill="auto"/>
            <w:vAlign w:val="center"/>
          </w:tcPr>
          <w:p w14:paraId="70DDAD11" w14:textId="77777777" w:rsidR="00603604" w:rsidRDefault="00603604" w:rsidP="0007033B">
            <w:pPr>
              <w:pStyle w:val="Source"/>
              <w:jc w:val="right"/>
            </w:pPr>
            <w:r>
              <w:t>(continued next page)</w:t>
            </w:r>
          </w:p>
        </w:tc>
      </w:tr>
      <w:tr w:rsidR="00603604" w14:paraId="70DDAD14" w14:textId="77777777" w:rsidTr="00D450C5">
        <w:tc>
          <w:tcPr>
            <w:tcW w:w="5000" w:type="pct"/>
            <w:tcBorders>
              <w:top w:val="nil"/>
              <w:left w:val="nil"/>
              <w:bottom w:val="single" w:sz="6" w:space="0" w:color="78A22F"/>
              <w:right w:val="nil"/>
            </w:tcBorders>
            <w:shd w:val="clear" w:color="auto" w:fill="auto"/>
          </w:tcPr>
          <w:p w14:paraId="70DDAD13" w14:textId="77777777" w:rsidR="00603604" w:rsidRDefault="00603604" w:rsidP="0007033B">
            <w:pPr>
              <w:pStyle w:val="Box"/>
              <w:spacing w:before="0" w:line="120" w:lineRule="exact"/>
            </w:pPr>
          </w:p>
        </w:tc>
      </w:tr>
      <w:tr w:rsidR="00603604" w:rsidRPr="000863A5" w14:paraId="70DDAD16" w14:textId="77777777" w:rsidTr="00D450C5">
        <w:tc>
          <w:tcPr>
            <w:tcW w:w="5000" w:type="pct"/>
            <w:tcBorders>
              <w:top w:val="single" w:sz="6" w:space="0" w:color="78A22F"/>
              <w:left w:val="nil"/>
              <w:bottom w:val="nil"/>
              <w:right w:val="nil"/>
            </w:tcBorders>
          </w:tcPr>
          <w:p w14:paraId="70DDAD15" w14:textId="7F030BC1" w:rsidR="00603604" w:rsidRPr="00626D32" w:rsidRDefault="00603604" w:rsidP="0007033B">
            <w:pPr>
              <w:pStyle w:val="BoxSpaceBelow"/>
            </w:pPr>
          </w:p>
        </w:tc>
      </w:tr>
    </w:tbl>
    <w:p w14:paraId="70DDAD17" w14:textId="5C747B7C" w:rsidR="00603604" w:rsidRDefault="00603604" w:rsidP="0060360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03604" w14:paraId="70DDAD19" w14:textId="77777777" w:rsidTr="00D450C5">
        <w:tc>
          <w:tcPr>
            <w:tcW w:w="5000" w:type="pct"/>
            <w:tcBorders>
              <w:top w:val="single" w:sz="6" w:space="0" w:color="78A22F"/>
              <w:left w:val="nil"/>
              <w:bottom w:val="nil"/>
              <w:right w:val="nil"/>
            </w:tcBorders>
            <w:shd w:val="clear" w:color="auto" w:fill="auto"/>
          </w:tcPr>
          <w:p w14:paraId="70DDAD18" w14:textId="77777777" w:rsidR="00603604" w:rsidRPr="00784A05" w:rsidRDefault="00603604" w:rsidP="0007033B">
            <w:pPr>
              <w:pStyle w:val="TableTitle"/>
            </w:pPr>
            <w:r>
              <w:rPr>
                <w:b w:val="0"/>
              </w:rPr>
              <w:t>Table A.1</w:t>
            </w:r>
            <w:r>
              <w:tab/>
            </w:r>
            <w:r w:rsidRPr="00AD7348">
              <w:rPr>
                <w:b w:val="0"/>
                <w:sz w:val="18"/>
                <w:szCs w:val="18"/>
              </w:rPr>
              <w:t>(continued)</w:t>
            </w:r>
          </w:p>
        </w:tc>
      </w:tr>
      <w:tr w:rsidR="00603604" w14:paraId="70DDAD69" w14:textId="77777777" w:rsidTr="00D450C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685"/>
              <w:gridCol w:w="4818"/>
            </w:tblGrid>
            <w:tr w:rsidR="00603604" w14:paraId="70DDAD1C" w14:textId="77777777" w:rsidTr="0007033B">
              <w:trPr>
                <w:tblHeader/>
              </w:trPr>
              <w:tc>
                <w:tcPr>
                  <w:tcW w:w="2167" w:type="pct"/>
                  <w:tcBorders>
                    <w:top w:val="single" w:sz="6" w:space="0" w:color="BFBFBF"/>
                    <w:bottom w:val="single" w:sz="6" w:space="0" w:color="BFBFBF"/>
                  </w:tcBorders>
                  <w:shd w:val="clear" w:color="auto" w:fill="auto"/>
                  <w:tcMar>
                    <w:top w:w="28" w:type="dxa"/>
                  </w:tcMar>
                  <w:vAlign w:val="center"/>
                </w:tcPr>
                <w:p w14:paraId="70DDAD1A" w14:textId="77777777" w:rsidR="00603604" w:rsidRDefault="00603604" w:rsidP="0007033B">
                  <w:pPr>
                    <w:pStyle w:val="TableColumnHeading"/>
                    <w:jc w:val="left"/>
                  </w:pPr>
                  <w:r>
                    <w:t>Program</w:t>
                  </w:r>
                </w:p>
              </w:tc>
              <w:tc>
                <w:tcPr>
                  <w:tcW w:w="2833" w:type="pct"/>
                  <w:tcBorders>
                    <w:top w:val="single" w:sz="6" w:space="0" w:color="BFBFBF"/>
                    <w:bottom w:val="single" w:sz="6" w:space="0" w:color="BFBFBF"/>
                  </w:tcBorders>
                  <w:shd w:val="clear" w:color="auto" w:fill="auto"/>
                  <w:tcMar>
                    <w:top w:w="28" w:type="dxa"/>
                  </w:tcMar>
                  <w:vAlign w:val="center"/>
                </w:tcPr>
                <w:p w14:paraId="70DDAD1B" w14:textId="77777777" w:rsidR="00603604" w:rsidRDefault="00603604" w:rsidP="0007033B">
                  <w:pPr>
                    <w:pStyle w:val="TableColumnHeading"/>
                    <w:ind w:right="28"/>
                    <w:jc w:val="left"/>
                  </w:pPr>
                  <w:r>
                    <w:t>Funding source</w:t>
                  </w:r>
                </w:p>
              </w:tc>
            </w:tr>
            <w:tr w:rsidR="00603604" w14:paraId="70DDAD1F" w14:textId="77777777" w:rsidTr="0007033B">
              <w:tc>
                <w:tcPr>
                  <w:tcW w:w="2167" w:type="pct"/>
                  <w:tcBorders>
                    <w:top w:val="single" w:sz="6" w:space="0" w:color="BFBFBF"/>
                  </w:tcBorders>
                </w:tcPr>
                <w:p w14:paraId="70DDAD1D" w14:textId="77777777" w:rsidR="00603604" w:rsidRDefault="00603604" w:rsidP="0007033B">
                  <w:pPr>
                    <w:pStyle w:val="TableUnitsRow"/>
                    <w:jc w:val="left"/>
                  </w:pPr>
                  <w:r w:rsidRPr="00460E81">
                    <w:t>Clothing and Household Textile Building Innovative Capability Program</w:t>
                  </w:r>
                </w:p>
              </w:tc>
              <w:tc>
                <w:tcPr>
                  <w:tcW w:w="2833" w:type="pct"/>
                  <w:tcBorders>
                    <w:top w:val="single" w:sz="6" w:space="0" w:color="BFBFBF"/>
                  </w:tcBorders>
                </w:tcPr>
                <w:p w14:paraId="70DDAD1E" w14:textId="77777777" w:rsidR="00603604" w:rsidRDefault="00603604" w:rsidP="00EE323B">
                  <w:pPr>
                    <w:pStyle w:val="TableUnitsRow"/>
                    <w:ind w:right="28"/>
                    <w:jc w:val="left"/>
                  </w:pPr>
                  <w:r w:rsidRPr="00460E81">
                    <w:t xml:space="preserve">Department of Industry contact (see accrual allocation spreadsheet).  </w:t>
                  </w:r>
                </w:p>
              </w:tc>
            </w:tr>
            <w:tr w:rsidR="00603604" w14:paraId="70DDAD22" w14:textId="77777777" w:rsidTr="0007033B">
              <w:tc>
                <w:tcPr>
                  <w:tcW w:w="2167" w:type="pct"/>
                  <w:vAlign w:val="center"/>
                </w:tcPr>
                <w:p w14:paraId="70DDAD20" w14:textId="77777777" w:rsidR="00603604" w:rsidRPr="00A977BB" w:rsidRDefault="00603604" w:rsidP="0007033B">
                  <w:pPr>
                    <w:pStyle w:val="TableBodyText"/>
                    <w:jc w:val="left"/>
                  </w:pPr>
                  <w:r w:rsidRPr="00A977BB">
                    <w:t>TCF corporate wear program</w:t>
                  </w:r>
                </w:p>
              </w:tc>
              <w:tc>
                <w:tcPr>
                  <w:tcW w:w="2833" w:type="pct"/>
                  <w:vAlign w:val="center"/>
                </w:tcPr>
                <w:p w14:paraId="70DDAD21" w14:textId="77777777" w:rsidR="00603604" w:rsidRPr="003E0050" w:rsidRDefault="00603604" w:rsidP="0007033B">
                  <w:pPr>
                    <w:pStyle w:val="TableBodyText"/>
                    <w:jc w:val="left"/>
                  </w:pPr>
                  <w:r w:rsidRPr="003E0050">
                    <w:t xml:space="preserve">Australian Taxation Office contact.  </w:t>
                  </w:r>
                </w:p>
              </w:tc>
            </w:tr>
            <w:tr w:rsidR="00603604" w14:paraId="70DDAD25" w14:textId="77777777" w:rsidTr="0007033B">
              <w:tc>
                <w:tcPr>
                  <w:tcW w:w="2167" w:type="pct"/>
                  <w:vAlign w:val="center"/>
                </w:tcPr>
                <w:p w14:paraId="70DDAD23" w14:textId="77777777" w:rsidR="00603604" w:rsidRPr="00A977BB" w:rsidRDefault="00603604" w:rsidP="0007033B">
                  <w:pPr>
                    <w:pStyle w:val="TableBodyText"/>
                    <w:jc w:val="left"/>
                  </w:pPr>
                  <w:r w:rsidRPr="00A977BB">
                    <w:t>Tourism Australia</w:t>
                  </w:r>
                </w:p>
              </w:tc>
              <w:tc>
                <w:tcPr>
                  <w:tcW w:w="2833" w:type="pct"/>
                  <w:vAlign w:val="center"/>
                </w:tcPr>
                <w:p w14:paraId="70DDAD24" w14:textId="77777777" w:rsidR="00603604" w:rsidRPr="003E0050" w:rsidRDefault="00603604" w:rsidP="0007033B">
                  <w:pPr>
                    <w:pStyle w:val="TableBodyText"/>
                    <w:jc w:val="left"/>
                  </w:pPr>
                  <w:r w:rsidRPr="003E0050">
                    <w:t>Tourism Australia Annual Report 2013-14, p.94.</w:t>
                  </w:r>
                </w:p>
              </w:tc>
            </w:tr>
            <w:tr w:rsidR="00603604" w14:paraId="70DDAD28" w14:textId="77777777" w:rsidTr="0007033B">
              <w:tc>
                <w:tcPr>
                  <w:tcW w:w="2167" w:type="pct"/>
                  <w:vAlign w:val="center"/>
                </w:tcPr>
                <w:p w14:paraId="70DDAD26" w14:textId="77777777" w:rsidR="00603604" w:rsidRPr="00A977BB" w:rsidRDefault="00603604" w:rsidP="0007033B">
                  <w:pPr>
                    <w:pStyle w:val="TableBodyText"/>
                    <w:jc w:val="left"/>
                  </w:pPr>
                  <w:r w:rsidRPr="00A977BB">
                    <w:t>TQUAL Grants</w:t>
                  </w:r>
                </w:p>
              </w:tc>
              <w:tc>
                <w:tcPr>
                  <w:tcW w:w="2833" w:type="pct"/>
                  <w:vAlign w:val="center"/>
                </w:tcPr>
                <w:p w14:paraId="70DDAD27" w14:textId="7582FC76" w:rsidR="00603604" w:rsidRPr="003E0050" w:rsidRDefault="00603604" w:rsidP="0007033B">
                  <w:pPr>
                    <w:pStyle w:val="TableBodyText"/>
                    <w:jc w:val="left"/>
                  </w:pPr>
                  <w:r w:rsidRPr="003E0050">
                    <w:t>Sum of grants to individual projects (</w:t>
                  </w:r>
                  <w:r w:rsidRPr="00D450C5">
                    <w:t>http://www.austrade.gov.au/Tourism/Tourism-</w:t>
                  </w:r>
                  <w:r>
                    <w:t xml:space="preserve"> </w:t>
                  </w:r>
                  <w:r w:rsidRPr="003E0050">
                    <w:t>and-business/previous-grants-programmes).</w:t>
                  </w:r>
                </w:p>
              </w:tc>
            </w:tr>
            <w:tr w:rsidR="00603604" w14:paraId="70DDAD2B" w14:textId="77777777" w:rsidTr="0007033B">
              <w:tc>
                <w:tcPr>
                  <w:tcW w:w="2167" w:type="pct"/>
                  <w:vAlign w:val="center"/>
                </w:tcPr>
                <w:p w14:paraId="70DDAD29" w14:textId="77777777" w:rsidR="00603604" w:rsidRPr="00A977BB" w:rsidRDefault="00603604" w:rsidP="0007033B">
                  <w:pPr>
                    <w:pStyle w:val="TableBodyText"/>
                    <w:jc w:val="left"/>
                  </w:pPr>
                  <w:r w:rsidRPr="00A977BB">
                    <w:t>Tourism Industry Regional Development</w:t>
                  </w:r>
                </w:p>
              </w:tc>
              <w:tc>
                <w:tcPr>
                  <w:tcW w:w="2833" w:type="pct"/>
                  <w:vAlign w:val="center"/>
                </w:tcPr>
                <w:p w14:paraId="70DDAD2A" w14:textId="7AD4642B" w:rsidR="00603604" w:rsidRPr="003E0050" w:rsidRDefault="00603604" w:rsidP="0007033B">
                  <w:pPr>
                    <w:pStyle w:val="TableBodyText"/>
                    <w:jc w:val="left"/>
                  </w:pPr>
                  <w:r w:rsidRPr="003E0050">
                    <w:t>Sum of grants to individual projects (</w:t>
                  </w:r>
                  <w:r w:rsidRPr="00D450C5">
                    <w:t>http://www.austrade.gov.au/Tourism/Tourism-</w:t>
                  </w:r>
                  <w:r>
                    <w:t xml:space="preserve"> </w:t>
                  </w:r>
                  <w:r w:rsidRPr="003E0050">
                    <w:t xml:space="preserve">and-business/previous-grants-programmes).  </w:t>
                  </w:r>
                </w:p>
              </w:tc>
            </w:tr>
            <w:tr w:rsidR="00603604" w14:paraId="70DDAD2E" w14:textId="77777777" w:rsidTr="0007033B">
              <w:tc>
                <w:tcPr>
                  <w:tcW w:w="2167" w:type="pct"/>
                  <w:vAlign w:val="center"/>
                </w:tcPr>
                <w:p w14:paraId="70DDAD2C" w14:textId="77777777" w:rsidR="00603604" w:rsidRDefault="00603604" w:rsidP="0007033B">
                  <w:pPr>
                    <w:pStyle w:val="TableBodyText"/>
                    <w:jc w:val="left"/>
                  </w:pPr>
                  <w:r w:rsidRPr="00A977BB">
                    <w:t>Tasmanian Freight Equalisation Scheme</w:t>
                  </w:r>
                </w:p>
              </w:tc>
              <w:tc>
                <w:tcPr>
                  <w:tcW w:w="2833" w:type="pct"/>
                  <w:vAlign w:val="center"/>
                </w:tcPr>
                <w:p w14:paraId="70DDAD2D" w14:textId="77777777" w:rsidR="00603604" w:rsidRDefault="00603604" w:rsidP="0007033B">
                  <w:pPr>
                    <w:pStyle w:val="TableBodyText"/>
                    <w:jc w:val="left"/>
                  </w:pPr>
                  <w:r w:rsidRPr="003E0050">
                    <w:t xml:space="preserve">Department of Infrastructure and Regional Development Annual Report, p.143. </w:t>
                  </w:r>
                </w:p>
              </w:tc>
            </w:tr>
            <w:tr w:rsidR="00603604" w14:paraId="70DDAD31" w14:textId="77777777" w:rsidTr="0007033B">
              <w:tc>
                <w:tcPr>
                  <w:tcW w:w="2167" w:type="pct"/>
                  <w:vAlign w:val="center"/>
                </w:tcPr>
                <w:p w14:paraId="70DDAD2F" w14:textId="77777777" w:rsidR="00603604" w:rsidRPr="005A29DD" w:rsidRDefault="00603604" w:rsidP="0007033B">
                  <w:pPr>
                    <w:pStyle w:val="TableBodyText"/>
                    <w:jc w:val="left"/>
                  </w:pPr>
                  <w:r w:rsidRPr="005A29DD">
                    <w:t>Bass Straight Passenger Vehicle Equalisation</w:t>
                  </w:r>
                </w:p>
              </w:tc>
              <w:tc>
                <w:tcPr>
                  <w:tcW w:w="2833" w:type="pct"/>
                  <w:vAlign w:val="center"/>
                </w:tcPr>
                <w:p w14:paraId="70DDAD30" w14:textId="77777777" w:rsidR="00603604" w:rsidRPr="006A3C48" w:rsidRDefault="00603604" w:rsidP="0007033B">
                  <w:pPr>
                    <w:pStyle w:val="TableBodyText"/>
                    <w:jc w:val="left"/>
                  </w:pPr>
                  <w:r w:rsidRPr="006A3C48">
                    <w:t xml:space="preserve">Department of Infrastructure and Regional Development Annual Report, p.143. </w:t>
                  </w:r>
                </w:p>
              </w:tc>
            </w:tr>
            <w:tr w:rsidR="00603604" w14:paraId="70DDAD34" w14:textId="77777777" w:rsidTr="0007033B">
              <w:tc>
                <w:tcPr>
                  <w:tcW w:w="2167" w:type="pct"/>
                  <w:vAlign w:val="center"/>
                </w:tcPr>
                <w:p w14:paraId="70DDAD32" w14:textId="77777777" w:rsidR="00603604" w:rsidRPr="005A29DD" w:rsidRDefault="00603604" w:rsidP="0007033B">
                  <w:pPr>
                    <w:pStyle w:val="TableBodyText"/>
                    <w:jc w:val="left"/>
                  </w:pPr>
                  <w:r w:rsidRPr="005A29DD">
                    <w:t>Payment scheme for Airservices Australia's en route charges</w:t>
                  </w:r>
                </w:p>
              </w:tc>
              <w:tc>
                <w:tcPr>
                  <w:tcW w:w="2833" w:type="pct"/>
                  <w:vAlign w:val="center"/>
                </w:tcPr>
                <w:p w14:paraId="70DDAD33" w14:textId="77777777" w:rsidR="00603604" w:rsidRPr="006A3C48" w:rsidRDefault="00603604" w:rsidP="0007033B">
                  <w:pPr>
                    <w:pStyle w:val="TableBodyText"/>
                    <w:jc w:val="left"/>
                  </w:pPr>
                  <w:r w:rsidRPr="006A3C48">
                    <w:t xml:space="preserve">Department of Infrastructure and Regional Development Annual Report, p.143. </w:t>
                  </w:r>
                </w:p>
              </w:tc>
            </w:tr>
            <w:tr w:rsidR="00603604" w14:paraId="70DDAD37" w14:textId="77777777" w:rsidTr="0007033B">
              <w:tc>
                <w:tcPr>
                  <w:tcW w:w="2167" w:type="pct"/>
                  <w:vAlign w:val="center"/>
                </w:tcPr>
                <w:p w14:paraId="70DDAD35" w14:textId="77777777" w:rsidR="00603604" w:rsidRPr="005A29DD" w:rsidRDefault="00603604" w:rsidP="0007033B">
                  <w:pPr>
                    <w:pStyle w:val="TableBodyText"/>
                    <w:jc w:val="left"/>
                  </w:pPr>
                  <w:r w:rsidRPr="005A29DD">
                    <w:t>Tax deduction for conserving or conveying water</w:t>
                  </w:r>
                </w:p>
              </w:tc>
              <w:tc>
                <w:tcPr>
                  <w:tcW w:w="2833" w:type="pct"/>
                  <w:vAlign w:val="center"/>
                </w:tcPr>
                <w:p w14:paraId="70DDAD36" w14:textId="77777777" w:rsidR="00603604" w:rsidRPr="006A3C48" w:rsidRDefault="00603604" w:rsidP="0007033B">
                  <w:pPr>
                    <w:pStyle w:val="TableBodyText"/>
                    <w:jc w:val="left"/>
                  </w:pPr>
                  <w:r w:rsidRPr="006A3C48">
                    <w:t xml:space="preserve">Tax Expenditures Statement 2014 (B69), p.56. </w:t>
                  </w:r>
                </w:p>
              </w:tc>
            </w:tr>
            <w:tr w:rsidR="00603604" w14:paraId="70DDAD3A" w14:textId="77777777" w:rsidTr="0007033B">
              <w:tc>
                <w:tcPr>
                  <w:tcW w:w="2167" w:type="pct"/>
                  <w:vAlign w:val="center"/>
                </w:tcPr>
                <w:p w14:paraId="70DDAD38" w14:textId="77777777" w:rsidR="00603604" w:rsidRPr="005A29DD" w:rsidRDefault="00603604" w:rsidP="0007033B">
                  <w:pPr>
                    <w:pStyle w:val="TableBodyText"/>
                    <w:jc w:val="left"/>
                  </w:pPr>
                  <w:r w:rsidRPr="005A29DD">
                    <w:t>Tax deductions for grape vines</w:t>
                  </w:r>
                </w:p>
              </w:tc>
              <w:tc>
                <w:tcPr>
                  <w:tcW w:w="2833" w:type="pct"/>
                  <w:vAlign w:val="center"/>
                </w:tcPr>
                <w:p w14:paraId="70DDAD39" w14:textId="77777777" w:rsidR="00603604" w:rsidRPr="006A3C48" w:rsidRDefault="00603604" w:rsidP="0007033B">
                  <w:pPr>
                    <w:pStyle w:val="TableBodyText"/>
                    <w:jc w:val="left"/>
                  </w:pPr>
                  <w:r w:rsidRPr="006A3C48">
                    <w:t>Tax Expenditures Statement 2013 (B75), p.81.</w:t>
                  </w:r>
                </w:p>
              </w:tc>
            </w:tr>
            <w:tr w:rsidR="00603604" w14:paraId="70DDAD3D" w14:textId="77777777" w:rsidTr="0007033B">
              <w:tc>
                <w:tcPr>
                  <w:tcW w:w="2167" w:type="pct"/>
                  <w:vAlign w:val="center"/>
                </w:tcPr>
                <w:p w14:paraId="70DDAD3B" w14:textId="77777777" w:rsidR="00603604" w:rsidRDefault="00603604" w:rsidP="0007033B">
                  <w:pPr>
                    <w:pStyle w:val="TableBodyText"/>
                    <w:jc w:val="left"/>
                  </w:pPr>
                  <w:r w:rsidRPr="005A29DD">
                    <w:t>Capital expenditure deduction for mining, quarrying and petroleum operations</w:t>
                  </w:r>
                </w:p>
              </w:tc>
              <w:tc>
                <w:tcPr>
                  <w:tcW w:w="2833" w:type="pct"/>
                  <w:vAlign w:val="center"/>
                </w:tcPr>
                <w:p w14:paraId="70DDAD3C" w14:textId="77777777" w:rsidR="00603604" w:rsidRDefault="00603604" w:rsidP="0007033B">
                  <w:pPr>
                    <w:pStyle w:val="TableBodyText"/>
                    <w:jc w:val="left"/>
                  </w:pPr>
                  <w:r w:rsidRPr="006A3C48">
                    <w:t>Tax Expenditures Statement 2013 (B87 and B88), p.85.</w:t>
                  </w:r>
                </w:p>
              </w:tc>
            </w:tr>
            <w:tr w:rsidR="00603604" w14:paraId="70DDAD40" w14:textId="77777777" w:rsidTr="0007033B">
              <w:tc>
                <w:tcPr>
                  <w:tcW w:w="2167" w:type="pct"/>
                  <w:vAlign w:val="center"/>
                </w:tcPr>
                <w:p w14:paraId="70DDAD3E" w14:textId="77777777" w:rsidR="00603604" w:rsidRPr="008968AD" w:rsidRDefault="00603604" w:rsidP="0007033B">
                  <w:pPr>
                    <w:pStyle w:val="TableBodyText"/>
                    <w:jc w:val="left"/>
                  </w:pPr>
                  <w:r w:rsidRPr="008968AD">
                    <w:t>Product Stewardship for Oil Program</w:t>
                  </w:r>
                </w:p>
              </w:tc>
              <w:tc>
                <w:tcPr>
                  <w:tcW w:w="2833" w:type="pct"/>
                  <w:vAlign w:val="center"/>
                </w:tcPr>
                <w:p w14:paraId="70DDAD3F" w14:textId="77777777" w:rsidR="00603604" w:rsidRPr="003C76A7" w:rsidRDefault="00603604" w:rsidP="0007033B">
                  <w:pPr>
                    <w:pStyle w:val="TableBodyText"/>
                    <w:jc w:val="left"/>
                  </w:pPr>
                  <w:r w:rsidRPr="003C76A7">
                    <w:t>Commissioner of Taxation Annual Report 2013-14, p.84.</w:t>
                  </w:r>
                </w:p>
              </w:tc>
            </w:tr>
            <w:tr w:rsidR="00603604" w14:paraId="70DDAD43" w14:textId="77777777" w:rsidTr="0007033B">
              <w:tc>
                <w:tcPr>
                  <w:tcW w:w="2167" w:type="pct"/>
                  <w:vAlign w:val="center"/>
                </w:tcPr>
                <w:p w14:paraId="70DDAD41" w14:textId="77777777" w:rsidR="00603604" w:rsidRPr="008968AD" w:rsidRDefault="00603604" w:rsidP="0007033B">
                  <w:pPr>
                    <w:pStyle w:val="TableBodyText"/>
                    <w:jc w:val="left"/>
                  </w:pPr>
                  <w:r w:rsidRPr="008968AD">
                    <w:t>Brandy preferential excise rate</w:t>
                  </w:r>
                </w:p>
              </w:tc>
              <w:tc>
                <w:tcPr>
                  <w:tcW w:w="2833" w:type="pct"/>
                  <w:vAlign w:val="center"/>
                </w:tcPr>
                <w:p w14:paraId="70DDAD42" w14:textId="77777777" w:rsidR="00603604" w:rsidRPr="003C76A7" w:rsidRDefault="00603604" w:rsidP="0007033B">
                  <w:pPr>
                    <w:pStyle w:val="TableBodyText"/>
                    <w:jc w:val="left"/>
                  </w:pPr>
                  <w:r w:rsidRPr="003C76A7">
                    <w:t xml:space="preserve">Tax Expenditures Statement 2014 (F13), p.102. </w:t>
                  </w:r>
                </w:p>
              </w:tc>
            </w:tr>
            <w:tr w:rsidR="00603604" w14:paraId="70DDAD46" w14:textId="77777777" w:rsidTr="0007033B">
              <w:tc>
                <w:tcPr>
                  <w:tcW w:w="2167" w:type="pct"/>
                  <w:vAlign w:val="center"/>
                </w:tcPr>
                <w:p w14:paraId="70DDAD44" w14:textId="77777777" w:rsidR="00603604" w:rsidRPr="008968AD" w:rsidRDefault="00603604" w:rsidP="0007033B">
                  <w:pPr>
                    <w:pStyle w:val="TableBodyText"/>
                    <w:jc w:val="left"/>
                  </w:pPr>
                  <w:r w:rsidRPr="008968AD">
                    <w:t>Offshore banking unit tax concession</w:t>
                  </w:r>
                </w:p>
              </w:tc>
              <w:tc>
                <w:tcPr>
                  <w:tcW w:w="2833" w:type="pct"/>
                  <w:vAlign w:val="center"/>
                </w:tcPr>
                <w:p w14:paraId="70DDAD45" w14:textId="77777777" w:rsidR="00603604" w:rsidRPr="003C76A7" w:rsidRDefault="00603604" w:rsidP="0007033B">
                  <w:pPr>
                    <w:pStyle w:val="TableBodyText"/>
                    <w:jc w:val="left"/>
                  </w:pPr>
                  <w:r w:rsidRPr="003C76A7">
                    <w:t xml:space="preserve">Tax Expenditures Statement 2014 (B10), p.34. </w:t>
                  </w:r>
                </w:p>
              </w:tc>
            </w:tr>
            <w:tr w:rsidR="00603604" w14:paraId="70DDAD49" w14:textId="77777777" w:rsidTr="0007033B">
              <w:tc>
                <w:tcPr>
                  <w:tcW w:w="2167" w:type="pct"/>
                  <w:vAlign w:val="center"/>
                </w:tcPr>
                <w:p w14:paraId="70DDAD47" w14:textId="77777777" w:rsidR="00603604" w:rsidRPr="008968AD" w:rsidRDefault="00603604" w:rsidP="0007033B">
                  <w:pPr>
                    <w:pStyle w:val="TableBodyText"/>
                    <w:jc w:val="left"/>
                  </w:pPr>
                  <w:r w:rsidRPr="008968AD">
                    <w:t>Taxation assistance for victims of Australian natural disasters</w:t>
                  </w:r>
                </w:p>
              </w:tc>
              <w:tc>
                <w:tcPr>
                  <w:tcW w:w="2833" w:type="pct"/>
                  <w:vAlign w:val="center"/>
                </w:tcPr>
                <w:p w14:paraId="70DDAD48" w14:textId="77777777" w:rsidR="00603604" w:rsidRPr="003C76A7" w:rsidRDefault="00603604" w:rsidP="0007033B">
                  <w:pPr>
                    <w:pStyle w:val="TableBodyText"/>
                    <w:jc w:val="left"/>
                  </w:pPr>
                  <w:r w:rsidRPr="003C76A7">
                    <w:t>Tax Expenditures Statement 2014 (B29), p.41.</w:t>
                  </w:r>
                </w:p>
              </w:tc>
            </w:tr>
            <w:tr w:rsidR="00603604" w14:paraId="70DDAD4C" w14:textId="77777777" w:rsidTr="0007033B">
              <w:tc>
                <w:tcPr>
                  <w:tcW w:w="2167" w:type="pct"/>
                  <w:vAlign w:val="center"/>
                </w:tcPr>
                <w:p w14:paraId="70DDAD4A" w14:textId="77777777" w:rsidR="00603604" w:rsidRDefault="00603604" w:rsidP="0007033B">
                  <w:pPr>
                    <w:pStyle w:val="TableBodyText"/>
                    <w:jc w:val="left"/>
                  </w:pPr>
                  <w:r w:rsidRPr="008968AD">
                    <w:t>Concessional rate of withholding tax</w:t>
                  </w:r>
                </w:p>
              </w:tc>
              <w:tc>
                <w:tcPr>
                  <w:tcW w:w="2833" w:type="pct"/>
                  <w:vAlign w:val="center"/>
                </w:tcPr>
                <w:p w14:paraId="70DDAD4B" w14:textId="77777777" w:rsidR="00603604" w:rsidRDefault="00603604" w:rsidP="0007033B">
                  <w:pPr>
                    <w:pStyle w:val="TableBodyText"/>
                    <w:jc w:val="left"/>
                  </w:pPr>
                  <w:r w:rsidRPr="003C76A7">
                    <w:t xml:space="preserve">Tax Expenditures Statement 2014 (B83), p.62. </w:t>
                  </w:r>
                </w:p>
              </w:tc>
            </w:tr>
            <w:tr w:rsidR="00603604" w14:paraId="70DDAD4F" w14:textId="77777777" w:rsidTr="0007033B">
              <w:tc>
                <w:tcPr>
                  <w:tcW w:w="2167" w:type="pct"/>
                  <w:vAlign w:val="center"/>
                </w:tcPr>
                <w:p w14:paraId="70DDAD4D" w14:textId="77777777" w:rsidR="00603604" w:rsidRPr="00205BCD" w:rsidRDefault="00603604" w:rsidP="0007033B">
                  <w:pPr>
                    <w:pStyle w:val="TableBodyText"/>
                    <w:jc w:val="left"/>
                  </w:pPr>
                  <w:r w:rsidRPr="00205BCD">
                    <w:t>Small business CGT rollover deferral</w:t>
                  </w:r>
                </w:p>
              </w:tc>
              <w:tc>
                <w:tcPr>
                  <w:tcW w:w="2833" w:type="pct"/>
                  <w:vAlign w:val="center"/>
                </w:tcPr>
                <w:p w14:paraId="70DDAD4E" w14:textId="77777777" w:rsidR="00603604" w:rsidRPr="006A5184" w:rsidRDefault="00603604" w:rsidP="0007033B">
                  <w:pPr>
                    <w:pStyle w:val="TableBodyText"/>
                    <w:jc w:val="left"/>
                  </w:pPr>
                  <w:r w:rsidRPr="006A5184">
                    <w:t xml:space="preserve">Tax Expenditures Statement 2014 (E19), p.94. </w:t>
                  </w:r>
                </w:p>
              </w:tc>
            </w:tr>
            <w:tr w:rsidR="00603604" w14:paraId="70DDAD52" w14:textId="77777777" w:rsidTr="0007033B">
              <w:tc>
                <w:tcPr>
                  <w:tcW w:w="2167" w:type="pct"/>
                  <w:vAlign w:val="center"/>
                </w:tcPr>
                <w:p w14:paraId="70DDAD50" w14:textId="77777777" w:rsidR="00603604" w:rsidRPr="00205BCD" w:rsidRDefault="00603604" w:rsidP="0007033B">
                  <w:pPr>
                    <w:pStyle w:val="TableBodyText"/>
                    <w:jc w:val="left"/>
                  </w:pPr>
                  <w:r w:rsidRPr="00205BCD">
                    <w:t>Small business CGT 50 per cent reduction</w:t>
                  </w:r>
                </w:p>
              </w:tc>
              <w:tc>
                <w:tcPr>
                  <w:tcW w:w="2833" w:type="pct"/>
                  <w:vAlign w:val="center"/>
                </w:tcPr>
                <w:p w14:paraId="70DDAD51" w14:textId="77777777" w:rsidR="00603604" w:rsidRPr="006A5184" w:rsidRDefault="00603604" w:rsidP="0007033B">
                  <w:pPr>
                    <w:pStyle w:val="TableBodyText"/>
                    <w:jc w:val="left"/>
                  </w:pPr>
                  <w:r w:rsidRPr="006A5184">
                    <w:t xml:space="preserve">Tax Expenditures Statement 2014 (E29), p.97. </w:t>
                  </w:r>
                </w:p>
              </w:tc>
            </w:tr>
            <w:tr w:rsidR="00603604" w14:paraId="70DDAD55" w14:textId="77777777" w:rsidTr="0007033B">
              <w:tc>
                <w:tcPr>
                  <w:tcW w:w="2167" w:type="pct"/>
                  <w:vAlign w:val="center"/>
                </w:tcPr>
                <w:p w14:paraId="70DDAD53" w14:textId="77777777" w:rsidR="00603604" w:rsidRPr="00205BCD" w:rsidRDefault="00603604" w:rsidP="0007033B">
                  <w:pPr>
                    <w:pStyle w:val="TableBodyText"/>
                    <w:jc w:val="left"/>
                  </w:pPr>
                  <w:r w:rsidRPr="00205BCD">
                    <w:t>Small business CGT retirement exemption</w:t>
                  </w:r>
                </w:p>
              </w:tc>
              <w:tc>
                <w:tcPr>
                  <w:tcW w:w="2833" w:type="pct"/>
                  <w:vAlign w:val="center"/>
                </w:tcPr>
                <w:p w14:paraId="70DDAD54" w14:textId="77777777" w:rsidR="00603604" w:rsidRPr="006A5184" w:rsidRDefault="00603604" w:rsidP="0007033B">
                  <w:pPr>
                    <w:pStyle w:val="TableBodyText"/>
                    <w:jc w:val="left"/>
                  </w:pPr>
                  <w:r w:rsidRPr="006A5184">
                    <w:t xml:space="preserve">Tax Expenditures Statement 2014, C9, p. 67.  </w:t>
                  </w:r>
                </w:p>
              </w:tc>
            </w:tr>
            <w:tr w:rsidR="00603604" w14:paraId="70DDAD58" w14:textId="77777777" w:rsidTr="0007033B">
              <w:tc>
                <w:tcPr>
                  <w:tcW w:w="2167" w:type="pct"/>
                  <w:vAlign w:val="center"/>
                </w:tcPr>
                <w:p w14:paraId="70DDAD56" w14:textId="77777777" w:rsidR="00603604" w:rsidRPr="00205BCD" w:rsidRDefault="00603604" w:rsidP="0007033B">
                  <w:pPr>
                    <w:pStyle w:val="TableBodyText"/>
                    <w:jc w:val="left"/>
                  </w:pPr>
                  <w:r w:rsidRPr="00205BCD">
                    <w:t>Small business CGT 15-year asset exemption</w:t>
                  </w:r>
                </w:p>
              </w:tc>
              <w:tc>
                <w:tcPr>
                  <w:tcW w:w="2833" w:type="pct"/>
                  <w:vAlign w:val="center"/>
                </w:tcPr>
                <w:p w14:paraId="70DDAD57" w14:textId="77777777" w:rsidR="00603604" w:rsidRPr="006A5184" w:rsidRDefault="00603604" w:rsidP="0007033B">
                  <w:pPr>
                    <w:pStyle w:val="TableBodyText"/>
                    <w:jc w:val="left"/>
                  </w:pPr>
                  <w:r w:rsidRPr="006A5184">
                    <w:t xml:space="preserve">Tax Expenditures Statement 2014 (C15), p.69. </w:t>
                  </w:r>
                </w:p>
              </w:tc>
            </w:tr>
            <w:tr w:rsidR="00603604" w14:paraId="70DDAD5B" w14:textId="77777777" w:rsidTr="0007033B">
              <w:tc>
                <w:tcPr>
                  <w:tcW w:w="2167" w:type="pct"/>
                  <w:vAlign w:val="center"/>
                </w:tcPr>
                <w:p w14:paraId="70DDAD59" w14:textId="77777777" w:rsidR="00603604" w:rsidRDefault="00603604" w:rsidP="0007033B">
                  <w:pPr>
                    <w:pStyle w:val="TableBodyText"/>
                    <w:jc w:val="left"/>
                  </w:pPr>
                  <w:r w:rsidRPr="00205BCD">
                    <w:t>The Small Business and General Business Tax Break</w:t>
                  </w:r>
                </w:p>
              </w:tc>
              <w:tc>
                <w:tcPr>
                  <w:tcW w:w="2833" w:type="pct"/>
                  <w:vAlign w:val="center"/>
                </w:tcPr>
                <w:p w14:paraId="70DDAD5A" w14:textId="77777777" w:rsidR="00603604" w:rsidRDefault="00603604" w:rsidP="0007033B">
                  <w:pPr>
                    <w:pStyle w:val="TableBodyText"/>
                    <w:jc w:val="left"/>
                  </w:pPr>
                  <w:r w:rsidRPr="006A5184">
                    <w:t>Tax Expenditures Statement 2013 (B103), p.94.</w:t>
                  </w:r>
                </w:p>
              </w:tc>
            </w:tr>
            <w:tr w:rsidR="00603604" w14:paraId="70DDAD5E" w14:textId="77777777" w:rsidTr="0007033B">
              <w:tc>
                <w:tcPr>
                  <w:tcW w:w="2167" w:type="pct"/>
                  <w:vAlign w:val="center"/>
                </w:tcPr>
                <w:p w14:paraId="70DDAD5C" w14:textId="77777777" w:rsidR="00603604" w:rsidRPr="0067044B" w:rsidRDefault="00603604" w:rsidP="0007033B">
                  <w:pPr>
                    <w:pStyle w:val="TableBodyText"/>
                    <w:jc w:val="left"/>
                  </w:pPr>
                  <w:r w:rsidRPr="0067044B">
                    <w:t>Small Business - Simplified depreciation rules</w:t>
                  </w:r>
                </w:p>
              </w:tc>
              <w:tc>
                <w:tcPr>
                  <w:tcW w:w="2833" w:type="pct"/>
                  <w:vAlign w:val="center"/>
                </w:tcPr>
                <w:p w14:paraId="70DDAD5D" w14:textId="77777777" w:rsidR="00603604" w:rsidRPr="00267983" w:rsidRDefault="00603604" w:rsidP="0007033B">
                  <w:pPr>
                    <w:pStyle w:val="TableBodyText"/>
                    <w:jc w:val="left"/>
                  </w:pPr>
                  <w:r w:rsidRPr="00267983">
                    <w:t xml:space="preserve">Tax Expenditures Statement 2014 (B81), p.61. </w:t>
                  </w:r>
                </w:p>
              </w:tc>
            </w:tr>
            <w:tr w:rsidR="00603604" w14:paraId="70DDAD61" w14:textId="77777777" w:rsidTr="0007033B">
              <w:tc>
                <w:tcPr>
                  <w:tcW w:w="2167" w:type="pct"/>
                  <w:vAlign w:val="center"/>
                </w:tcPr>
                <w:p w14:paraId="70DDAD5F" w14:textId="77777777" w:rsidR="00603604" w:rsidRPr="0067044B" w:rsidRDefault="00603604" w:rsidP="0007033B">
                  <w:pPr>
                    <w:pStyle w:val="TableBodyText"/>
                    <w:jc w:val="left"/>
                  </w:pPr>
                  <w:r w:rsidRPr="0067044B">
                    <w:t>R&amp;D Tax Incentive - non-refundable tax offset</w:t>
                  </w:r>
                </w:p>
              </w:tc>
              <w:tc>
                <w:tcPr>
                  <w:tcW w:w="2833" w:type="pct"/>
                  <w:vAlign w:val="center"/>
                </w:tcPr>
                <w:p w14:paraId="70DDAD60" w14:textId="77777777" w:rsidR="00603604" w:rsidRPr="00267983" w:rsidRDefault="00603604" w:rsidP="0007033B">
                  <w:pPr>
                    <w:pStyle w:val="TableBodyText"/>
                    <w:jc w:val="left"/>
                  </w:pPr>
                  <w:r w:rsidRPr="00267983">
                    <w:t xml:space="preserve">Tax Expenditures Statement 2014 (B80), p.61.  </w:t>
                  </w:r>
                </w:p>
              </w:tc>
            </w:tr>
            <w:tr w:rsidR="00603604" w14:paraId="70DDAD64" w14:textId="77777777" w:rsidTr="0007033B">
              <w:tc>
                <w:tcPr>
                  <w:tcW w:w="2167" w:type="pct"/>
                  <w:vAlign w:val="center"/>
                </w:tcPr>
                <w:p w14:paraId="70DDAD62" w14:textId="77777777" w:rsidR="00603604" w:rsidRPr="0067044B" w:rsidRDefault="00603604" w:rsidP="0007033B">
                  <w:pPr>
                    <w:pStyle w:val="TableBodyText"/>
                    <w:jc w:val="left"/>
                  </w:pPr>
                  <w:r w:rsidRPr="004F1F53">
                    <w:t>R&amp;D Tax Incentive - refundable tax offset</w:t>
                  </w:r>
                </w:p>
              </w:tc>
              <w:tc>
                <w:tcPr>
                  <w:tcW w:w="2833" w:type="pct"/>
                  <w:vAlign w:val="center"/>
                </w:tcPr>
                <w:p w14:paraId="70DDAD63" w14:textId="77777777" w:rsidR="00603604" w:rsidRPr="00267983" w:rsidRDefault="00603604" w:rsidP="0007033B">
                  <w:pPr>
                    <w:pStyle w:val="TableBodyText"/>
                    <w:jc w:val="left"/>
                  </w:pPr>
                  <w:r w:rsidRPr="004F1F53">
                    <w:t>Commissioner of Taxation Annual Report 2013-14, p.84, less the Tax Expenditures Statement 2014 estimate for the non-refundable component of the R&amp;D Tax Incentive (B80), p.61.</w:t>
                  </w:r>
                </w:p>
              </w:tc>
            </w:tr>
            <w:tr w:rsidR="00603604" w:rsidRPr="004F1F53" w14:paraId="70DDAD67" w14:textId="77777777" w:rsidTr="0007033B">
              <w:tc>
                <w:tcPr>
                  <w:tcW w:w="2167" w:type="pct"/>
                  <w:tcBorders>
                    <w:bottom w:val="single" w:sz="6" w:space="0" w:color="BFBFBF"/>
                  </w:tcBorders>
                  <w:shd w:val="clear" w:color="auto" w:fill="auto"/>
                  <w:vAlign w:val="center"/>
                </w:tcPr>
                <w:p w14:paraId="70DDAD65" w14:textId="77777777" w:rsidR="00603604" w:rsidRPr="004F1F53" w:rsidRDefault="00603604" w:rsidP="0007033B">
                  <w:pPr>
                    <w:pStyle w:val="TableBodyText"/>
                    <w:jc w:val="left"/>
                  </w:pPr>
                  <w:r w:rsidRPr="004F1F53">
                    <w:t>R&amp;D Tax Incentive - exemption of refundable tax offset</w:t>
                  </w:r>
                </w:p>
              </w:tc>
              <w:tc>
                <w:tcPr>
                  <w:tcW w:w="2833" w:type="pct"/>
                  <w:tcBorders>
                    <w:bottom w:val="single" w:sz="6" w:space="0" w:color="BFBFBF"/>
                  </w:tcBorders>
                  <w:shd w:val="clear" w:color="auto" w:fill="auto"/>
                  <w:vAlign w:val="center"/>
                </w:tcPr>
                <w:p w14:paraId="70DDAD66" w14:textId="77777777" w:rsidR="00603604" w:rsidRPr="004F1F53" w:rsidRDefault="00603604" w:rsidP="0007033B">
                  <w:pPr>
                    <w:pStyle w:val="TableBodyText"/>
                    <w:jc w:val="left"/>
                  </w:pPr>
                  <w:r w:rsidRPr="004F1F53">
                    <w:t>Tax Expenditures Statement 2014 (B79), p.60.</w:t>
                  </w:r>
                </w:p>
              </w:tc>
            </w:tr>
          </w:tbl>
          <w:p w14:paraId="70DDAD68" w14:textId="77777777" w:rsidR="00603604" w:rsidRDefault="00603604" w:rsidP="0007033B">
            <w:pPr>
              <w:pStyle w:val="Box"/>
            </w:pPr>
          </w:p>
        </w:tc>
      </w:tr>
      <w:tr w:rsidR="00603604" w14:paraId="70DDAD6B" w14:textId="77777777" w:rsidTr="00D450C5">
        <w:tc>
          <w:tcPr>
            <w:tcW w:w="5000" w:type="pct"/>
            <w:tcBorders>
              <w:top w:val="nil"/>
              <w:left w:val="nil"/>
              <w:bottom w:val="nil"/>
              <w:right w:val="nil"/>
            </w:tcBorders>
            <w:shd w:val="clear" w:color="auto" w:fill="auto"/>
            <w:vAlign w:val="center"/>
          </w:tcPr>
          <w:p w14:paraId="70DDAD6A" w14:textId="77777777" w:rsidR="00603604" w:rsidRDefault="00603604" w:rsidP="0007033B">
            <w:pPr>
              <w:pStyle w:val="Source"/>
              <w:jc w:val="right"/>
            </w:pPr>
            <w:r>
              <w:t>(continued next page)</w:t>
            </w:r>
          </w:p>
        </w:tc>
      </w:tr>
      <w:tr w:rsidR="00603604" w14:paraId="70DDAD6D" w14:textId="77777777" w:rsidTr="00D450C5">
        <w:tc>
          <w:tcPr>
            <w:tcW w:w="5000" w:type="pct"/>
            <w:tcBorders>
              <w:top w:val="nil"/>
              <w:left w:val="nil"/>
              <w:bottom w:val="single" w:sz="6" w:space="0" w:color="78A22F"/>
              <w:right w:val="nil"/>
            </w:tcBorders>
            <w:shd w:val="clear" w:color="auto" w:fill="auto"/>
          </w:tcPr>
          <w:p w14:paraId="70DDAD6C" w14:textId="77777777" w:rsidR="00603604" w:rsidRDefault="00603604" w:rsidP="0007033B">
            <w:pPr>
              <w:pStyle w:val="Box"/>
              <w:spacing w:before="0" w:line="120" w:lineRule="exact"/>
            </w:pPr>
          </w:p>
        </w:tc>
      </w:tr>
      <w:tr w:rsidR="00603604" w:rsidRPr="000863A5" w14:paraId="70DDAD6F" w14:textId="77777777" w:rsidTr="00D450C5">
        <w:tc>
          <w:tcPr>
            <w:tcW w:w="5000" w:type="pct"/>
            <w:tcBorders>
              <w:top w:val="single" w:sz="6" w:space="0" w:color="78A22F"/>
              <w:left w:val="nil"/>
              <w:bottom w:val="nil"/>
              <w:right w:val="nil"/>
            </w:tcBorders>
          </w:tcPr>
          <w:p w14:paraId="70DDAD6E" w14:textId="7BB23D94" w:rsidR="00603604" w:rsidRPr="00626D32" w:rsidRDefault="00603604" w:rsidP="0007033B">
            <w:pPr>
              <w:pStyle w:val="BoxSpaceBelow"/>
            </w:pPr>
          </w:p>
        </w:tc>
      </w:tr>
    </w:tbl>
    <w:p w14:paraId="70DDAD70" w14:textId="7FF1486E" w:rsidR="00603604" w:rsidRDefault="00603604" w:rsidP="0060360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03604" w14:paraId="70DDAD72" w14:textId="77777777" w:rsidTr="00D450C5">
        <w:tc>
          <w:tcPr>
            <w:tcW w:w="5000" w:type="pct"/>
            <w:tcBorders>
              <w:top w:val="single" w:sz="6" w:space="0" w:color="78A22F"/>
              <w:left w:val="nil"/>
              <w:bottom w:val="nil"/>
              <w:right w:val="nil"/>
            </w:tcBorders>
            <w:shd w:val="clear" w:color="auto" w:fill="auto"/>
          </w:tcPr>
          <w:p w14:paraId="70DDAD71" w14:textId="77777777" w:rsidR="00603604" w:rsidRPr="00784A05" w:rsidRDefault="00603604" w:rsidP="0007033B">
            <w:pPr>
              <w:pStyle w:val="TableTitle"/>
            </w:pPr>
            <w:r>
              <w:rPr>
                <w:b w:val="0"/>
              </w:rPr>
              <w:t>Table A.1</w:t>
            </w:r>
            <w:r>
              <w:tab/>
            </w:r>
            <w:r w:rsidRPr="00EE323B">
              <w:rPr>
                <w:b w:val="0"/>
                <w:sz w:val="18"/>
                <w:szCs w:val="18"/>
              </w:rPr>
              <w:t>(continued)</w:t>
            </w:r>
          </w:p>
        </w:tc>
      </w:tr>
      <w:tr w:rsidR="00603604" w14:paraId="70DDAD98" w14:textId="77777777" w:rsidTr="00D450C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685"/>
              <w:gridCol w:w="4818"/>
            </w:tblGrid>
            <w:tr w:rsidR="00603604" w14:paraId="70DDAD75" w14:textId="77777777" w:rsidTr="0007033B">
              <w:trPr>
                <w:tblHeader/>
              </w:trPr>
              <w:tc>
                <w:tcPr>
                  <w:tcW w:w="2167" w:type="pct"/>
                  <w:tcBorders>
                    <w:top w:val="single" w:sz="6" w:space="0" w:color="BFBFBF"/>
                    <w:bottom w:val="single" w:sz="6" w:space="0" w:color="BFBFBF"/>
                  </w:tcBorders>
                  <w:shd w:val="clear" w:color="auto" w:fill="auto"/>
                  <w:tcMar>
                    <w:top w:w="28" w:type="dxa"/>
                  </w:tcMar>
                  <w:vAlign w:val="center"/>
                </w:tcPr>
                <w:p w14:paraId="70DDAD73" w14:textId="77777777" w:rsidR="00603604" w:rsidRDefault="00603604" w:rsidP="0007033B">
                  <w:pPr>
                    <w:pStyle w:val="TableColumnHeading"/>
                    <w:jc w:val="left"/>
                  </w:pPr>
                  <w:r>
                    <w:t>Program</w:t>
                  </w:r>
                </w:p>
              </w:tc>
              <w:tc>
                <w:tcPr>
                  <w:tcW w:w="2833" w:type="pct"/>
                  <w:tcBorders>
                    <w:top w:val="single" w:sz="6" w:space="0" w:color="BFBFBF"/>
                    <w:bottom w:val="single" w:sz="6" w:space="0" w:color="BFBFBF"/>
                  </w:tcBorders>
                  <w:shd w:val="clear" w:color="auto" w:fill="auto"/>
                  <w:tcMar>
                    <w:top w:w="28" w:type="dxa"/>
                  </w:tcMar>
                  <w:vAlign w:val="center"/>
                </w:tcPr>
                <w:p w14:paraId="70DDAD74" w14:textId="77777777" w:rsidR="00603604" w:rsidRDefault="00603604" w:rsidP="0007033B">
                  <w:pPr>
                    <w:pStyle w:val="TableColumnHeading"/>
                    <w:ind w:right="28"/>
                    <w:jc w:val="left"/>
                  </w:pPr>
                  <w:r>
                    <w:t>Funding source</w:t>
                  </w:r>
                </w:p>
              </w:tc>
            </w:tr>
            <w:tr w:rsidR="00603604" w14:paraId="70DDAD78" w14:textId="77777777" w:rsidTr="0007033B">
              <w:tc>
                <w:tcPr>
                  <w:tcW w:w="2167" w:type="pct"/>
                  <w:tcBorders>
                    <w:top w:val="single" w:sz="6" w:space="0" w:color="BFBFBF"/>
                  </w:tcBorders>
                  <w:vAlign w:val="center"/>
                </w:tcPr>
                <w:p w14:paraId="70DDAD76" w14:textId="77777777" w:rsidR="00603604" w:rsidRDefault="00603604" w:rsidP="0007033B">
                  <w:pPr>
                    <w:pStyle w:val="TableBodyText"/>
                    <w:jc w:val="left"/>
                  </w:pPr>
                  <w:r w:rsidRPr="004F1F53">
                    <w:t>Tasmanian Jobs and Growth Package</w:t>
                  </w:r>
                </w:p>
              </w:tc>
              <w:tc>
                <w:tcPr>
                  <w:tcW w:w="2833" w:type="pct"/>
                  <w:tcBorders>
                    <w:top w:val="single" w:sz="6" w:space="0" w:color="BFBFBF"/>
                  </w:tcBorders>
                  <w:vAlign w:val="center"/>
                </w:tcPr>
                <w:p w14:paraId="70DDAD77" w14:textId="77777777" w:rsidR="00603604" w:rsidRDefault="00603604" w:rsidP="0007033B">
                  <w:pPr>
                    <w:pStyle w:val="TableBodyText"/>
                    <w:jc w:val="left"/>
                  </w:pPr>
                  <w:r w:rsidRPr="004F1F53">
                    <w:t>Department of Infrastructure and Regional Development Annual Report 2013-14, p.145.</w:t>
                  </w:r>
                </w:p>
              </w:tc>
            </w:tr>
            <w:tr w:rsidR="00603604" w14:paraId="70DDAD7B" w14:textId="77777777" w:rsidTr="0007033B">
              <w:tc>
                <w:tcPr>
                  <w:tcW w:w="2167" w:type="pct"/>
                  <w:vAlign w:val="center"/>
                </w:tcPr>
                <w:p w14:paraId="70DDAD79" w14:textId="77777777" w:rsidR="00603604" w:rsidRPr="00AD5591" w:rsidRDefault="00603604" w:rsidP="0007033B">
                  <w:pPr>
                    <w:pStyle w:val="TableBodyText"/>
                    <w:jc w:val="left"/>
                  </w:pPr>
                  <w:r w:rsidRPr="00AD5591">
                    <w:t>Melbourne's North Innovation and Investment Fund</w:t>
                  </w:r>
                </w:p>
              </w:tc>
              <w:tc>
                <w:tcPr>
                  <w:tcW w:w="2833" w:type="pct"/>
                  <w:vAlign w:val="center"/>
                </w:tcPr>
                <w:p w14:paraId="70DDAD7A" w14:textId="77777777" w:rsidR="00603604" w:rsidRPr="00094CDF" w:rsidRDefault="00603604" w:rsidP="0007033B">
                  <w:pPr>
                    <w:pStyle w:val="TableBodyText"/>
                    <w:jc w:val="left"/>
                  </w:pPr>
                  <w:r w:rsidRPr="00094CDF">
                    <w:t>Sum of grants to individual projects (http://www.business.gov.au/grants-and-assistance/regional-innovation/MNIIF/Pages/default.aspx)</w:t>
                  </w:r>
                </w:p>
              </w:tc>
            </w:tr>
            <w:tr w:rsidR="00603604" w14:paraId="70DDAD7E" w14:textId="77777777" w:rsidTr="0007033B">
              <w:tc>
                <w:tcPr>
                  <w:tcW w:w="2167" w:type="pct"/>
                  <w:vAlign w:val="center"/>
                </w:tcPr>
                <w:p w14:paraId="70DDAD7C" w14:textId="77777777" w:rsidR="00603604" w:rsidRPr="00AD5591" w:rsidRDefault="00603604" w:rsidP="0007033B">
                  <w:pPr>
                    <w:pStyle w:val="TableBodyText"/>
                    <w:jc w:val="left"/>
                  </w:pPr>
                  <w:r w:rsidRPr="00AD5591">
                    <w:t>Diamond Energy Assistance</w:t>
                  </w:r>
                </w:p>
              </w:tc>
              <w:tc>
                <w:tcPr>
                  <w:tcW w:w="2833" w:type="pct"/>
                  <w:vAlign w:val="center"/>
                </w:tcPr>
                <w:p w14:paraId="70DDAD7D" w14:textId="77777777" w:rsidR="00603604" w:rsidRPr="00094CDF" w:rsidRDefault="00603604" w:rsidP="0007033B">
                  <w:pPr>
                    <w:pStyle w:val="TableBodyText"/>
                    <w:jc w:val="left"/>
                  </w:pPr>
                  <w:r w:rsidRPr="00094CDF">
                    <w:t xml:space="preserve">Department of Industry contact (see accrual allocation spreadsheet).  </w:t>
                  </w:r>
                </w:p>
              </w:tc>
            </w:tr>
            <w:tr w:rsidR="00603604" w14:paraId="70DDAD81" w14:textId="77777777" w:rsidTr="0007033B">
              <w:tc>
                <w:tcPr>
                  <w:tcW w:w="2167" w:type="pct"/>
                  <w:vAlign w:val="center"/>
                </w:tcPr>
                <w:p w14:paraId="70DDAD7F" w14:textId="77777777" w:rsidR="00603604" w:rsidRPr="00AD5591" w:rsidRDefault="00603604" w:rsidP="0007033B">
                  <w:pPr>
                    <w:pStyle w:val="TableBodyText"/>
                    <w:jc w:val="left"/>
                  </w:pPr>
                  <w:r w:rsidRPr="00AD5591">
                    <w:t>Drought Assistance Package - concessions loans</w:t>
                  </w:r>
                </w:p>
              </w:tc>
              <w:tc>
                <w:tcPr>
                  <w:tcW w:w="2833" w:type="pct"/>
                  <w:vAlign w:val="center"/>
                </w:tcPr>
                <w:p w14:paraId="70DDAD80" w14:textId="77777777" w:rsidR="00603604" w:rsidRPr="00094CDF" w:rsidRDefault="00603604" w:rsidP="0007033B">
                  <w:pPr>
                    <w:pStyle w:val="TableBodyText"/>
                    <w:jc w:val="left"/>
                  </w:pPr>
                  <w:r w:rsidRPr="00094CDF">
                    <w:t xml:space="preserve">Department of Agriculture Annual Report 2013-14, p.138. </w:t>
                  </w:r>
                </w:p>
              </w:tc>
            </w:tr>
            <w:tr w:rsidR="00603604" w14:paraId="70DDAD84" w14:textId="77777777" w:rsidTr="0007033B">
              <w:tc>
                <w:tcPr>
                  <w:tcW w:w="2167" w:type="pct"/>
                  <w:vAlign w:val="center"/>
                </w:tcPr>
                <w:p w14:paraId="70DDAD82" w14:textId="77777777" w:rsidR="00603604" w:rsidRPr="00AD5591" w:rsidRDefault="00603604" w:rsidP="0007033B">
                  <w:pPr>
                    <w:pStyle w:val="TableBodyText"/>
                    <w:jc w:val="left"/>
                  </w:pPr>
                  <w:r w:rsidRPr="00AD5591">
                    <w:t>Farm Finance - concessional loans</w:t>
                  </w:r>
                </w:p>
              </w:tc>
              <w:tc>
                <w:tcPr>
                  <w:tcW w:w="2833" w:type="pct"/>
                  <w:vAlign w:val="center"/>
                </w:tcPr>
                <w:p w14:paraId="70DDAD83" w14:textId="77777777" w:rsidR="00603604" w:rsidRPr="00094CDF" w:rsidRDefault="00603604" w:rsidP="0007033B">
                  <w:pPr>
                    <w:pStyle w:val="TableBodyText"/>
                    <w:jc w:val="left"/>
                  </w:pPr>
                  <w:r w:rsidRPr="00094CDF">
                    <w:t xml:space="preserve">Department of Agriculture Annual Report 2013-14, p.139. </w:t>
                  </w:r>
                </w:p>
              </w:tc>
            </w:tr>
            <w:tr w:rsidR="00603604" w14:paraId="70DDAD87" w14:textId="77777777" w:rsidTr="0007033B">
              <w:tc>
                <w:tcPr>
                  <w:tcW w:w="2167" w:type="pct"/>
                  <w:vAlign w:val="center"/>
                </w:tcPr>
                <w:p w14:paraId="70DDAD85" w14:textId="77777777" w:rsidR="00603604" w:rsidRDefault="00603604" w:rsidP="0007033B">
                  <w:pPr>
                    <w:pStyle w:val="TableBodyText"/>
                    <w:jc w:val="left"/>
                  </w:pPr>
                  <w:r w:rsidRPr="00AD5591">
                    <w:t>Beef Australia 2015</w:t>
                  </w:r>
                </w:p>
              </w:tc>
              <w:tc>
                <w:tcPr>
                  <w:tcW w:w="2833" w:type="pct"/>
                  <w:vAlign w:val="center"/>
                </w:tcPr>
                <w:p w14:paraId="70DDAD86" w14:textId="77777777" w:rsidR="00603604" w:rsidRDefault="00603604" w:rsidP="0007033B">
                  <w:pPr>
                    <w:pStyle w:val="TableBodyText"/>
                    <w:jc w:val="left"/>
                  </w:pPr>
                  <w:r w:rsidRPr="00094CDF">
                    <w:t xml:space="preserve">Department of Agriculture Annual Report 2013-14, p.137. </w:t>
                  </w:r>
                </w:p>
              </w:tc>
            </w:tr>
            <w:tr w:rsidR="00603604" w14:paraId="70DDAD8A" w14:textId="77777777" w:rsidTr="0007033B">
              <w:tc>
                <w:tcPr>
                  <w:tcW w:w="2167" w:type="pct"/>
                  <w:vAlign w:val="center"/>
                </w:tcPr>
                <w:p w14:paraId="70DDAD88" w14:textId="77777777" w:rsidR="00603604" w:rsidRPr="00F2325E" w:rsidRDefault="00603604" w:rsidP="0007033B">
                  <w:pPr>
                    <w:pStyle w:val="TableBodyText"/>
                    <w:jc w:val="left"/>
                  </w:pPr>
                  <w:r w:rsidRPr="00F2325E">
                    <w:t>Asian Business Engagement Plan</w:t>
                  </w:r>
                </w:p>
              </w:tc>
              <w:tc>
                <w:tcPr>
                  <w:tcW w:w="2833" w:type="pct"/>
                  <w:vAlign w:val="center"/>
                </w:tcPr>
                <w:p w14:paraId="70DDAD89" w14:textId="77777777" w:rsidR="00603604" w:rsidRPr="006A3C48" w:rsidRDefault="00603604" w:rsidP="0007033B">
                  <w:pPr>
                    <w:pStyle w:val="TableBodyText"/>
                    <w:jc w:val="left"/>
                  </w:pPr>
                  <w:r w:rsidRPr="002100D4">
                    <w:t>Austrade Annual Report 2013-14, p.3.</w:t>
                  </w:r>
                </w:p>
              </w:tc>
            </w:tr>
            <w:tr w:rsidR="00603604" w14:paraId="70DDAD8D" w14:textId="77777777" w:rsidTr="0007033B">
              <w:tc>
                <w:tcPr>
                  <w:tcW w:w="2167" w:type="pct"/>
                  <w:vAlign w:val="center"/>
                </w:tcPr>
                <w:p w14:paraId="70DDAD8B" w14:textId="77777777" w:rsidR="00603604" w:rsidRPr="00F2325E" w:rsidRDefault="00603604" w:rsidP="0007033B">
                  <w:pPr>
                    <w:pStyle w:val="TableBodyText"/>
                    <w:jc w:val="left"/>
                  </w:pPr>
                  <w:r w:rsidRPr="00F2325E">
                    <w:t>Skilling Australian Defence Industry</w:t>
                  </w:r>
                </w:p>
              </w:tc>
              <w:tc>
                <w:tcPr>
                  <w:tcW w:w="2833" w:type="pct"/>
                  <w:vAlign w:val="center"/>
                </w:tcPr>
                <w:p w14:paraId="70DDAD8C" w14:textId="1354866A" w:rsidR="00603604" w:rsidRPr="006A3C48" w:rsidRDefault="00603604" w:rsidP="0007033B">
                  <w:pPr>
                    <w:pStyle w:val="TableBodyText"/>
                    <w:jc w:val="left"/>
                  </w:pPr>
                  <w:r w:rsidRPr="002100D4">
                    <w:t>Sum of grants to individual projects (</w:t>
                  </w:r>
                  <w:r w:rsidRPr="00D450C5">
                    <w:t>http://www.defence. gov.au/dmo/doing</w:t>
                  </w:r>
                  <w:r w:rsidRPr="002100D4">
                    <w:t>business/industry/skillingdefence</w:t>
                  </w:r>
                  <w:r>
                    <w:t xml:space="preserve"> </w:t>
                  </w:r>
                  <w:r w:rsidRPr="002100D4">
                    <w:t>industry/skillingaustraliandefenceindustry/)</w:t>
                  </w:r>
                </w:p>
              </w:tc>
            </w:tr>
            <w:tr w:rsidR="00603604" w14:paraId="70DDAD90" w14:textId="77777777" w:rsidTr="0007033B">
              <w:tc>
                <w:tcPr>
                  <w:tcW w:w="2167" w:type="pct"/>
                  <w:vAlign w:val="center"/>
                </w:tcPr>
                <w:p w14:paraId="70DDAD8E" w14:textId="77777777" w:rsidR="00603604" w:rsidRPr="00F2325E" w:rsidRDefault="00603604" w:rsidP="0007033B">
                  <w:pPr>
                    <w:pStyle w:val="TableBodyText"/>
                    <w:jc w:val="left"/>
                  </w:pPr>
                  <w:r w:rsidRPr="00F2325E">
                    <w:t>Industry Skilling Program Enhancement</w:t>
                  </w:r>
                </w:p>
              </w:tc>
              <w:tc>
                <w:tcPr>
                  <w:tcW w:w="2833" w:type="pct"/>
                  <w:vAlign w:val="center"/>
                </w:tcPr>
                <w:p w14:paraId="70DDAD8F" w14:textId="3FEFB860" w:rsidR="00603604" w:rsidRPr="006A3C48" w:rsidRDefault="00603604" w:rsidP="0007033B">
                  <w:pPr>
                    <w:pStyle w:val="TableBodyText"/>
                    <w:jc w:val="left"/>
                  </w:pPr>
                  <w:r w:rsidRPr="002100D4">
                    <w:t>Sum of grants to individual projects (</w:t>
                  </w:r>
                  <w:r w:rsidRPr="00D450C5">
                    <w:t>http://www.defence</w:t>
                  </w:r>
                  <w:r w:rsidRPr="002100D4">
                    <w:t>.</w:t>
                  </w:r>
                  <w:r>
                    <w:t xml:space="preserve"> </w:t>
                  </w:r>
                  <w:r w:rsidRPr="002100D4">
                    <w:t>gov.au/casg/DoingBusiness/Industry/Skillingdefence</w:t>
                  </w:r>
                  <w:r>
                    <w:t xml:space="preserve"> </w:t>
                  </w:r>
                  <w:r w:rsidRPr="002100D4">
                    <w:t>industry/IndustrySkillingProgramEnhancement/)</w:t>
                  </w:r>
                </w:p>
              </w:tc>
            </w:tr>
            <w:tr w:rsidR="00603604" w14:paraId="70DDAD93" w14:textId="77777777" w:rsidTr="0007033B">
              <w:tc>
                <w:tcPr>
                  <w:tcW w:w="2167" w:type="pct"/>
                  <w:vAlign w:val="center"/>
                </w:tcPr>
                <w:p w14:paraId="70DDAD91" w14:textId="77777777" w:rsidR="00603604" w:rsidRPr="00F2325E" w:rsidRDefault="00603604" w:rsidP="0007033B">
                  <w:pPr>
                    <w:pStyle w:val="TableBodyText"/>
                    <w:jc w:val="left"/>
                  </w:pPr>
                  <w:r w:rsidRPr="00F2325E">
                    <w:t>New Aircraft Combat Capability</w:t>
                  </w:r>
                </w:p>
              </w:tc>
              <w:tc>
                <w:tcPr>
                  <w:tcW w:w="2833" w:type="pct"/>
                  <w:vAlign w:val="center"/>
                </w:tcPr>
                <w:p w14:paraId="70DDAD92" w14:textId="19C66578" w:rsidR="00603604" w:rsidRPr="006A3C48" w:rsidRDefault="00603604" w:rsidP="0007033B">
                  <w:pPr>
                    <w:pStyle w:val="TableBodyText"/>
                    <w:jc w:val="left"/>
                  </w:pPr>
                  <w:r w:rsidRPr="002100D4">
                    <w:t>Sum of grants to individual projects (</w:t>
                  </w:r>
                  <w:r w:rsidRPr="00D450C5">
                    <w:t>http://www.defence.gov.au/casg/DoingBusiness/</w:t>
                  </w:r>
                  <w:r>
                    <w:t xml:space="preserve"> </w:t>
                  </w:r>
                  <w:r w:rsidRPr="002100D4">
                    <w:t>Industry/Industryprograms/JSF-ISP/)</w:t>
                  </w:r>
                </w:p>
              </w:tc>
            </w:tr>
            <w:tr w:rsidR="00603604" w:rsidRPr="004F1F53" w14:paraId="70DDAD96" w14:textId="77777777" w:rsidTr="0007033B">
              <w:tc>
                <w:tcPr>
                  <w:tcW w:w="2167" w:type="pct"/>
                  <w:tcBorders>
                    <w:bottom w:val="single" w:sz="6" w:space="0" w:color="BFBFBF"/>
                  </w:tcBorders>
                  <w:shd w:val="clear" w:color="auto" w:fill="auto"/>
                  <w:vAlign w:val="center"/>
                </w:tcPr>
                <w:p w14:paraId="70DDAD94" w14:textId="77777777" w:rsidR="00603604" w:rsidRPr="004F1F53" w:rsidRDefault="00603604" w:rsidP="0007033B">
                  <w:pPr>
                    <w:pStyle w:val="TableBodyText"/>
                    <w:jc w:val="left"/>
                  </w:pPr>
                  <w:r w:rsidRPr="00F2325E">
                    <w:t>Defence Materials Technology Centre</w:t>
                  </w:r>
                </w:p>
              </w:tc>
              <w:tc>
                <w:tcPr>
                  <w:tcW w:w="2833" w:type="pct"/>
                  <w:tcBorders>
                    <w:bottom w:val="single" w:sz="6" w:space="0" w:color="BFBFBF"/>
                  </w:tcBorders>
                  <w:shd w:val="clear" w:color="auto" w:fill="auto"/>
                  <w:vAlign w:val="center"/>
                </w:tcPr>
                <w:p w14:paraId="70DDAD95" w14:textId="77777777" w:rsidR="00603604" w:rsidRPr="004F1F53" w:rsidRDefault="00603604" w:rsidP="0007033B">
                  <w:pPr>
                    <w:pStyle w:val="TableBodyText"/>
                    <w:jc w:val="left"/>
                  </w:pPr>
                  <w:r w:rsidRPr="002100D4">
                    <w:t>Defence Materials Technology Centre Annual Report 2013-14, p.48.</w:t>
                  </w:r>
                </w:p>
              </w:tc>
            </w:tr>
          </w:tbl>
          <w:p w14:paraId="70DDAD97" w14:textId="77777777" w:rsidR="00603604" w:rsidRDefault="00603604" w:rsidP="0007033B">
            <w:pPr>
              <w:pStyle w:val="Box"/>
            </w:pPr>
          </w:p>
        </w:tc>
      </w:tr>
      <w:tr w:rsidR="00603604" w14:paraId="70DDAD9A" w14:textId="77777777" w:rsidTr="00D450C5">
        <w:tc>
          <w:tcPr>
            <w:tcW w:w="5000" w:type="pct"/>
            <w:tcBorders>
              <w:top w:val="nil"/>
              <w:left w:val="nil"/>
              <w:bottom w:val="nil"/>
              <w:right w:val="nil"/>
            </w:tcBorders>
            <w:shd w:val="clear" w:color="auto" w:fill="auto"/>
            <w:vAlign w:val="center"/>
          </w:tcPr>
          <w:p w14:paraId="70DDAD99" w14:textId="77777777" w:rsidR="00603604" w:rsidRDefault="00603604" w:rsidP="0007033B">
            <w:pPr>
              <w:pStyle w:val="Source"/>
              <w:jc w:val="left"/>
            </w:pPr>
            <w:r>
              <w:rPr>
                <w:i/>
              </w:rPr>
              <w:t>Source</w:t>
            </w:r>
            <w:r w:rsidRPr="00167F06">
              <w:t xml:space="preserve">: </w:t>
            </w:r>
            <w:r>
              <w:t>Commission estimates.</w:t>
            </w:r>
          </w:p>
        </w:tc>
      </w:tr>
      <w:tr w:rsidR="00603604" w14:paraId="70DDAD9C" w14:textId="77777777" w:rsidTr="00D450C5">
        <w:tc>
          <w:tcPr>
            <w:tcW w:w="5000" w:type="pct"/>
            <w:tcBorders>
              <w:top w:val="nil"/>
              <w:left w:val="nil"/>
              <w:bottom w:val="single" w:sz="6" w:space="0" w:color="78A22F"/>
              <w:right w:val="nil"/>
            </w:tcBorders>
            <w:shd w:val="clear" w:color="auto" w:fill="auto"/>
          </w:tcPr>
          <w:p w14:paraId="70DDAD9B" w14:textId="77777777" w:rsidR="00603604" w:rsidRDefault="00603604" w:rsidP="0007033B">
            <w:pPr>
              <w:pStyle w:val="Box"/>
              <w:spacing w:before="0" w:line="120" w:lineRule="exact"/>
            </w:pPr>
          </w:p>
        </w:tc>
      </w:tr>
      <w:tr w:rsidR="00603604" w:rsidRPr="000863A5" w14:paraId="70DDAD9E" w14:textId="77777777" w:rsidTr="00D450C5">
        <w:tc>
          <w:tcPr>
            <w:tcW w:w="5000" w:type="pct"/>
            <w:tcBorders>
              <w:top w:val="single" w:sz="6" w:space="0" w:color="78A22F"/>
              <w:left w:val="nil"/>
              <w:bottom w:val="nil"/>
              <w:right w:val="nil"/>
            </w:tcBorders>
          </w:tcPr>
          <w:p w14:paraId="70DDAD9D" w14:textId="667492ED" w:rsidR="00603604" w:rsidRPr="00626D32" w:rsidRDefault="00603604" w:rsidP="0007033B">
            <w:pPr>
              <w:pStyle w:val="BoxSpaceBelow"/>
            </w:pPr>
          </w:p>
        </w:tc>
      </w:tr>
    </w:tbl>
    <w:p w14:paraId="70DDAD9F" w14:textId="77777777" w:rsidR="00603604" w:rsidRDefault="00603604" w:rsidP="00603604">
      <w:pPr>
        <w:pStyle w:val="Heading4"/>
      </w:pPr>
      <w:r>
        <w:t>Industry allocation data</w:t>
      </w:r>
    </w:p>
    <w:p w14:paraId="70DDADA0" w14:textId="77777777" w:rsidR="00603604" w:rsidRDefault="00603604" w:rsidP="00603604">
      <w:pPr>
        <w:pStyle w:val="BodyText"/>
      </w:pPr>
      <w:r>
        <w:t>The Commission’s budgetary assistance estimates are also disaggregated into 46 ANZSIC-based industry groupings and 4 unallocated sectoral categories. These industry groupings are aggregated into 34 industry (and 4 unallocated) groupings for presentation in the TAR. For a number of programs the Commission obtains more detailed information about the industry incidence of program funding from a number of departments and agencies. These contacts include:</w:t>
      </w:r>
    </w:p>
    <w:p w14:paraId="70DDADA1" w14:textId="77777777" w:rsidR="00603604" w:rsidRDefault="00603604" w:rsidP="00603604">
      <w:pPr>
        <w:pStyle w:val="ListBullet"/>
      </w:pPr>
      <w:r>
        <w:t>Department of Industry (various programs including Cooperative Research Centres and TRADEX)</w:t>
      </w:r>
    </w:p>
    <w:p w14:paraId="70DDADA2" w14:textId="77777777" w:rsidR="00603604" w:rsidRDefault="00603604" w:rsidP="00603604">
      <w:pPr>
        <w:pStyle w:val="ListBullet"/>
      </w:pPr>
      <w:r>
        <w:t>CSIRO (research funding)</w:t>
      </w:r>
    </w:p>
    <w:p w14:paraId="70DDADA3" w14:textId="77777777" w:rsidR="00603604" w:rsidRDefault="00603604" w:rsidP="00603604">
      <w:pPr>
        <w:pStyle w:val="ListBullet"/>
      </w:pPr>
      <w:r>
        <w:t>Australian Taxation Office (various tax expenditures including the Small Business and General Business tax break and income tax averaging offset for primary producers)</w:t>
      </w:r>
    </w:p>
    <w:p w14:paraId="70DDADA4" w14:textId="77777777" w:rsidR="00603604" w:rsidRDefault="00603604" w:rsidP="00603604">
      <w:pPr>
        <w:pStyle w:val="ListBullet"/>
      </w:pPr>
      <w:r>
        <w:t>Department of Agriculture (and Water Resources) (various programs including Farm Management Deposits Scheme and Rural Financial Counselling Service)</w:t>
      </w:r>
    </w:p>
    <w:p w14:paraId="70DDADA5" w14:textId="77777777" w:rsidR="00603604" w:rsidRDefault="00603604" w:rsidP="00603604">
      <w:pPr>
        <w:pStyle w:val="ListBullet"/>
      </w:pPr>
      <w:r>
        <w:t>Austrade (Export Market Development Grants program)</w:t>
      </w:r>
    </w:p>
    <w:p w14:paraId="70DDADA6" w14:textId="77777777" w:rsidR="00603604" w:rsidRDefault="00603604" w:rsidP="00603604">
      <w:pPr>
        <w:pStyle w:val="ListBullet"/>
      </w:pPr>
      <w:r>
        <w:lastRenderedPageBreak/>
        <w:t>Australian Customs and Border Service (Duty Drawback)</w:t>
      </w:r>
    </w:p>
    <w:p w14:paraId="70DDADA7" w14:textId="77777777" w:rsidR="00603604" w:rsidRDefault="00603604" w:rsidP="00603604">
      <w:pPr>
        <w:pStyle w:val="BodyText"/>
      </w:pPr>
      <w:r>
        <w:t xml:space="preserve">This process is discussed in more detail in section/chapter 3. </w:t>
      </w:r>
    </w:p>
    <w:p w14:paraId="70DDADA8" w14:textId="77777777" w:rsidR="00603604" w:rsidRDefault="00603604" w:rsidP="00603604">
      <w:pPr>
        <w:pStyle w:val="Heading3"/>
      </w:pPr>
      <w:r>
        <w:t>Other data requirements</w:t>
      </w:r>
    </w:p>
    <w:p w14:paraId="70DDADA9" w14:textId="77777777" w:rsidR="00603604" w:rsidRDefault="00603604" w:rsidP="00603604">
      <w:pPr>
        <w:pStyle w:val="Heading4"/>
      </w:pPr>
      <w:r>
        <w:t>ANZSIC classification</w:t>
      </w:r>
    </w:p>
    <w:p w14:paraId="70DDADAA" w14:textId="77777777" w:rsidR="00603604" w:rsidRDefault="00603604" w:rsidP="00603604">
      <w:pPr>
        <w:pStyle w:val="BodyText"/>
      </w:pPr>
      <w:r>
        <w:t xml:space="preserve">In the </w:t>
      </w:r>
      <w:r w:rsidRPr="00EB3168">
        <w:rPr>
          <w:i/>
        </w:rPr>
        <w:t>Trade &amp; Assistance Review</w:t>
      </w:r>
      <w:r>
        <w:t>, estimates of combined assistance are presented for 38 ‘industry groupings’ including 4 ‘unallocated’ groupings (table A.2). The industry groupings are based on the classification of industries in the 2006 edition of the Australian and New Zealand Standard Industrial Classification (ANZSIC).</w:t>
      </w:r>
      <w:r>
        <w:rPr>
          <w:rStyle w:val="FootnoteReference"/>
        </w:rPr>
        <w:footnoteReference w:id="20"/>
      </w:r>
      <w:r>
        <w:t xml:space="preserve"> </w:t>
      </w:r>
    </w:p>
    <w:p w14:paraId="70DDADAB" w14:textId="77777777" w:rsidR="00603604" w:rsidRDefault="00603604" w:rsidP="00603604">
      <w:pPr>
        <w:pStyle w:val="Heading5"/>
      </w:pPr>
      <w:r>
        <w:t>Source</w:t>
      </w:r>
    </w:p>
    <w:p w14:paraId="70DDADAC" w14:textId="77777777" w:rsidR="00603604" w:rsidRDefault="00603604" w:rsidP="00603604">
      <w:pPr>
        <w:pStyle w:val="BodyText"/>
      </w:pPr>
      <w:r>
        <w:t xml:space="preserve">ABS (Australian Bureau of Statistics) 2006, </w:t>
      </w:r>
      <w:r w:rsidRPr="00055BF9">
        <w:rPr>
          <w:i/>
        </w:rPr>
        <w:t>Australian and New Zealand Standard Industrial Classification (ANZSIC)</w:t>
      </w:r>
      <w:r>
        <w:t xml:space="preserve">, Cat. No. 1292.0, ABS Canberra. </w:t>
      </w:r>
    </w:p>
    <w:p w14:paraId="70DDADAD" w14:textId="77777777" w:rsidR="00603604" w:rsidRDefault="00603604" w:rsidP="00603604">
      <w:pPr>
        <w:pStyle w:val="Heading4"/>
      </w:pPr>
      <w:r>
        <w:t>Concordances</w:t>
      </w:r>
    </w:p>
    <w:p w14:paraId="70DDADAE" w14:textId="77777777" w:rsidR="00603604" w:rsidRDefault="00603604" w:rsidP="00603604">
      <w:pPr>
        <w:pStyle w:val="BodyText"/>
      </w:pPr>
      <w:r>
        <w:t xml:space="preserve">One of the main concordances used in the TIDES model is the harmonised item (HIS) concordance between the 8-digit tariff item classification and the ABS Input-Output Product Classification (IOPC). The concordance is used to translate import and tariff rate data from the 8-digit tariff item classification to the IOPC product classification. This concordance was originally provided to the Commission by the ABS. </w:t>
      </w:r>
    </w:p>
    <w:p w14:paraId="70DDADAF" w14:textId="77777777" w:rsidR="00603604" w:rsidRDefault="00603604" w:rsidP="00603604">
      <w:pPr>
        <w:pStyle w:val="BodyText"/>
      </w:pPr>
      <w:r>
        <w:t xml:space="preserve">The concordance between the Commission’s ANZSIC-based industry groupings and the national accounts industry division and supplementary data used in the estimation process is provided in table A.3. This concordance is constructed by the Commission. </w:t>
      </w:r>
    </w:p>
    <w:p w14:paraId="70DDADB0" w14:textId="21358EC0" w:rsidR="00603604" w:rsidRDefault="00603604" w:rsidP="0060360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03604" w14:paraId="70DDADB2" w14:textId="77777777" w:rsidTr="00D450C5">
        <w:tc>
          <w:tcPr>
            <w:tcW w:w="5000" w:type="pct"/>
            <w:tcBorders>
              <w:top w:val="single" w:sz="6" w:space="0" w:color="78A22F"/>
              <w:left w:val="nil"/>
              <w:bottom w:val="nil"/>
              <w:right w:val="nil"/>
            </w:tcBorders>
            <w:shd w:val="clear" w:color="auto" w:fill="auto"/>
          </w:tcPr>
          <w:p w14:paraId="70DDADB1" w14:textId="77777777" w:rsidR="00603604" w:rsidRPr="00784A05" w:rsidRDefault="00603604" w:rsidP="0007033B">
            <w:pPr>
              <w:pStyle w:val="TableTitle"/>
            </w:pPr>
            <w:r>
              <w:rPr>
                <w:b w:val="0"/>
              </w:rPr>
              <w:t>Table A.2</w:t>
            </w:r>
            <w:r>
              <w:tab/>
              <w:t xml:space="preserve">Industry groupings used for reporting assistance </w:t>
            </w:r>
            <w:r>
              <w:br/>
              <w:t xml:space="preserve">in </w:t>
            </w:r>
            <w:r w:rsidRPr="008214BA">
              <w:rPr>
                <w:i/>
              </w:rPr>
              <w:t>Trade &amp; Assistance Review</w:t>
            </w:r>
          </w:p>
        </w:tc>
      </w:tr>
      <w:tr w:rsidR="00603604" w14:paraId="70DDAE32" w14:textId="77777777" w:rsidTr="00D450C5">
        <w:tc>
          <w:tcPr>
            <w:tcW w:w="5000" w:type="pct"/>
            <w:tcBorders>
              <w:top w:val="nil"/>
              <w:left w:val="nil"/>
              <w:bottom w:val="nil"/>
              <w:right w:val="nil"/>
            </w:tcBorders>
            <w:shd w:val="clear" w:color="auto" w:fill="auto"/>
          </w:tcPr>
          <w:tbl>
            <w:tblPr>
              <w:tblW w:w="8449" w:type="dxa"/>
              <w:tblCellMar>
                <w:top w:w="28" w:type="dxa"/>
                <w:left w:w="0" w:type="dxa"/>
                <w:right w:w="0" w:type="dxa"/>
              </w:tblCellMar>
              <w:tblLook w:val="0000" w:firstRow="0" w:lastRow="0" w:firstColumn="0" w:lastColumn="0" w:noHBand="0" w:noVBand="0"/>
            </w:tblPr>
            <w:tblGrid>
              <w:gridCol w:w="4821"/>
              <w:gridCol w:w="3628"/>
            </w:tblGrid>
            <w:tr w:rsidR="00603604" w14:paraId="70DDADB5" w14:textId="77777777" w:rsidTr="0007033B">
              <w:trPr>
                <w:tblHeader/>
              </w:trPr>
              <w:tc>
                <w:tcPr>
                  <w:tcW w:w="2853" w:type="pct"/>
                  <w:tcBorders>
                    <w:top w:val="single" w:sz="6" w:space="0" w:color="BFBFBF"/>
                    <w:bottom w:val="single" w:sz="6" w:space="0" w:color="BFBFBF"/>
                  </w:tcBorders>
                  <w:shd w:val="clear" w:color="auto" w:fill="auto"/>
                  <w:tcMar>
                    <w:top w:w="28" w:type="dxa"/>
                  </w:tcMar>
                </w:tcPr>
                <w:p w14:paraId="70DDADB3" w14:textId="77777777" w:rsidR="00603604" w:rsidRDefault="00603604" w:rsidP="0007033B">
                  <w:pPr>
                    <w:pStyle w:val="TableColumnHeading"/>
                    <w:jc w:val="left"/>
                  </w:pPr>
                  <w:r>
                    <w:t>Industry</w:t>
                  </w:r>
                </w:p>
              </w:tc>
              <w:tc>
                <w:tcPr>
                  <w:tcW w:w="2147" w:type="pct"/>
                  <w:tcBorders>
                    <w:top w:val="single" w:sz="6" w:space="0" w:color="BFBFBF"/>
                    <w:bottom w:val="single" w:sz="6" w:space="0" w:color="BFBFBF"/>
                  </w:tcBorders>
                  <w:shd w:val="clear" w:color="auto" w:fill="auto"/>
                  <w:tcMar>
                    <w:top w:w="28" w:type="dxa"/>
                  </w:tcMar>
                </w:tcPr>
                <w:p w14:paraId="70DDADB4" w14:textId="77777777" w:rsidR="00603604" w:rsidRDefault="00603604" w:rsidP="0007033B">
                  <w:pPr>
                    <w:pStyle w:val="TableColumnHeading"/>
                    <w:ind w:right="28"/>
                  </w:pPr>
                  <w:r>
                    <w:t>ANZSIC 2006 codes</w:t>
                  </w:r>
                </w:p>
              </w:tc>
            </w:tr>
            <w:tr w:rsidR="00603604" w:rsidRPr="003A141C" w14:paraId="70DDADB8" w14:textId="77777777" w:rsidTr="0007033B">
              <w:tc>
                <w:tcPr>
                  <w:tcW w:w="2853" w:type="pct"/>
                  <w:tcBorders>
                    <w:top w:val="single" w:sz="6" w:space="0" w:color="BFBFBF"/>
                  </w:tcBorders>
                </w:tcPr>
                <w:p w14:paraId="70DDADB6" w14:textId="77777777" w:rsidR="00603604" w:rsidRPr="003A141C" w:rsidRDefault="00603604" w:rsidP="0007033B">
                  <w:pPr>
                    <w:pStyle w:val="TableUnitsRow"/>
                    <w:jc w:val="left"/>
                    <w:rPr>
                      <w:b/>
                    </w:rPr>
                  </w:pPr>
                  <w:r w:rsidRPr="003A141C">
                    <w:rPr>
                      <w:b/>
                    </w:rPr>
                    <w:t>Primary production</w:t>
                  </w:r>
                </w:p>
              </w:tc>
              <w:tc>
                <w:tcPr>
                  <w:tcW w:w="2147" w:type="pct"/>
                  <w:tcBorders>
                    <w:top w:val="single" w:sz="6" w:space="0" w:color="BFBFBF"/>
                  </w:tcBorders>
                </w:tcPr>
                <w:p w14:paraId="70DDADB7" w14:textId="77777777" w:rsidR="00603604" w:rsidRPr="003A141C" w:rsidRDefault="00603604" w:rsidP="0007033B">
                  <w:pPr>
                    <w:pStyle w:val="TableUnitsRow"/>
                    <w:ind w:right="28"/>
                    <w:rPr>
                      <w:b/>
                    </w:rPr>
                  </w:pPr>
                  <w:r w:rsidRPr="003A141C">
                    <w:rPr>
                      <w:b/>
                    </w:rPr>
                    <w:t>A</w:t>
                  </w:r>
                </w:p>
              </w:tc>
            </w:tr>
            <w:tr w:rsidR="00603604" w14:paraId="70DDADBB" w14:textId="77777777" w:rsidTr="0007033B">
              <w:tc>
                <w:tcPr>
                  <w:tcW w:w="2853" w:type="pct"/>
                  <w:vAlign w:val="center"/>
                </w:tcPr>
                <w:p w14:paraId="70DDADB9" w14:textId="77777777" w:rsidR="00603604" w:rsidRPr="0084207B" w:rsidRDefault="00603604" w:rsidP="0007033B">
                  <w:pPr>
                    <w:pStyle w:val="TableBodyText"/>
                    <w:jc w:val="left"/>
                  </w:pPr>
                  <w:r w:rsidRPr="0084207B">
                    <w:t xml:space="preserve"> Horticulture and fruit growing</w:t>
                  </w:r>
                </w:p>
              </w:tc>
              <w:tc>
                <w:tcPr>
                  <w:tcW w:w="2147" w:type="pct"/>
                  <w:vAlign w:val="center"/>
                </w:tcPr>
                <w:p w14:paraId="70DDADBA" w14:textId="77777777" w:rsidR="00603604" w:rsidRPr="0084207B" w:rsidRDefault="00603604" w:rsidP="0007033B">
                  <w:pPr>
                    <w:pStyle w:val="TableBodyText"/>
                    <w:ind w:right="28"/>
                  </w:pPr>
                  <w:r w:rsidRPr="0084207B">
                    <w:t xml:space="preserve">011, 012, 013 </w:t>
                  </w:r>
                </w:p>
              </w:tc>
            </w:tr>
            <w:tr w:rsidR="00603604" w14:paraId="70DDADBE" w14:textId="77777777" w:rsidTr="0007033B">
              <w:tc>
                <w:tcPr>
                  <w:tcW w:w="2853" w:type="pct"/>
                  <w:vAlign w:val="center"/>
                </w:tcPr>
                <w:p w14:paraId="70DDADBC" w14:textId="77777777" w:rsidR="00603604" w:rsidRPr="0084207B" w:rsidRDefault="00603604" w:rsidP="0007033B">
                  <w:pPr>
                    <w:pStyle w:val="TableBodyText"/>
                    <w:jc w:val="left"/>
                  </w:pPr>
                  <w:r w:rsidRPr="0084207B">
                    <w:t xml:space="preserve"> Sheep, beef cattle and grain farming</w:t>
                  </w:r>
                </w:p>
              </w:tc>
              <w:tc>
                <w:tcPr>
                  <w:tcW w:w="2147" w:type="pct"/>
                  <w:vAlign w:val="center"/>
                </w:tcPr>
                <w:p w14:paraId="70DDADBD" w14:textId="77777777" w:rsidR="00603604" w:rsidRPr="0084207B" w:rsidRDefault="00603604" w:rsidP="0007033B">
                  <w:pPr>
                    <w:pStyle w:val="TableBodyText"/>
                    <w:ind w:right="28"/>
                  </w:pPr>
                  <w:r w:rsidRPr="0084207B">
                    <w:t>014</w:t>
                  </w:r>
                </w:p>
              </w:tc>
            </w:tr>
            <w:tr w:rsidR="00603604" w14:paraId="70DDADC1" w14:textId="77777777" w:rsidTr="0007033B">
              <w:tc>
                <w:tcPr>
                  <w:tcW w:w="2853" w:type="pct"/>
                  <w:vAlign w:val="center"/>
                </w:tcPr>
                <w:p w14:paraId="70DDADBF" w14:textId="77777777" w:rsidR="00603604" w:rsidRPr="0084207B" w:rsidRDefault="00603604" w:rsidP="0007033B">
                  <w:pPr>
                    <w:pStyle w:val="TableBodyText"/>
                    <w:jc w:val="left"/>
                  </w:pPr>
                  <w:r w:rsidRPr="0084207B">
                    <w:t xml:space="preserve"> Other crop growing</w:t>
                  </w:r>
                </w:p>
              </w:tc>
              <w:tc>
                <w:tcPr>
                  <w:tcW w:w="2147" w:type="pct"/>
                  <w:vAlign w:val="center"/>
                </w:tcPr>
                <w:p w14:paraId="70DDADC0" w14:textId="77777777" w:rsidR="00603604" w:rsidRPr="0084207B" w:rsidRDefault="00603604" w:rsidP="0007033B">
                  <w:pPr>
                    <w:pStyle w:val="TableBodyText"/>
                    <w:ind w:right="28"/>
                  </w:pPr>
                  <w:r w:rsidRPr="0084207B">
                    <w:t>015</w:t>
                  </w:r>
                </w:p>
              </w:tc>
            </w:tr>
            <w:tr w:rsidR="00603604" w14:paraId="70DDADC4" w14:textId="77777777" w:rsidTr="0007033B">
              <w:tc>
                <w:tcPr>
                  <w:tcW w:w="2853" w:type="pct"/>
                  <w:vAlign w:val="center"/>
                </w:tcPr>
                <w:p w14:paraId="70DDADC2" w14:textId="77777777" w:rsidR="00603604" w:rsidRPr="0084207B" w:rsidRDefault="00603604" w:rsidP="0007033B">
                  <w:pPr>
                    <w:pStyle w:val="TableBodyText"/>
                    <w:jc w:val="left"/>
                  </w:pPr>
                  <w:r w:rsidRPr="0084207B">
                    <w:t xml:space="preserve"> Dairy cattle farming</w:t>
                  </w:r>
                </w:p>
              </w:tc>
              <w:tc>
                <w:tcPr>
                  <w:tcW w:w="2147" w:type="pct"/>
                  <w:vAlign w:val="center"/>
                </w:tcPr>
                <w:p w14:paraId="70DDADC3" w14:textId="77777777" w:rsidR="00603604" w:rsidRPr="0084207B" w:rsidRDefault="00603604" w:rsidP="0007033B">
                  <w:pPr>
                    <w:pStyle w:val="TableBodyText"/>
                    <w:ind w:right="28"/>
                  </w:pPr>
                  <w:r w:rsidRPr="0084207B">
                    <w:t>016</w:t>
                  </w:r>
                </w:p>
              </w:tc>
            </w:tr>
            <w:tr w:rsidR="00603604" w14:paraId="70DDADC7" w14:textId="77777777" w:rsidTr="0007033B">
              <w:tc>
                <w:tcPr>
                  <w:tcW w:w="2853" w:type="pct"/>
                  <w:vAlign w:val="center"/>
                </w:tcPr>
                <w:p w14:paraId="70DDADC5" w14:textId="77777777" w:rsidR="00603604" w:rsidRPr="0084207B" w:rsidRDefault="00603604" w:rsidP="0007033B">
                  <w:pPr>
                    <w:pStyle w:val="TableBodyText"/>
                    <w:jc w:val="left"/>
                  </w:pPr>
                  <w:r w:rsidRPr="0084207B">
                    <w:t xml:space="preserve"> Other livestock farming</w:t>
                  </w:r>
                </w:p>
              </w:tc>
              <w:tc>
                <w:tcPr>
                  <w:tcW w:w="2147" w:type="pct"/>
                  <w:vAlign w:val="center"/>
                </w:tcPr>
                <w:p w14:paraId="70DDADC6" w14:textId="77777777" w:rsidR="00603604" w:rsidRPr="0084207B" w:rsidRDefault="00603604" w:rsidP="0007033B">
                  <w:pPr>
                    <w:pStyle w:val="TableBodyText"/>
                    <w:ind w:right="28"/>
                  </w:pPr>
                  <w:r w:rsidRPr="0084207B">
                    <w:t>017, 018, 019</w:t>
                  </w:r>
                </w:p>
              </w:tc>
            </w:tr>
            <w:tr w:rsidR="00603604" w14:paraId="70DDADCA" w14:textId="77777777" w:rsidTr="0007033B">
              <w:tc>
                <w:tcPr>
                  <w:tcW w:w="2853" w:type="pct"/>
                  <w:vAlign w:val="center"/>
                </w:tcPr>
                <w:p w14:paraId="70DDADC8" w14:textId="77777777" w:rsidR="00603604" w:rsidRPr="0084207B" w:rsidRDefault="00603604" w:rsidP="0007033B">
                  <w:pPr>
                    <w:pStyle w:val="TableBodyText"/>
                    <w:jc w:val="left"/>
                  </w:pPr>
                  <w:r w:rsidRPr="0084207B">
                    <w:t xml:space="preserve"> Aquaculture and fishing</w:t>
                  </w:r>
                </w:p>
              </w:tc>
              <w:tc>
                <w:tcPr>
                  <w:tcW w:w="2147" w:type="pct"/>
                  <w:vAlign w:val="center"/>
                </w:tcPr>
                <w:p w14:paraId="70DDADC9" w14:textId="77777777" w:rsidR="00603604" w:rsidRPr="0084207B" w:rsidRDefault="00603604" w:rsidP="0007033B">
                  <w:pPr>
                    <w:pStyle w:val="TableBodyText"/>
                    <w:ind w:right="28"/>
                  </w:pPr>
                  <w:r w:rsidRPr="0084207B">
                    <w:t>02, 04</w:t>
                  </w:r>
                </w:p>
              </w:tc>
            </w:tr>
            <w:tr w:rsidR="00603604" w14:paraId="70DDADCD" w14:textId="77777777" w:rsidTr="0007033B">
              <w:tc>
                <w:tcPr>
                  <w:tcW w:w="2853" w:type="pct"/>
                  <w:vAlign w:val="center"/>
                </w:tcPr>
                <w:p w14:paraId="70DDADCB" w14:textId="77777777" w:rsidR="00603604" w:rsidRPr="0084207B" w:rsidRDefault="00603604" w:rsidP="0007033B">
                  <w:pPr>
                    <w:pStyle w:val="TableBodyText"/>
                    <w:jc w:val="left"/>
                  </w:pPr>
                  <w:r w:rsidRPr="0084207B">
                    <w:t xml:space="preserve"> Forestry and logging</w:t>
                  </w:r>
                </w:p>
              </w:tc>
              <w:tc>
                <w:tcPr>
                  <w:tcW w:w="2147" w:type="pct"/>
                  <w:vAlign w:val="center"/>
                </w:tcPr>
                <w:p w14:paraId="70DDADCC" w14:textId="77777777" w:rsidR="00603604" w:rsidRPr="0084207B" w:rsidRDefault="00603604" w:rsidP="0007033B">
                  <w:pPr>
                    <w:pStyle w:val="TableBodyText"/>
                    <w:ind w:right="28"/>
                  </w:pPr>
                  <w:r w:rsidRPr="0084207B">
                    <w:t>03</w:t>
                  </w:r>
                </w:p>
              </w:tc>
            </w:tr>
            <w:tr w:rsidR="00603604" w14:paraId="70DDADD0" w14:textId="77777777" w:rsidTr="0007033B">
              <w:tc>
                <w:tcPr>
                  <w:tcW w:w="2853" w:type="pct"/>
                  <w:vAlign w:val="center"/>
                </w:tcPr>
                <w:p w14:paraId="70DDADCE" w14:textId="77777777" w:rsidR="00603604" w:rsidRPr="0084207B" w:rsidRDefault="00603604" w:rsidP="0007033B">
                  <w:pPr>
                    <w:pStyle w:val="TableBodyText"/>
                    <w:jc w:val="left"/>
                  </w:pPr>
                  <w:r w:rsidRPr="0084207B">
                    <w:t xml:space="preserve"> Primary production support services</w:t>
                  </w:r>
                </w:p>
              </w:tc>
              <w:tc>
                <w:tcPr>
                  <w:tcW w:w="2147" w:type="pct"/>
                  <w:vAlign w:val="center"/>
                </w:tcPr>
                <w:p w14:paraId="70DDADCF" w14:textId="77777777" w:rsidR="00603604" w:rsidRPr="0084207B" w:rsidRDefault="00603604" w:rsidP="0007033B">
                  <w:pPr>
                    <w:pStyle w:val="TableBodyText"/>
                    <w:ind w:right="28"/>
                  </w:pPr>
                  <w:r w:rsidRPr="0084207B">
                    <w:t>05</w:t>
                  </w:r>
                </w:p>
              </w:tc>
            </w:tr>
            <w:tr w:rsidR="00603604" w14:paraId="70DDADD3" w14:textId="77777777" w:rsidTr="0007033B">
              <w:tc>
                <w:tcPr>
                  <w:tcW w:w="2853" w:type="pct"/>
                  <w:vAlign w:val="center"/>
                </w:tcPr>
                <w:p w14:paraId="70DDADD1" w14:textId="77777777" w:rsidR="00603604" w:rsidRPr="0084207B" w:rsidRDefault="00603604" w:rsidP="0007033B">
                  <w:pPr>
                    <w:pStyle w:val="TableBodyText"/>
                    <w:jc w:val="left"/>
                  </w:pPr>
                  <w:r w:rsidRPr="0084207B">
                    <w:t xml:space="preserve"> Unallocated primary production</w:t>
                  </w:r>
                </w:p>
              </w:tc>
              <w:tc>
                <w:tcPr>
                  <w:tcW w:w="2147" w:type="pct"/>
                  <w:vAlign w:val="center"/>
                </w:tcPr>
                <w:p w14:paraId="70DDADD2" w14:textId="77777777" w:rsidR="00603604" w:rsidRDefault="00603604" w:rsidP="0007033B">
                  <w:pPr>
                    <w:pStyle w:val="TableBodyText"/>
                    <w:ind w:right="28"/>
                  </w:pPr>
                  <w:r w:rsidRPr="0084207B">
                    <w:t>–</w:t>
                  </w:r>
                </w:p>
              </w:tc>
            </w:tr>
            <w:tr w:rsidR="00603604" w:rsidRPr="003A141C" w14:paraId="70DDADD6" w14:textId="77777777" w:rsidTr="0007033B">
              <w:tc>
                <w:tcPr>
                  <w:tcW w:w="2853" w:type="pct"/>
                  <w:vAlign w:val="center"/>
                </w:tcPr>
                <w:p w14:paraId="70DDADD4" w14:textId="77777777" w:rsidR="00603604" w:rsidRPr="003A141C" w:rsidRDefault="00603604" w:rsidP="0007033B">
                  <w:pPr>
                    <w:pStyle w:val="TableBodyText"/>
                    <w:jc w:val="left"/>
                    <w:rPr>
                      <w:b/>
                    </w:rPr>
                  </w:pPr>
                  <w:r w:rsidRPr="003A141C">
                    <w:rPr>
                      <w:b/>
                    </w:rPr>
                    <w:t>Mining</w:t>
                  </w:r>
                </w:p>
              </w:tc>
              <w:tc>
                <w:tcPr>
                  <w:tcW w:w="2147" w:type="pct"/>
                  <w:vAlign w:val="center"/>
                </w:tcPr>
                <w:p w14:paraId="70DDADD5" w14:textId="77777777" w:rsidR="00603604" w:rsidRPr="003A141C" w:rsidRDefault="00603604" w:rsidP="0007033B">
                  <w:pPr>
                    <w:pStyle w:val="TableBodyText"/>
                    <w:ind w:right="28"/>
                    <w:rPr>
                      <w:b/>
                    </w:rPr>
                  </w:pPr>
                  <w:r w:rsidRPr="003A141C">
                    <w:rPr>
                      <w:b/>
                    </w:rPr>
                    <w:t>B</w:t>
                  </w:r>
                </w:p>
              </w:tc>
            </w:tr>
            <w:tr w:rsidR="00603604" w:rsidRPr="003A141C" w14:paraId="70DDADD9" w14:textId="77777777" w:rsidTr="0007033B">
              <w:tc>
                <w:tcPr>
                  <w:tcW w:w="2853" w:type="pct"/>
                  <w:vAlign w:val="center"/>
                </w:tcPr>
                <w:p w14:paraId="70DDADD7" w14:textId="77777777" w:rsidR="00603604" w:rsidRPr="003A141C" w:rsidRDefault="00603604" w:rsidP="0007033B">
                  <w:pPr>
                    <w:pStyle w:val="TableBodyText"/>
                    <w:jc w:val="left"/>
                    <w:rPr>
                      <w:b/>
                    </w:rPr>
                  </w:pPr>
                  <w:r w:rsidRPr="003A141C">
                    <w:rPr>
                      <w:b/>
                    </w:rPr>
                    <w:t>Manufacturing</w:t>
                  </w:r>
                </w:p>
              </w:tc>
              <w:tc>
                <w:tcPr>
                  <w:tcW w:w="2147" w:type="pct"/>
                  <w:vAlign w:val="center"/>
                </w:tcPr>
                <w:p w14:paraId="70DDADD8" w14:textId="77777777" w:rsidR="00603604" w:rsidRPr="003A141C" w:rsidRDefault="00603604" w:rsidP="0007033B">
                  <w:pPr>
                    <w:pStyle w:val="TableBodyText"/>
                    <w:ind w:right="28"/>
                    <w:rPr>
                      <w:b/>
                    </w:rPr>
                  </w:pPr>
                  <w:r w:rsidRPr="003A141C">
                    <w:rPr>
                      <w:b/>
                    </w:rPr>
                    <w:t>C</w:t>
                  </w:r>
                </w:p>
              </w:tc>
            </w:tr>
            <w:tr w:rsidR="00603604" w14:paraId="70DDADDC" w14:textId="77777777" w:rsidTr="0007033B">
              <w:tc>
                <w:tcPr>
                  <w:tcW w:w="2853" w:type="pct"/>
                  <w:vAlign w:val="center"/>
                </w:tcPr>
                <w:p w14:paraId="70DDADDA" w14:textId="77777777" w:rsidR="00603604" w:rsidRPr="00745F3A" w:rsidRDefault="00603604" w:rsidP="0007033B">
                  <w:pPr>
                    <w:pStyle w:val="TableBodyText"/>
                    <w:jc w:val="left"/>
                  </w:pPr>
                  <w:r w:rsidRPr="00745F3A">
                    <w:t xml:space="preserve"> Food, beverages and tobacco</w:t>
                  </w:r>
                </w:p>
              </w:tc>
              <w:tc>
                <w:tcPr>
                  <w:tcW w:w="2147" w:type="pct"/>
                  <w:vAlign w:val="center"/>
                </w:tcPr>
                <w:p w14:paraId="70DDADDB" w14:textId="77777777" w:rsidR="00603604" w:rsidRPr="00745F3A" w:rsidRDefault="00603604" w:rsidP="0007033B">
                  <w:pPr>
                    <w:pStyle w:val="TableBodyText"/>
                    <w:ind w:right="28"/>
                  </w:pPr>
                  <w:r w:rsidRPr="00745F3A">
                    <w:t>11, 12</w:t>
                  </w:r>
                </w:p>
              </w:tc>
            </w:tr>
            <w:tr w:rsidR="00603604" w14:paraId="70DDADDF" w14:textId="77777777" w:rsidTr="0007033B">
              <w:tc>
                <w:tcPr>
                  <w:tcW w:w="2853" w:type="pct"/>
                  <w:vAlign w:val="center"/>
                </w:tcPr>
                <w:p w14:paraId="70DDADDD" w14:textId="77777777" w:rsidR="00603604" w:rsidRPr="00745F3A" w:rsidRDefault="00603604" w:rsidP="0007033B">
                  <w:pPr>
                    <w:pStyle w:val="TableBodyText"/>
                    <w:jc w:val="left"/>
                  </w:pPr>
                  <w:r w:rsidRPr="00745F3A">
                    <w:t xml:space="preserve"> Textile, leather, clothing and footwear</w:t>
                  </w:r>
                </w:p>
              </w:tc>
              <w:tc>
                <w:tcPr>
                  <w:tcW w:w="2147" w:type="pct"/>
                  <w:vAlign w:val="center"/>
                </w:tcPr>
                <w:p w14:paraId="70DDADDE" w14:textId="77777777" w:rsidR="00603604" w:rsidRPr="00745F3A" w:rsidRDefault="00603604" w:rsidP="0007033B">
                  <w:pPr>
                    <w:pStyle w:val="TableBodyText"/>
                    <w:ind w:right="28"/>
                  </w:pPr>
                  <w:r w:rsidRPr="00745F3A">
                    <w:t>13</w:t>
                  </w:r>
                </w:p>
              </w:tc>
            </w:tr>
            <w:tr w:rsidR="00603604" w14:paraId="70DDADE2" w14:textId="77777777" w:rsidTr="0007033B">
              <w:tc>
                <w:tcPr>
                  <w:tcW w:w="2853" w:type="pct"/>
                  <w:vAlign w:val="center"/>
                </w:tcPr>
                <w:p w14:paraId="70DDADE0" w14:textId="77777777" w:rsidR="00603604" w:rsidRPr="00745F3A" w:rsidRDefault="00603604" w:rsidP="0007033B">
                  <w:pPr>
                    <w:pStyle w:val="TableBodyText"/>
                    <w:jc w:val="left"/>
                  </w:pPr>
                  <w:r w:rsidRPr="00745F3A">
                    <w:t xml:space="preserve"> Wood and paper products</w:t>
                  </w:r>
                </w:p>
              </w:tc>
              <w:tc>
                <w:tcPr>
                  <w:tcW w:w="2147" w:type="pct"/>
                  <w:vAlign w:val="center"/>
                </w:tcPr>
                <w:p w14:paraId="70DDADE1" w14:textId="77777777" w:rsidR="00603604" w:rsidRPr="00745F3A" w:rsidRDefault="00603604" w:rsidP="0007033B">
                  <w:pPr>
                    <w:pStyle w:val="TableBodyText"/>
                    <w:ind w:right="28"/>
                  </w:pPr>
                  <w:r w:rsidRPr="00745F3A">
                    <w:t>14, 15</w:t>
                  </w:r>
                </w:p>
              </w:tc>
            </w:tr>
            <w:tr w:rsidR="00603604" w14:paraId="70DDADE5" w14:textId="77777777" w:rsidTr="0007033B">
              <w:tc>
                <w:tcPr>
                  <w:tcW w:w="2853" w:type="pct"/>
                  <w:vAlign w:val="center"/>
                </w:tcPr>
                <w:p w14:paraId="70DDADE3" w14:textId="77777777" w:rsidR="00603604" w:rsidRPr="00745F3A" w:rsidRDefault="00603604" w:rsidP="0007033B">
                  <w:pPr>
                    <w:pStyle w:val="TableBodyText"/>
                    <w:jc w:val="left"/>
                  </w:pPr>
                  <w:r w:rsidRPr="00745F3A">
                    <w:t xml:space="preserve"> Printing and recorded media</w:t>
                  </w:r>
                </w:p>
              </w:tc>
              <w:tc>
                <w:tcPr>
                  <w:tcW w:w="2147" w:type="pct"/>
                  <w:vAlign w:val="center"/>
                </w:tcPr>
                <w:p w14:paraId="70DDADE4" w14:textId="77777777" w:rsidR="00603604" w:rsidRPr="00745F3A" w:rsidRDefault="00603604" w:rsidP="0007033B">
                  <w:pPr>
                    <w:pStyle w:val="TableBodyText"/>
                    <w:ind w:right="28"/>
                  </w:pPr>
                  <w:r w:rsidRPr="00745F3A">
                    <w:t>16</w:t>
                  </w:r>
                </w:p>
              </w:tc>
            </w:tr>
            <w:tr w:rsidR="00603604" w14:paraId="70DDADE8" w14:textId="77777777" w:rsidTr="0007033B">
              <w:tc>
                <w:tcPr>
                  <w:tcW w:w="2853" w:type="pct"/>
                  <w:vAlign w:val="center"/>
                </w:tcPr>
                <w:p w14:paraId="70DDADE6" w14:textId="77777777" w:rsidR="00603604" w:rsidRPr="00745F3A" w:rsidRDefault="00603604" w:rsidP="0007033B">
                  <w:pPr>
                    <w:pStyle w:val="TableBodyText"/>
                    <w:jc w:val="left"/>
                  </w:pPr>
                  <w:r w:rsidRPr="00745F3A">
                    <w:t xml:space="preserve"> Petroleum, coal, chemical and rubber products</w:t>
                  </w:r>
                </w:p>
              </w:tc>
              <w:tc>
                <w:tcPr>
                  <w:tcW w:w="2147" w:type="pct"/>
                  <w:vAlign w:val="center"/>
                </w:tcPr>
                <w:p w14:paraId="70DDADE7" w14:textId="77777777" w:rsidR="00603604" w:rsidRPr="00745F3A" w:rsidRDefault="00603604" w:rsidP="0007033B">
                  <w:pPr>
                    <w:pStyle w:val="TableBodyText"/>
                    <w:ind w:right="28"/>
                  </w:pPr>
                  <w:r w:rsidRPr="00745F3A">
                    <w:t>17, 18, 19</w:t>
                  </w:r>
                </w:p>
              </w:tc>
            </w:tr>
            <w:tr w:rsidR="00603604" w14:paraId="70DDADEB" w14:textId="77777777" w:rsidTr="0007033B">
              <w:tc>
                <w:tcPr>
                  <w:tcW w:w="2853" w:type="pct"/>
                  <w:vAlign w:val="center"/>
                </w:tcPr>
                <w:p w14:paraId="70DDADE9" w14:textId="77777777" w:rsidR="00603604" w:rsidRPr="00745F3A" w:rsidRDefault="00603604" w:rsidP="0007033B">
                  <w:pPr>
                    <w:pStyle w:val="TableBodyText"/>
                    <w:jc w:val="left"/>
                  </w:pPr>
                  <w:r w:rsidRPr="00745F3A">
                    <w:t xml:space="preserve"> Non-metallic mineral products</w:t>
                  </w:r>
                </w:p>
              </w:tc>
              <w:tc>
                <w:tcPr>
                  <w:tcW w:w="2147" w:type="pct"/>
                  <w:vAlign w:val="center"/>
                </w:tcPr>
                <w:p w14:paraId="70DDADEA" w14:textId="77777777" w:rsidR="00603604" w:rsidRPr="00745F3A" w:rsidRDefault="00603604" w:rsidP="0007033B">
                  <w:pPr>
                    <w:pStyle w:val="TableBodyText"/>
                    <w:ind w:right="28"/>
                  </w:pPr>
                  <w:r w:rsidRPr="00745F3A">
                    <w:t>20</w:t>
                  </w:r>
                </w:p>
              </w:tc>
            </w:tr>
            <w:tr w:rsidR="00603604" w14:paraId="70DDADEE" w14:textId="77777777" w:rsidTr="0007033B">
              <w:tc>
                <w:tcPr>
                  <w:tcW w:w="2853" w:type="pct"/>
                  <w:vAlign w:val="center"/>
                </w:tcPr>
                <w:p w14:paraId="70DDADEC" w14:textId="77777777" w:rsidR="00603604" w:rsidRPr="00745F3A" w:rsidRDefault="00603604" w:rsidP="0007033B">
                  <w:pPr>
                    <w:pStyle w:val="TableBodyText"/>
                    <w:jc w:val="left"/>
                  </w:pPr>
                  <w:r w:rsidRPr="00745F3A">
                    <w:t xml:space="preserve"> Metal and fabricated metal products</w:t>
                  </w:r>
                </w:p>
              </w:tc>
              <w:tc>
                <w:tcPr>
                  <w:tcW w:w="2147" w:type="pct"/>
                  <w:vAlign w:val="center"/>
                </w:tcPr>
                <w:p w14:paraId="70DDADED" w14:textId="77777777" w:rsidR="00603604" w:rsidRPr="00745F3A" w:rsidRDefault="00603604" w:rsidP="0007033B">
                  <w:pPr>
                    <w:pStyle w:val="TableBodyText"/>
                    <w:ind w:right="28"/>
                  </w:pPr>
                  <w:r w:rsidRPr="00745F3A">
                    <w:t>21, 22</w:t>
                  </w:r>
                </w:p>
              </w:tc>
            </w:tr>
            <w:tr w:rsidR="00603604" w14:paraId="70DDADF1" w14:textId="77777777" w:rsidTr="0007033B">
              <w:tc>
                <w:tcPr>
                  <w:tcW w:w="2853" w:type="pct"/>
                  <w:vAlign w:val="center"/>
                </w:tcPr>
                <w:p w14:paraId="70DDADEF" w14:textId="77777777" w:rsidR="00603604" w:rsidRPr="00745F3A" w:rsidRDefault="00603604" w:rsidP="0007033B">
                  <w:pPr>
                    <w:pStyle w:val="TableBodyText"/>
                    <w:jc w:val="left"/>
                  </w:pPr>
                  <w:r w:rsidRPr="00745F3A">
                    <w:t xml:space="preserve"> Motor vehicles and parts</w:t>
                  </w:r>
                </w:p>
              </w:tc>
              <w:tc>
                <w:tcPr>
                  <w:tcW w:w="2147" w:type="pct"/>
                  <w:vAlign w:val="center"/>
                </w:tcPr>
                <w:p w14:paraId="70DDADF0" w14:textId="77777777" w:rsidR="00603604" w:rsidRPr="00745F3A" w:rsidRDefault="00603604" w:rsidP="0007033B">
                  <w:pPr>
                    <w:pStyle w:val="TableBodyText"/>
                    <w:ind w:right="28"/>
                  </w:pPr>
                  <w:r w:rsidRPr="00745F3A">
                    <w:t>231</w:t>
                  </w:r>
                </w:p>
              </w:tc>
            </w:tr>
            <w:tr w:rsidR="00603604" w14:paraId="70DDADF4" w14:textId="77777777" w:rsidTr="0007033B">
              <w:tc>
                <w:tcPr>
                  <w:tcW w:w="2853" w:type="pct"/>
                  <w:vAlign w:val="center"/>
                </w:tcPr>
                <w:p w14:paraId="70DDADF2" w14:textId="77777777" w:rsidR="00603604" w:rsidRPr="00745F3A" w:rsidRDefault="00603604" w:rsidP="0007033B">
                  <w:pPr>
                    <w:pStyle w:val="TableBodyText"/>
                    <w:jc w:val="left"/>
                  </w:pPr>
                  <w:r w:rsidRPr="00745F3A">
                    <w:t xml:space="preserve"> Other transport equipment</w:t>
                  </w:r>
                </w:p>
              </w:tc>
              <w:tc>
                <w:tcPr>
                  <w:tcW w:w="2147" w:type="pct"/>
                  <w:vAlign w:val="center"/>
                </w:tcPr>
                <w:p w14:paraId="70DDADF3" w14:textId="77777777" w:rsidR="00603604" w:rsidRPr="00745F3A" w:rsidRDefault="00603604" w:rsidP="0007033B">
                  <w:pPr>
                    <w:pStyle w:val="TableBodyText"/>
                    <w:ind w:right="28"/>
                  </w:pPr>
                  <w:r w:rsidRPr="00745F3A">
                    <w:t>239</w:t>
                  </w:r>
                </w:p>
              </w:tc>
            </w:tr>
            <w:tr w:rsidR="00603604" w14:paraId="70DDADF7" w14:textId="77777777" w:rsidTr="0007033B">
              <w:tc>
                <w:tcPr>
                  <w:tcW w:w="2853" w:type="pct"/>
                  <w:vAlign w:val="center"/>
                </w:tcPr>
                <w:p w14:paraId="70DDADF5" w14:textId="77777777" w:rsidR="00603604" w:rsidRPr="00745F3A" w:rsidRDefault="00603604" w:rsidP="0007033B">
                  <w:pPr>
                    <w:pStyle w:val="TableBodyText"/>
                    <w:jc w:val="left"/>
                  </w:pPr>
                  <w:r w:rsidRPr="00745F3A">
                    <w:t xml:space="preserve"> Machinery and equipment manufacturing</w:t>
                  </w:r>
                </w:p>
              </w:tc>
              <w:tc>
                <w:tcPr>
                  <w:tcW w:w="2147" w:type="pct"/>
                  <w:vAlign w:val="center"/>
                </w:tcPr>
                <w:p w14:paraId="70DDADF6" w14:textId="77777777" w:rsidR="00603604" w:rsidRPr="00745F3A" w:rsidRDefault="00603604" w:rsidP="0007033B">
                  <w:pPr>
                    <w:pStyle w:val="TableBodyText"/>
                    <w:ind w:right="28"/>
                  </w:pPr>
                  <w:r w:rsidRPr="00745F3A">
                    <w:t>24</w:t>
                  </w:r>
                </w:p>
              </w:tc>
            </w:tr>
            <w:tr w:rsidR="00603604" w14:paraId="70DDADFA" w14:textId="77777777" w:rsidTr="0007033B">
              <w:tc>
                <w:tcPr>
                  <w:tcW w:w="2853" w:type="pct"/>
                  <w:vAlign w:val="center"/>
                </w:tcPr>
                <w:p w14:paraId="70DDADF8" w14:textId="77777777" w:rsidR="00603604" w:rsidRPr="00745F3A" w:rsidRDefault="00603604" w:rsidP="0007033B">
                  <w:pPr>
                    <w:pStyle w:val="TableBodyText"/>
                    <w:jc w:val="left"/>
                  </w:pPr>
                  <w:r w:rsidRPr="00745F3A">
                    <w:t xml:space="preserve"> Furniture and other manufacturing</w:t>
                  </w:r>
                </w:p>
              </w:tc>
              <w:tc>
                <w:tcPr>
                  <w:tcW w:w="2147" w:type="pct"/>
                  <w:vAlign w:val="center"/>
                </w:tcPr>
                <w:p w14:paraId="70DDADF9" w14:textId="77777777" w:rsidR="00603604" w:rsidRPr="00745F3A" w:rsidRDefault="00603604" w:rsidP="0007033B">
                  <w:pPr>
                    <w:pStyle w:val="TableBodyText"/>
                    <w:ind w:right="28"/>
                  </w:pPr>
                  <w:r w:rsidRPr="00745F3A">
                    <w:t>25</w:t>
                  </w:r>
                </w:p>
              </w:tc>
            </w:tr>
            <w:tr w:rsidR="00603604" w14:paraId="70DDADFD" w14:textId="77777777" w:rsidTr="0007033B">
              <w:tc>
                <w:tcPr>
                  <w:tcW w:w="2853" w:type="pct"/>
                  <w:vAlign w:val="center"/>
                </w:tcPr>
                <w:p w14:paraId="70DDADFB" w14:textId="77777777" w:rsidR="00603604" w:rsidRPr="00745F3A" w:rsidRDefault="00603604" w:rsidP="0007033B">
                  <w:pPr>
                    <w:pStyle w:val="TableBodyText"/>
                    <w:jc w:val="left"/>
                  </w:pPr>
                  <w:r w:rsidRPr="00745F3A">
                    <w:t xml:space="preserve"> Unallocated manufacturing</w:t>
                  </w:r>
                </w:p>
              </w:tc>
              <w:tc>
                <w:tcPr>
                  <w:tcW w:w="2147" w:type="pct"/>
                  <w:vAlign w:val="center"/>
                </w:tcPr>
                <w:p w14:paraId="70DDADFC" w14:textId="77777777" w:rsidR="00603604" w:rsidRDefault="00603604" w:rsidP="0007033B">
                  <w:pPr>
                    <w:pStyle w:val="TableBodyText"/>
                    <w:ind w:right="28"/>
                  </w:pPr>
                  <w:r w:rsidRPr="00745F3A">
                    <w:t>–</w:t>
                  </w:r>
                </w:p>
              </w:tc>
            </w:tr>
            <w:tr w:rsidR="00603604" w:rsidRPr="005A16FC" w14:paraId="70DDAE00" w14:textId="77777777" w:rsidTr="0007033B">
              <w:tc>
                <w:tcPr>
                  <w:tcW w:w="2853" w:type="pct"/>
                  <w:vAlign w:val="center"/>
                </w:tcPr>
                <w:p w14:paraId="70DDADFE" w14:textId="77777777" w:rsidR="00603604" w:rsidRPr="005A16FC" w:rsidRDefault="00603604" w:rsidP="0007033B">
                  <w:pPr>
                    <w:pStyle w:val="TableBodyText"/>
                    <w:jc w:val="left"/>
                    <w:rPr>
                      <w:b/>
                    </w:rPr>
                  </w:pPr>
                  <w:r w:rsidRPr="005A16FC">
                    <w:rPr>
                      <w:b/>
                    </w:rPr>
                    <w:t>Services</w:t>
                  </w:r>
                </w:p>
              </w:tc>
              <w:tc>
                <w:tcPr>
                  <w:tcW w:w="2147" w:type="pct"/>
                  <w:vAlign w:val="center"/>
                </w:tcPr>
                <w:p w14:paraId="70DDADFF" w14:textId="77777777" w:rsidR="00603604" w:rsidRPr="005A16FC" w:rsidRDefault="00603604" w:rsidP="0007033B">
                  <w:pPr>
                    <w:pStyle w:val="TableBodyText"/>
                    <w:ind w:right="28"/>
                    <w:rPr>
                      <w:b/>
                    </w:rPr>
                  </w:pPr>
                  <w:r w:rsidRPr="005A16FC">
                    <w:rPr>
                      <w:b/>
                    </w:rPr>
                    <w:t>D-S</w:t>
                  </w:r>
                </w:p>
              </w:tc>
            </w:tr>
            <w:tr w:rsidR="00603604" w14:paraId="70DDAE03" w14:textId="77777777" w:rsidTr="0007033B">
              <w:tc>
                <w:tcPr>
                  <w:tcW w:w="2853" w:type="pct"/>
                  <w:vAlign w:val="center"/>
                </w:tcPr>
                <w:p w14:paraId="70DDAE01" w14:textId="77777777" w:rsidR="00603604" w:rsidRPr="00371BC7" w:rsidRDefault="00603604" w:rsidP="0007033B">
                  <w:pPr>
                    <w:pStyle w:val="TableBodyText"/>
                    <w:jc w:val="left"/>
                  </w:pPr>
                  <w:r w:rsidRPr="00371BC7">
                    <w:t xml:space="preserve"> Electricity, gas, water and waste services</w:t>
                  </w:r>
                </w:p>
              </w:tc>
              <w:tc>
                <w:tcPr>
                  <w:tcW w:w="2147" w:type="pct"/>
                  <w:vAlign w:val="center"/>
                </w:tcPr>
                <w:p w14:paraId="70DDAE02" w14:textId="77777777" w:rsidR="00603604" w:rsidRPr="00371BC7" w:rsidRDefault="00603604" w:rsidP="0007033B">
                  <w:pPr>
                    <w:pStyle w:val="TableBodyText"/>
                    <w:ind w:right="28"/>
                  </w:pPr>
                  <w:r w:rsidRPr="00371BC7">
                    <w:t>D</w:t>
                  </w:r>
                </w:p>
              </w:tc>
            </w:tr>
            <w:tr w:rsidR="00603604" w14:paraId="70DDAE06" w14:textId="77777777" w:rsidTr="0007033B">
              <w:tc>
                <w:tcPr>
                  <w:tcW w:w="2853" w:type="pct"/>
                  <w:vAlign w:val="center"/>
                </w:tcPr>
                <w:p w14:paraId="70DDAE04" w14:textId="77777777" w:rsidR="00603604" w:rsidRPr="00371BC7" w:rsidRDefault="00603604" w:rsidP="0007033B">
                  <w:pPr>
                    <w:pStyle w:val="TableBodyText"/>
                    <w:jc w:val="left"/>
                  </w:pPr>
                  <w:r w:rsidRPr="00371BC7">
                    <w:t xml:space="preserve"> Construction</w:t>
                  </w:r>
                </w:p>
              </w:tc>
              <w:tc>
                <w:tcPr>
                  <w:tcW w:w="2147" w:type="pct"/>
                  <w:vAlign w:val="center"/>
                </w:tcPr>
                <w:p w14:paraId="70DDAE05" w14:textId="77777777" w:rsidR="00603604" w:rsidRPr="00371BC7" w:rsidRDefault="00603604" w:rsidP="0007033B">
                  <w:pPr>
                    <w:pStyle w:val="TableBodyText"/>
                    <w:ind w:right="28"/>
                  </w:pPr>
                  <w:r w:rsidRPr="00371BC7">
                    <w:t>E</w:t>
                  </w:r>
                </w:p>
              </w:tc>
            </w:tr>
            <w:tr w:rsidR="00603604" w14:paraId="70DDAE09" w14:textId="77777777" w:rsidTr="0007033B">
              <w:tc>
                <w:tcPr>
                  <w:tcW w:w="2853" w:type="pct"/>
                  <w:vAlign w:val="center"/>
                </w:tcPr>
                <w:p w14:paraId="70DDAE07" w14:textId="77777777" w:rsidR="00603604" w:rsidRPr="00371BC7" w:rsidRDefault="00603604" w:rsidP="0007033B">
                  <w:pPr>
                    <w:pStyle w:val="TableBodyText"/>
                    <w:jc w:val="left"/>
                  </w:pPr>
                  <w:r w:rsidRPr="00371BC7">
                    <w:t xml:space="preserve"> Wholesale trade</w:t>
                  </w:r>
                </w:p>
              </w:tc>
              <w:tc>
                <w:tcPr>
                  <w:tcW w:w="2147" w:type="pct"/>
                  <w:vAlign w:val="center"/>
                </w:tcPr>
                <w:p w14:paraId="70DDAE08" w14:textId="77777777" w:rsidR="00603604" w:rsidRPr="00371BC7" w:rsidRDefault="00603604" w:rsidP="0007033B">
                  <w:pPr>
                    <w:pStyle w:val="TableBodyText"/>
                    <w:ind w:right="28"/>
                  </w:pPr>
                  <w:r w:rsidRPr="00371BC7">
                    <w:t>F</w:t>
                  </w:r>
                </w:p>
              </w:tc>
            </w:tr>
            <w:tr w:rsidR="00603604" w14:paraId="70DDAE0C" w14:textId="77777777" w:rsidTr="0007033B">
              <w:tc>
                <w:tcPr>
                  <w:tcW w:w="2853" w:type="pct"/>
                  <w:vAlign w:val="center"/>
                </w:tcPr>
                <w:p w14:paraId="70DDAE0A" w14:textId="77777777" w:rsidR="00603604" w:rsidRPr="00371BC7" w:rsidRDefault="00603604" w:rsidP="0007033B">
                  <w:pPr>
                    <w:pStyle w:val="TableBodyText"/>
                    <w:jc w:val="left"/>
                  </w:pPr>
                  <w:r w:rsidRPr="00371BC7">
                    <w:t xml:space="preserve"> Retail trade</w:t>
                  </w:r>
                </w:p>
              </w:tc>
              <w:tc>
                <w:tcPr>
                  <w:tcW w:w="2147" w:type="pct"/>
                  <w:vAlign w:val="center"/>
                </w:tcPr>
                <w:p w14:paraId="70DDAE0B" w14:textId="77777777" w:rsidR="00603604" w:rsidRPr="00371BC7" w:rsidRDefault="00603604" w:rsidP="0007033B">
                  <w:pPr>
                    <w:pStyle w:val="TableBodyText"/>
                    <w:ind w:right="28"/>
                  </w:pPr>
                  <w:r w:rsidRPr="00371BC7">
                    <w:t>G</w:t>
                  </w:r>
                </w:p>
              </w:tc>
            </w:tr>
            <w:tr w:rsidR="00603604" w14:paraId="70DDAE0F" w14:textId="77777777" w:rsidTr="0007033B">
              <w:tc>
                <w:tcPr>
                  <w:tcW w:w="2853" w:type="pct"/>
                  <w:vAlign w:val="center"/>
                </w:tcPr>
                <w:p w14:paraId="70DDAE0D" w14:textId="77777777" w:rsidR="00603604" w:rsidRPr="00371BC7" w:rsidRDefault="00603604" w:rsidP="0007033B">
                  <w:pPr>
                    <w:pStyle w:val="TableBodyText"/>
                    <w:jc w:val="left"/>
                  </w:pPr>
                  <w:r w:rsidRPr="00371BC7">
                    <w:t xml:space="preserve"> Accommodation and food services</w:t>
                  </w:r>
                </w:p>
              </w:tc>
              <w:tc>
                <w:tcPr>
                  <w:tcW w:w="2147" w:type="pct"/>
                  <w:vAlign w:val="center"/>
                </w:tcPr>
                <w:p w14:paraId="70DDAE0E" w14:textId="77777777" w:rsidR="00603604" w:rsidRPr="00371BC7" w:rsidRDefault="00603604" w:rsidP="0007033B">
                  <w:pPr>
                    <w:pStyle w:val="TableBodyText"/>
                    <w:ind w:right="28"/>
                  </w:pPr>
                  <w:r w:rsidRPr="00371BC7">
                    <w:t>H</w:t>
                  </w:r>
                </w:p>
              </w:tc>
            </w:tr>
            <w:tr w:rsidR="00603604" w14:paraId="70DDAE12" w14:textId="77777777" w:rsidTr="0007033B">
              <w:tc>
                <w:tcPr>
                  <w:tcW w:w="2853" w:type="pct"/>
                  <w:vAlign w:val="center"/>
                </w:tcPr>
                <w:p w14:paraId="70DDAE10" w14:textId="77777777" w:rsidR="00603604" w:rsidRPr="00371BC7" w:rsidRDefault="00603604" w:rsidP="0007033B">
                  <w:pPr>
                    <w:pStyle w:val="TableBodyText"/>
                    <w:jc w:val="left"/>
                  </w:pPr>
                  <w:r w:rsidRPr="00371BC7">
                    <w:t xml:space="preserve"> Transport, postal and warehousing</w:t>
                  </w:r>
                </w:p>
              </w:tc>
              <w:tc>
                <w:tcPr>
                  <w:tcW w:w="2147" w:type="pct"/>
                  <w:vAlign w:val="center"/>
                </w:tcPr>
                <w:p w14:paraId="70DDAE11" w14:textId="77777777" w:rsidR="00603604" w:rsidRPr="00371BC7" w:rsidRDefault="00603604" w:rsidP="0007033B">
                  <w:pPr>
                    <w:pStyle w:val="TableBodyText"/>
                    <w:ind w:right="28"/>
                  </w:pPr>
                  <w:r w:rsidRPr="00371BC7">
                    <w:t>I</w:t>
                  </w:r>
                </w:p>
              </w:tc>
            </w:tr>
            <w:tr w:rsidR="00603604" w14:paraId="70DDAE15" w14:textId="77777777" w:rsidTr="0007033B">
              <w:tc>
                <w:tcPr>
                  <w:tcW w:w="2853" w:type="pct"/>
                  <w:vAlign w:val="center"/>
                </w:tcPr>
                <w:p w14:paraId="70DDAE13" w14:textId="77777777" w:rsidR="00603604" w:rsidRPr="00371BC7" w:rsidRDefault="00603604" w:rsidP="0007033B">
                  <w:pPr>
                    <w:pStyle w:val="TableBodyText"/>
                    <w:jc w:val="left"/>
                  </w:pPr>
                  <w:r w:rsidRPr="00371BC7">
                    <w:t xml:space="preserve"> Information, media and telecommunications</w:t>
                  </w:r>
                </w:p>
              </w:tc>
              <w:tc>
                <w:tcPr>
                  <w:tcW w:w="2147" w:type="pct"/>
                  <w:vAlign w:val="center"/>
                </w:tcPr>
                <w:p w14:paraId="70DDAE14" w14:textId="77777777" w:rsidR="00603604" w:rsidRPr="00371BC7" w:rsidRDefault="00603604" w:rsidP="0007033B">
                  <w:pPr>
                    <w:pStyle w:val="TableBodyText"/>
                    <w:ind w:right="28"/>
                  </w:pPr>
                  <w:r w:rsidRPr="00371BC7">
                    <w:t>J</w:t>
                  </w:r>
                </w:p>
              </w:tc>
            </w:tr>
            <w:tr w:rsidR="00603604" w14:paraId="70DDAE18" w14:textId="77777777" w:rsidTr="0007033B">
              <w:tc>
                <w:tcPr>
                  <w:tcW w:w="2853" w:type="pct"/>
                  <w:vAlign w:val="center"/>
                </w:tcPr>
                <w:p w14:paraId="70DDAE16" w14:textId="77777777" w:rsidR="00603604" w:rsidRPr="00371BC7" w:rsidRDefault="00603604" w:rsidP="0007033B">
                  <w:pPr>
                    <w:pStyle w:val="TableBodyText"/>
                    <w:jc w:val="left"/>
                  </w:pPr>
                  <w:r w:rsidRPr="00371BC7">
                    <w:t xml:space="preserve"> Financial and insurance services</w:t>
                  </w:r>
                </w:p>
              </w:tc>
              <w:tc>
                <w:tcPr>
                  <w:tcW w:w="2147" w:type="pct"/>
                  <w:vAlign w:val="center"/>
                </w:tcPr>
                <w:p w14:paraId="70DDAE17" w14:textId="77777777" w:rsidR="00603604" w:rsidRPr="00371BC7" w:rsidRDefault="00603604" w:rsidP="0007033B">
                  <w:pPr>
                    <w:pStyle w:val="TableBodyText"/>
                    <w:ind w:right="28"/>
                  </w:pPr>
                  <w:r w:rsidRPr="00371BC7">
                    <w:t>K</w:t>
                  </w:r>
                </w:p>
              </w:tc>
            </w:tr>
            <w:tr w:rsidR="00603604" w14:paraId="70DDAE1B" w14:textId="77777777" w:rsidTr="0007033B">
              <w:tc>
                <w:tcPr>
                  <w:tcW w:w="2853" w:type="pct"/>
                  <w:vAlign w:val="center"/>
                </w:tcPr>
                <w:p w14:paraId="70DDAE19" w14:textId="77777777" w:rsidR="00603604" w:rsidRPr="00371BC7" w:rsidRDefault="00603604" w:rsidP="0007033B">
                  <w:pPr>
                    <w:pStyle w:val="TableBodyText"/>
                    <w:jc w:val="left"/>
                  </w:pPr>
                  <w:r w:rsidRPr="00371BC7">
                    <w:t xml:space="preserve"> Property, professional and administration services</w:t>
                  </w:r>
                </w:p>
              </w:tc>
              <w:tc>
                <w:tcPr>
                  <w:tcW w:w="2147" w:type="pct"/>
                  <w:vAlign w:val="center"/>
                </w:tcPr>
                <w:p w14:paraId="70DDAE1A" w14:textId="77777777" w:rsidR="00603604" w:rsidRDefault="00603604" w:rsidP="0007033B">
                  <w:pPr>
                    <w:pStyle w:val="TableBodyText"/>
                    <w:ind w:right="28"/>
                  </w:pPr>
                  <w:r w:rsidRPr="00371BC7">
                    <w:t>L, M, N</w:t>
                  </w:r>
                </w:p>
              </w:tc>
            </w:tr>
            <w:tr w:rsidR="00603604" w14:paraId="70DDAE1E" w14:textId="77777777" w:rsidTr="0007033B">
              <w:tc>
                <w:tcPr>
                  <w:tcW w:w="2853" w:type="pct"/>
                  <w:vAlign w:val="center"/>
                </w:tcPr>
                <w:p w14:paraId="70DDAE1C" w14:textId="77777777" w:rsidR="00603604" w:rsidRPr="007977CD" w:rsidRDefault="00603604" w:rsidP="0007033B">
                  <w:pPr>
                    <w:pStyle w:val="TableBodyText"/>
                    <w:jc w:val="left"/>
                  </w:pPr>
                  <w:r w:rsidRPr="007977CD">
                    <w:t xml:space="preserve"> Public administration and safety</w:t>
                  </w:r>
                </w:p>
              </w:tc>
              <w:tc>
                <w:tcPr>
                  <w:tcW w:w="2147" w:type="pct"/>
                  <w:vAlign w:val="center"/>
                </w:tcPr>
                <w:p w14:paraId="70DDAE1D" w14:textId="77777777" w:rsidR="00603604" w:rsidRPr="007977CD" w:rsidRDefault="00603604" w:rsidP="0007033B">
                  <w:pPr>
                    <w:pStyle w:val="TableBodyText"/>
                    <w:ind w:right="28"/>
                  </w:pPr>
                  <w:r w:rsidRPr="007977CD">
                    <w:t>O</w:t>
                  </w:r>
                </w:p>
              </w:tc>
            </w:tr>
            <w:tr w:rsidR="00603604" w14:paraId="70DDAE21" w14:textId="77777777" w:rsidTr="0007033B">
              <w:tc>
                <w:tcPr>
                  <w:tcW w:w="2853" w:type="pct"/>
                  <w:vAlign w:val="center"/>
                </w:tcPr>
                <w:p w14:paraId="70DDAE1F" w14:textId="77777777" w:rsidR="00603604" w:rsidRPr="007977CD" w:rsidRDefault="00603604" w:rsidP="0007033B">
                  <w:pPr>
                    <w:pStyle w:val="TableBodyText"/>
                    <w:jc w:val="left"/>
                  </w:pPr>
                  <w:r w:rsidRPr="007977CD">
                    <w:t xml:space="preserve"> Education and training</w:t>
                  </w:r>
                </w:p>
              </w:tc>
              <w:tc>
                <w:tcPr>
                  <w:tcW w:w="2147" w:type="pct"/>
                  <w:vAlign w:val="center"/>
                </w:tcPr>
                <w:p w14:paraId="70DDAE20" w14:textId="77777777" w:rsidR="00603604" w:rsidRPr="007977CD" w:rsidRDefault="00603604" w:rsidP="0007033B">
                  <w:pPr>
                    <w:pStyle w:val="TableBodyText"/>
                    <w:ind w:right="28"/>
                  </w:pPr>
                  <w:r w:rsidRPr="007977CD">
                    <w:t>P</w:t>
                  </w:r>
                </w:p>
              </w:tc>
            </w:tr>
            <w:tr w:rsidR="00603604" w14:paraId="70DDAE24" w14:textId="77777777" w:rsidTr="0007033B">
              <w:tc>
                <w:tcPr>
                  <w:tcW w:w="2853" w:type="pct"/>
                  <w:vAlign w:val="center"/>
                </w:tcPr>
                <w:p w14:paraId="70DDAE22" w14:textId="77777777" w:rsidR="00603604" w:rsidRPr="007977CD" w:rsidRDefault="00603604" w:rsidP="0007033B">
                  <w:pPr>
                    <w:pStyle w:val="TableBodyText"/>
                    <w:jc w:val="left"/>
                  </w:pPr>
                  <w:r w:rsidRPr="007977CD">
                    <w:t xml:space="preserve"> Health care and social assistance</w:t>
                  </w:r>
                </w:p>
              </w:tc>
              <w:tc>
                <w:tcPr>
                  <w:tcW w:w="2147" w:type="pct"/>
                  <w:vAlign w:val="center"/>
                </w:tcPr>
                <w:p w14:paraId="70DDAE23" w14:textId="77777777" w:rsidR="00603604" w:rsidRPr="007977CD" w:rsidRDefault="00603604" w:rsidP="0007033B">
                  <w:pPr>
                    <w:pStyle w:val="TableBodyText"/>
                    <w:ind w:right="28"/>
                  </w:pPr>
                  <w:r w:rsidRPr="007977CD">
                    <w:t>Q</w:t>
                  </w:r>
                </w:p>
              </w:tc>
            </w:tr>
            <w:tr w:rsidR="00603604" w14:paraId="70DDAE27" w14:textId="77777777" w:rsidTr="0007033B">
              <w:tc>
                <w:tcPr>
                  <w:tcW w:w="2853" w:type="pct"/>
                  <w:vAlign w:val="center"/>
                </w:tcPr>
                <w:p w14:paraId="70DDAE25" w14:textId="77777777" w:rsidR="00603604" w:rsidRPr="007977CD" w:rsidRDefault="00603604" w:rsidP="0007033B">
                  <w:pPr>
                    <w:pStyle w:val="TableBodyText"/>
                    <w:jc w:val="left"/>
                  </w:pPr>
                  <w:r w:rsidRPr="007977CD">
                    <w:t xml:space="preserve"> Arts and recreation services</w:t>
                  </w:r>
                </w:p>
              </w:tc>
              <w:tc>
                <w:tcPr>
                  <w:tcW w:w="2147" w:type="pct"/>
                  <w:vAlign w:val="center"/>
                </w:tcPr>
                <w:p w14:paraId="70DDAE26" w14:textId="77777777" w:rsidR="00603604" w:rsidRPr="007977CD" w:rsidRDefault="00603604" w:rsidP="0007033B">
                  <w:pPr>
                    <w:pStyle w:val="TableBodyText"/>
                    <w:ind w:right="28"/>
                  </w:pPr>
                  <w:r w:rsidRPr="007977CD">
                    <w:t>R</w:t>
                  </w:r>
                </w:p>
              </w:tc>
            </w:tr>
            <w:tr w:rsidR="00603604" w14:paraId="70DDAE2A" w14:textId="77777777" w:rsidTr="0007033B">
              <w:tc>
                <w:tcPr>
                  <w:tcW w:w="2853" w:type="pct"/>
                  <w:vAlign w:val="center"/>
                </w:tcPr>
                <w:p w14:paraId="70DDAE28" w14:textId="77777777" w:rsidR="00603604" w:rsidRPr="007977CD" w:rsidRDefault="00603604" w:rsidP="0007033B">
                  <w:pPr>
                    <w:pStyle w:val="TableBodyText"/>
                    <w:jc w:val="left"/>
                  </w:pPr>
                  <w:r w:rsidRPr="007977CD">
                    <w:t xml:space="preserve"> Other services</w:t>
                  </w:r>
                </w:p>
              </w:tc>
              <w:tc>
                <w:tcPr>
                  <w:tcW w:w="2147" w:type="pct"/>
                  <w:vAlign w:val="center"/>
                </w:tcPr>
                <w:p w14:paraId="70DDAE29" w14:textId="77777777" w:rsidR="00603604" w:rsidRPr="007977CD" w:rsidRDefault="00603604" w:rsidP="0007033B">
                  <w:pPr>
                    <w:pStyle w:val="TableBodyText"/>
                    <w:ind w:right="28"/>
                  </w:pPr>
                  <w:r w:rsidRPr="007977CD">
                    <w:t>S</w:t>
                  </w:r>
                </w:p>
              </w:tc>
            </w:tr>
            <w:tr w:rsidR="00603604" w14:paraId="70DDAE2D" w14:textId="77777777" w:rsidTr="0007033B">
              <w:tc>
                <w:tcPr>
                  <w:tcW w:w="2853" w:type="pct"/>
                  <w:vAlign w:val="center"/>
                </w:tcPr>
                <w:p w14:paraId="70DDAE2B" w14:textId="77777777" w:rsidR="00603604" w:rsidRPr="007977CD" w:rsidRDefault="00603604" w:rsidP="0007033B">
                  <w:pPr>
                    <w:pStyle w:val="TableBodyText"/>
                    <w:jc w:val="left"/>
                  </w:pPr>
                  <w:r w:rsidRPr="007977CD">
                    <w:t xml:space="preserve"> Unallocated services</w:t>
                  </w:r>
                </w:p>
              </w:tc>
              <w:tc>
                <w:tcPr>
                  <w:tcW w:w="2147" w:type="pct"/>
                  <w:vAlign w:val="center"/>
                </w:tcPr>
                <w:p w14:paraId="70DDAE2C" w14:textId="77777777" w:rsidR="00603604" w:rsidRDefault="00603604" w:rsidP="0007033B">
                  <w:pPr>
                    <w:pStyle w:val="TableBodyText"/>
                    <w:ind w:right="28"/>
                  </w:pPr>
                  <w:r w:rsidRPr="007977CD">
                    <w:t>–</w:t>
                  </w:r>
                </w:p>
              </w:tc>
            </w:tr>
            <w:tr w:rsidR="00603604" w:rsidRPr="008214BA" w14:paraId="70DDAE30" w14:textId="77777777" w:rsidTr="0007033B">
              <w:tc>
                <w:tcPr>
                  <w:tcW w:w="2853" w:type="pct"/>
                  <w:tcBorders>
                    <w:bottom w:val="single" w:sz="6" w:space="0" w:color="BFBFBF"/>
                  </w:tcBorders>
                  <w:shd w:val="clear" w:color="auto" w:fill="auto"/>
                </w:tcPr>
                <w:p w14:paraId="70DDAE2E" w14:textId="77777777" w:rsidR="00603604" w:rsidRPr="008214BA" w:rsidRDefault="00603604" w:rsidP="0007033B">
                  <w:pPr>
                    <w:pStyle w:val="TableBodyText"/>
                    <w:jc w:val="left"/>
                    <w:rPr>
                      <w:b/>
                    </w:rPr>
                  </w:pPr>
                  <w:r w:rsidRPr="008214BA">
                    <w:rPr>
                      <w:b/>
                    </w:rPr>
                    <w:t>Unallocated other</w:t>
                  </w:r>
                </w:p>
              </w:tc>
              <w:tc>
                <w:tcPr>
                  <w:tcW w:w="2147" w:type="pct"/>
                  <w:tcBorders>
                    <w:bottom w:val="single" w:sz="6" w:space="0" w:color="BFBFBF"/>
                  </w:tcBorders>
                  <w:shd w:val="clear" w:color="auto" w:fill="auto"/>
                  <w:vAlign w:val="center"/>
                </w:tcPr>
                <w:p w14:paraId="70DDAE2F" w14:textId="77777777" w:rsidR="00603604" w:rsidRPr="008214BA" w:rsidRDefault="00603604" w:rsidP="0007033B">
                  <w:pPr>
                    <w:pStyle w:val="TableBodyText"/>
                    <w:ind w:right="28"/>
                    <w:rPr>
                      <w:b/>
                    </w:rPr>
                  </w:pPr>
                  <w:r w:rsidRPr="008214BA">
                    <w:rPr>
                      <w:b/>
                    </w:rPr>
                    <w:t>–</w:t>
                  </w:r>
                </w:p>
              </w:tc>
            </w:tr>
          </w:tbl>
          <w:p w14:paraId="70DDAE31" w14:textId="77777777" w:rsidR="00603604" w:rsidRDefault="00603604" w:rsidP="0007033B">
            <w:pPr>
              <w:pStyle w:val="Box"/>
            </w:pPr>
          </w:p>
        </w:tc>
      </w:tr>
      <w:tr w:rsidR="00603604" w14:paraId="70DDAE34" w14:textId="77777777" w:rsidTr="00D450C5">
        <w:tc>
          <w:tcPr>
            <w:tcW w:w="5000" w:type="pct"/>
            <w:tcBorders>
              <w:top w:val="nil"/>
              <w:left w:val="nil"/>
              <w:bottom w:val="nil"/>
              <w:right w:val="nil"/>
            </w:tcBorders>
            <w:shd w:val="clear" w:color="auto" w:fill="auto"/>
          </w:tcPr>
          <w:p w14:paraId="70DDAE33" w14:textId="77777777" w:rsidR="00603604" w:rsidRDefault="00603604" w:rsidP="0007033B">
            <w:pPr>
              <w:pStyle w:val="Source"/>
            </w:pPr>
            <w:r>
              <w:rPr>
                <w:i/>
              </w:rPr>
              <w:t>Source</w:t>
            </w:r>
            <w:r w:rsidRPr="00167F06">
              <w:t xml:space="preserve">: </w:t>
            </w:r>
            <w:r>
              <w:t>Commission estimates based on ABS (2006).</w:t>
            </w:r>
          </w:p>
        </w:tc>
      </w:tr>
      <w:tr w:rsidR="00603604" w14:paraId="70DDAE36" w14:textId="77777777" w:rsidTr="00D450C5">
        <w:tc>
          <w:tcPr>
            <w:tcW w:w="5000" w:type="pct"/>
            <w:tcBorders>
              <w:top w:val="nil"/>
              <w:left w:val="nil"/>
              <w:bottom w:val="single" w:sz="6" w:space="0" w:color="78A22F"/>
              <w:right w:val="nil"/>
            </w:tcBorders>
            <w:shd w:val="clear" w:color="auto" w:fill="auto"/>
          </w:tcPr>
          <w:p w14:paraId="70DDAE35" w14:textId="77777777" w:rsidR="00603604" w:rsidRDefault="00603604" w:rsidP="0007033B">
            <w:pPr>
              <w:pStyle w:val="Box"/>
              <w:spacing w:before="0" w:line="120" w:lineRule="exact"/>
            </w:pPr>
          </w:p>
        </w:tc>
      </w:tr>
      <w:tr w:rsidR="00603604" w:rsidRPr="000863A5" w14:paraId="70DDAE38" w14:textId="77777777" w:rsidTr="00D450C5">
        <w:tc>
          <w:tcPr>
            <w:tcW w:w="5000" w:type="pct"/>
            <w:tcBorders>
              <w:top w:val="single" w:sz="6" w:space="0" w:color="78A22F"/>
              <w:left w:val="nil"/>
              <w:bottom w:val="nil"/>
              <w:right w:val="nil"/>
            </w:tcBorders>
          </w:tcPr>
          <w:p w14:paraId="70DDAE37" w14:textId="1EB230DF" w:rsidR="00603604" w:rsidRPr="00626D32" w:rsidRDefault="00603604" w:rsidP="0007033B">
            <w:pPr>
              <w:pStyle w:val="BoxSpaceBelow"/>
            </w:pPr>
          </w:p>
        </w:tc>
      </w:tr>
    </w:tbl>
    <w:p w14:paraId="70DDAE39" w14:textId="77777777" w:rsidR="00603604" w:rsidRDefault="00603604" w:rsidP="00603604">
      <w:pPr>
        <w:pStyle w:val="BodyText"/>
        <w:sectPr w:rsidR="00603604">
          <w:headerReference w:type="even" r:id="rId26"/>
          <w:headerReference w:type="default" r:id="rId27"/>
          <w:footerReference w:type="even" r:id="rId28"/>
          <w:footerReference w:type="default" r:id="rId29"/>
          <w:pgSz w:w="11907" w:h="16840" w:code="9"/>
          <w:pgMar w:top="1985" w:right="1304" w:bottom="1418" w:left="1814" w:header="1701" w:footer="567" w:gutter="0"/>
          <w:pgNumType w:chapSep="period"/>
          <w:cols w:space="720"/>
        </w:sect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437"/>
      </w:tblGrid>
      <w:tr w:rsidR="00603604" w14:paraId="70DDAE3B" w14:textId="77777777" w:rsidTr="00D450C5">
        <w:tc>
          <w:tcPr>
            <w:tcW w:w="5000" w:type="pct"/>
            <w:tcBorders>
              <w:top w:val="single" w:sz="6" w:space="0" w:color="78A22F" w:themeColor="accent1"/>
              <w:left w:val="nil"/>
              <w:bottom w:val="nil"/>
              <w:right w:val="nil"/>
            </w:tcBorders>
            <w:shd w:val="clear" w:color="auto" w:fill="auto"/>
          </w:tcPr>
          <w:p w14:paraId="70DDAE3A" w14:textId="77777777" w:rsidR="00603604" w:rsidRPr="00784A05" w:rsidRDefault="00603604" w:rsidP="0007033B">
            <w:pPr>
              <w:pStyle w:val="TableTitle"/>
            </w:pPr>
            <w:r>
              <w:rPr>
                <w:b w:val="0"/>
              </w:rPr>
              <w:lastRenderedPageBreak/>
              <w:t>Table A.3</w:t>
            </w:r>
            <w:r>
              <w:tab/>
              <w:t>Concordance between Trade &amp; Assistance industry group and national accounts industry division</w:t>
            </w:r>
          </w:p>
        </w:tc>
      </w:tr>
      <w:tr w:rsidR="00603604" w14:paraId="70DDAE91" w14:textId="77777777" w:rsidTr="00D450C5">
        <w:trPr>
          <w:cantSplit/>
        </w:trPr>
        <w:tc>
          <w:tcPr>
            <w:tcW w:w="5000" w:type="pct"/>
            <w:tcBorders>
              <w:top w:val="nil"/>
              <w:left w:val="nil"/>
              <w:bottom w:val="nil"/>
              <w:right w:val="nil"/>
            </w:tcBorders>
            <w:shd w:val="clear" w:color="auto" w:fill="auto"/>
          </w:tcPr>
          <w:tbl>
            <w:tblPr>
              <w:tblW w:w="12899" w:type="dxa"/>
              <w:tblInd w:w="121" w:type="dxa"/>
              <w:tblCellMar>
                <w:top w:w="28" w:type="dxa"/>
                <w:left w:w="0" w:type="dxa"/>
                <w:right w:w="0" w:type="dxa"/>
              </w:tblCellMar>
              <w:tblLook w:val="0000" w:firstRow="0" w:lastRow="0" w:firstColumn="0" w:lastColumn="0" w:noHBand="0" w:noVBand="0"/>
            </w:tblPr>
            <w:tblGrid>
              <w:gridCol w:w="3687"/>
              <w:gridCol w:w="3970"/>
              <w:gridCol w:w="5242"/>
            </w:tblGrid>
            <w:tr w:rsidR="00603604" w14:paraId="70DDAE3F" w14:textId="77777777" w:rsidTr="0007033B">
              <w:tc>
                <w:tcPr>
                  <w:tcW w:w="1429" w:type="pct"/>
                  <w:tcBorders>
                    <w:top w:val="single" w:sz="6" w:space="0" w:color="BFBFBF" w:themeColor="background2"/>
                    <w:bottom w:val="single" w:sz="6" w:space="0" w:color="BFBFBF" w:themeColor="background2"/>
                  </w:tcBorders>
                  <w:shd w:val="clear" w:color="auto" w:fill="auto"/>
                  <w:tcMar>
                    <w:top w:w="28" w:type="dxa"/>
                  </w:tcMar>
                </w:tcPr>
                <w:p w14:paraId="70DDAE3C" w14:textId="77777777" w:rsidR="00603604" w:rsidRDefault="00603604" w:rsidP="0007033B">
                  <w:pPr>
                    <w:pStyle w:val="TableColumnHeading"/>
                    <w:jc w:val="left"/>
                  </w:pPr>
                  <w:r>
                    <w:t>Trade &amp; Assistance industry group (ANZSIC 2006)</w:t>
                  </w:r>
                </w:p>
              </w:tc>
              <w:tc>
                <w:tcPr>
                  <w:tcW w:w="1539" w:type="pct"/>
                  <w:tcBorders>
                    <w:top w:val="single" w:sz="6" w:space="0" w:color="BFBFBF" w:themeColor="background2"/>
                    <w:bottom w:val="single" w:sz="6" w:space="0" w:color="BFBFBF" w:themeColor="background2"/>
                  </w:tcBorders>
                  <w:shd w:val="clear" w:color="auto" w:fill="auto"/>
                  <w:tcMar>
                    <w:top w:w="28" w:type="dxa"/>
                  </w:tcMar>
                </w:tcPr>
                <w:p w14:paraId="70DDAE3D" w14:textId="77777777" w:rsidR="00603604" w:rsidRDefault="00603604" w:rsidP="0007033B">
                  <w:pPr>
                    <w:pStyle w:val="TableColumnHeading"/>
                    <w:ind w:right="28"/>
                    <w:jc w:val="left"/>
                  </w:pPr>
                  <w:r>
                    <w:t>National accounts industry division (ANZSIC 2006)</w:t>
                  </w:r>
                </w:p>
              </w:tc>
              <w:tc>
                <w:tcPr>
                  <w:tcW w:w="2032" w:type="pct"/>
                  <w:tcBorders>
                    <w:top w:val="single" w:sz="6" w:space="0" w:color="BFBFBF" w:themeColor="background2"/>
                    <w:bottom w:val="single" w:sz="6" w:space="0" w:color="BFBFBF" w:themeColor="background2"/>
                  </w:tcBorders>
                </w:tcPr>
                <w:p w14:paraId="70DDAE3E" w14:textId="77777777" w:rsidR="00603604" w:rsidRDefault="00603604" w:rsidP="0007033B">
                  <w:pPr>
                    <w:pStyle w:val="TableColumnHeading"/>
                    <w:ind w:right="28"/>
                    <w:jc w:val="left"/>
                  </w:pPr>
                  <w:r>
                    <w:t>Supplementary data</w:t>
                  </w:r>
                </w:p>
              </w:tc>
            </w:tr>
            <w:tr w:rsidR="00603604" w14:paraId="70DDAE43" w14:textId="77777777" w:rsidTr="0007033B">
              <w:tc>
                <w:tcPr>
                  <w:tcW w:w="1429" w:type="pct"/>
                </w:tcPr>
                <w:p w14:paraId="70DDAE40" w14:textId="77777777" w:rsidR="00603604" w:rsidRPr="004832A4" w:rsidRDefault="00603604" w:rsidP="0007033B">
                  <w:pPr>
                    <w:pStyle w:val="TableBodyText"/>
                    <w:spacing w:before="80"/>
                    <w:jc w:val="left"/>
                    <w:rPr>
                      <w:szCs w:val="18"/>
                    </w:rPr>
                  </w:pPr>
                  <w:r>
                    <w:rPr>
                      <w:noProof/>
                      <w:szCs w:val="18"/>
                    </w:rPr>
                    <mc:AlternateContent>
                      <mc:Choice Requires="wps">
                        <w:drawing>
                          <wp:anchor distT="0" distB="0" distL="114300" distR="114300" simplePos="0" relativeHeight="251659264" behindDoc="0" locked="0" layoutInCell="1" allowOverlap="1" wp14:anchorId="70DDAF78" wp14:editId="70DDAF79">
                            <wp:simplePos x="0" y="0"/>
                            <wp:positionH relativeFrom="column">
                              <wp:posOffset>2252345</wp:posOffset>
                            </wp:positionH>
                            <wp:positionV relativeFrom="paragraph">
                              <wp:posOffset>10160</wp:posOffset>
                            </wp:positionV>
                            <wp:extent cx="123825" cy="1285875"/>
                            <wp:effectExtent l="0" t="0" r="28575" b="28575"/>
                            <wp:wrapNone/>
                            <wp:docPr id="5" name="Right Brace 5"/>
                            <wp:cNvGraphicFramePr/>
                            <a:graphic xmlns:a="http://schemas.openxmlformats.org/drawingml/2006/main">
                              <a:graphicData uri="http://schemas.microsoft.com/office/word/2010/wordprocessingShape">
                                <wps:wsp>
                                  <wps:cNvSpPr/>
                                  <wps:spPr>
                                    <a:xfrm>
                                      <a:off x="0" y="0"/>
                                      <a:ext cx="123825" cy="12858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C66F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77.35pt;margin-top:.8pt;width:9.75pt;height:10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" adj="173" strokecolor="#71992c [3044]"/>
                        </w:pict>
                      </mc:Fallback>
                    </mc:AlternateContent>
                  </w:r>
                  <w:r w:rsidRPr="004832A4">
                    <w:rPr>
                      <w:szCs w:val="18"/>
                    </w:rPr>
                    <w:t>Horticulture and fruit growing</w:t>
                  </w:r>
                </w:p>
              </w:tc>
              <w:tc>
                <w:tcPr>
                  <w:tcW w:w="1539" w:type="pct"/>
                  <w:vMerge w:val="restart"/>
                  <w:vAlign w:val="center"/>
                </w:tcPr>
                <w:p w14:paraId="70DDAE41" w14:textId="77777777" w:rsidR="00603604" w:rsidRPr="004832A4" w:rsidRDefault="00603604" w:rsidP="0007033B">
                  <w:pPr>
                    <w:pStyle w:val="TableBodyText"/>
                    <w:jc w:val="left"/>
                  </w:pPr>
                  <w:r>
                    <w:t xml:space="preserve">   </w:t>
                  </w:r>
                  <w:r w:rsidRPr="004832A4">
                    <w:t xml:space="preserve">Agriculture, Forestry </w:t>
                  </w:r>
                  <w:r w:rsidRPr="004832A4">
                    <w:br/>
                  </w:r>
                  <w:r>
                    <w:t xml:space="preserve">   </w:t>
                  </w:r>
                  <w:r w:rsidRPr="004832A4">
                    <w:t>and Fishing</w:t>
                  </w:r>
                </w:p>
              </w:tc>
              <w:tc>
                <w:tcPr>
                  <w:tcW w:w="2032" w:type="pct"/>
                  <w:vMerge w:val="restart"/>
                  <w:vAlign w:val="center"/>
                </w:tcPr>
                <w:p w14:paraId="70DDAE42" w14:textId="77777777" w:rsidR="00603604" w:rsidRPr="004832A4" w:rsidRDefault="00603604" w:rsidP="0007033B">
                  <w:pPr>
                    <w:pStyle w:val="TableBodyText"/>
                    <w:jc w:val="left"/>
                  </w:pPr>
                  <w:r w:rsidRPr="004832A4">
                    <w:t>ABS National Accounts industry gross value added chain volume measures (Cat. No. 5204.0) are used to split agriculture from forestry and fishing</w:t>
                  </w:r>
                  <w:r>
                    <w:t xml:space="preserve"> (combined)</w:t>
                  </w:r>
                  <w:r w:rsidRPr="004832A4">
                    <w:t>.  ABS value of agricultural commodities produced (Cat. No. 7503.0) are then used to split agriculture into the Commission's agricultural industry groupings.  The latest available input-output data (Cat. No. 5209.0)</w:t>
                  </w:r>
                  <w:r>
                    <w:t xml:space="preserve"> </w:t>
                  </w:r>
                  <w:r w:rsidRPr="004832A4">
                    <w:t xml:space="preserve">are used to split the </w:t>
                  </w:r>
                  <w:r>
                    <w:t xml:space="preserve">combined </w:t>
                  </w:r>
                  <w:r w:rsidRPr="004832A4">
                    <w:t>forestry and fishing estimates</w:t>
                  </w:r>
                  <w:r>
                    <w:t xml:space="preserve"> to Aquaculture and fishing and Forestry and logging</w:t>
                  </w:r>
                  <w:r w:rsidRPr="004832A4">
                    <w:t>.</w:t>
                  </w:r>
                </w:p>
              </w:tc>
            </w:tr>
            <w:tr w:rsidR="00603604" w14:paraId="70DDAE47" w14:textId="77777777" w:rsidTr="0007033B">
              <w:tc>
                <w:tcPr>
                  <w:tcW w:w="1429" w:type="pct"/>
                </w:tcPr>
                <w:p w14:paraId="70DDAE44" w14:textId="77777777" w:rsidR="00603604" w:rsidRPr="004832A4" w:rsidRDefault="00603604" w:rsidP="0007033B">
                  <w:pPr>
                    <w:pStyle w:val="TableBodyText"/>
                    <w:jc w:val="left"/>
                    <w:rPr>
                      <w:szCs w:val="18"/>
                    </w:rPr>
                  </w:pPr>
                  <w:r w:rsidRPr="004832A4">
                    <w:rPr>
                      <w:szCs w:val="18"/>
                    </w:rPr>
                    <w:t>Sheep, beef cattle and grain growing</w:t>
                  </w:r>
                </w:p>
              </w:tc>
              <w:tc>
                <w:tcPr>
                  <w:tcW w:w="1539" w:type="pct"/>
                  <w:vMerge/>
                </w:tcPr>
                <w:p w14:paraId="70DDAE45" w14:textId="77777777" w:rsidR="00603604" w:rsidRDefault="00603604" w:rsidP="0007033B">
                  <w:pPr>
                    <w:pStyle w:val="TableBodyText"/>
                    <w:ind w:left="57" w:right="28"/>
                    <w:jc w:val="left"/>
                  </w:pPr>
                </w:p>
              </w:tc>
              <w:tc>
                <w:tcPr>
                  <w:tcW w:w="2032" w:type="pct"/>
                  <w:vMerge/>
                </w:tcPr>
                <w:p w14:paraId="70DDAE46" w14:textId="77777777" w:rsidR="00603604" w:rsidRDefault="00603604" w:rsidP="0007033B">
                  <w:pPr>
                    <w:pStyle w:val="TableBodyText"/>
                    <w:ind w:left="57" w:right="28"/>
                    <w:jc w:val="left"/>
                  </w:pPr>
                </w:p>
              </w:tc>
            </w:tr>
            <w:tr w:rsidR="00603604" w14:paraId="70DDAE4B" w14:textId="77777777" w:rsidTr="0007033B">
              <w:tc>
                <w:tcPr>
                  <w:tcW w:w="1429" w:type="pct"/>
                </w:tcPr>
                <w:p w14:paraId="70DDAE48" w14:textId="77777777" w:rsidR="00603604" w:rsidRPr="004832A4" w:rsidRDefault="00603604" w:rsidP="0007033B">
                  <w:pPr>
                    <w:pStyle w:val="TableBodyText"/>
                    <w:jc w:val="left"/>
                    <w:rPr>
                      <w:szCs w:val="18"/>
                    </w:rPr>
                  </w:pPr>
                  <w:r w:rsidRPr="004832A4">
                    <w:rPr>
                      <w:szCs w:val="18"/>
                    </w:rPr>
                    <w:t>Other crop growing</w:t>
                  </w:r>
                </w:p>
              </w:tc>
              <w:tc>
                <w:tcPr>
                  <w:tcW w:w="1539" w:type="pct"/>
                  <w:vMerge/>
                </w:tcPr>
                <w:p w14:paraId="70DDAE49" w14:textId="77777777" w:rsidR="00603604" w:rsidRDefault="00603604" w:rsidP="0007033B">
                  <w:pPr>
                    <w:pStyle w:val="TableBodyText"/>
                    <w:ind w:left="57" w:right="28"/>
                    <w:jc w:val="left"/>
                  </w:pPr>
                </w:p>
              </w:tc>
              <w:tc>
                <w:tcPr>
                  <w:tcW w:w="2032" w:type="pct"/>
                  <w:vMerge/>
                </w:tcPr>
                <w:p w14:paraId="70DDAE4A" w14:textId="77777777" w:rsidR="00603604" w:rsidRDefault="00603604" w:rsidP="0007033B">
                  <w:pPr>
                    <w:pStyle w:val="TableBodyText"/>
                    <w:ind w:left="57" w:right="28"/>
                    <w:jc w:val="left"/>
                  </w:pPr>
                </w:p>
              </w:tc>
            </w:tr>
            <w:tr w:rsidR="00603604" w14:paraId="70DDAE4F" w14:textId="77777777" w:rsidTr="0007033B">
              <w:tc>
                <w:tcPr>
                  <w:tcW w:w="1429" w:type="pct"/>
                </w:tcPr>
                <w:p w14:paraId="70DDAE4C" w14:textId="77777777" w:rsidR="00603604" w:rsidRPr="004832A4" w:rsidRDefault="00603604" w:rsidP="0007033B">
                  <w:pPr>
                    <w:pStyle w:val="TableBodyText"/>
                    <w:jc w:val="left"/>
                    <w:rPr>
                      <w:szCs w:val="18"/>
                    </w:rPr>
                  </w:pPr>
                  <w:r w:rsidRPr="004832A4">
                    <w:rPr>
                      <w:szCs w:val="18"/>
                    </w:rPr>
                    <w:t>Dairy cattle farming</w:t>
                  </w:r>
                </w:p>
              </w:tc>
              <w:tc>
                <w:tcPr>
                  <w:tcW w:w="1539" w:type="pct"/>
                  <w:vMerge/>
                </w:tcPr>
                <w:p w14:paraId="70DDAE4D" w14:textId="77777777" w:rsidR="00603604" w:rsidRPr="001E792A" w:rsidRDefault="00603604" w:rsidP="0007033B">
                  <w:pPr>
                    <w:pStyle w:val="TableBodyText"/>
                    <w:ind w:left="57"/>
                    <w:jc w:val="left"/>
                  </w:pPr>
                </w:p>
              </w:tc>
              <w:tc>
                <w:tcPr>
                  <w:tcW w:w="2032" w:type="pct"/>
                  <w:vMerge/>
                </w:tcPr>
                <w:p w14:paraId="70DDAE4E" w14:textId="77777777" w:rsidR="00603604" w:rsidRPr="001E792A" w:rsidRDefault="00603604" w:rsidP="0007033B">
                  <w:pPr>
                    <w:pStyle w:val="TableBodyText"/>
                    <w:ind w:left="57"/>
                    <w:jc w:val="left"/>
                  </w:pPr>
                </w:p>
              </w:tc>
            </w:tr>
            <w:tr w:rsidR="00603604" w14:paraId="70DDAE53" w14:textId="77777777" w:rsidTr="0007033B">
              <w:tc>
                <w:tcPr>
                  <w:tcW w:w="1429" w:type="pct"/>
                </w:tcPr>
                <w:p w14:paraId="70DDAE50" w14:textId="77777777" w:rsidR="00603604" w:rsidRPr="004832A4" w:rsidRDefault="00603604" w:rsidP="0007033B">
                  <w:pPr>
                    <w:pStyle w:val="TableBodyText"/>
                    <w:jc w:val="left"/>
                    <w:rPr>
                      <w:szCs w:val="18"/>
                    </w:rPr>
                  </w:pPr>
                  <w:r w:rsidRPr="004832A4">
                    <w:rPr>
                      <w:szCs w:val="18"/>
                    </w:rPr>
                    <w:t>Other livestock farming</w:t>
                  </w:r>
                </w:p>
              </w:tc>
              <w:tc>
                <w:tcPr>
                  <w:tcW w:w="1539" w:type="pct"/>
                  <w:vMerge/>
                </w:tcPr>
                <w:p w14:paraId="70DDAE51" w14:textId="77777777" w:rsidR="00603604" w:rsidRPr="001E792A" w:rsidRDefault="00603604" w:rsidP="0007033B">
                  <w:pPr>
                    <w:pStyle w:val="TableBodyText"/>
                    <w:ind w:left="57"/>
                    <w:jc w:val="left"/>
                  </w:pPr>
                </w:p>
              </w:tc>
              <w:tc>
                <w:tcPr>
                  <w:tcW w:w="2032" w:type="pct"/>
                  <w:vMerge/>
                </w:tcPr>
                <w:p w14:paraId="70DDAE52" w14:textId="77777777" w:rsidR="00603604" w:rsidRPr="001E792A" w:rsidRDefault="00603604" w:rsidP="0007033B">
                  <w:pPr>
                    <w:pStyle w:val="TableBodyText"/>
                    <w:ind w:left="57"/>
                    <w:jc w:val="left"/>
                  </w:pPr>
                </w:p>
              </w:tc>
            </w:tr>
            <w:tr w:rsidR="00603604" w14:paraId="70DDAE57" w14:textId="77777777" w:rsidTr="0007033B">
              <w:tc>
                <w:tcPr>
                  <w:tcW w:w="1429" w:type="pct"/>
                </w:tcPr>
                <w:p w14:paraId="70DDAE54" w14:textId="77777777" w:rsidR="00603604" w:rsidRPr="004832A4" w:rsidRDefault="00603604" w:rsidP="0007033B">
                  <w:pPr>
                    <w:pStyle w:val="TableBodyText"/>
                    <w:jc w:val="left"/>
                    <w:rPr>
                      <w:szCs w:val="18"/>
                    </w:rPr>
                  </w:pPr>
                  <w:r w:rsidRPr="004832A4">
                    <w:rPr>
                      <w:szCs w:val="18"/>
                    </w:rPr>
                    <w:t>Aquaculture and fishing</w:t>
                  </w:r>
                </w:p>
              </w:tc>
              <w:tc>
                <w:tcPr>
                  <w:tcW w:w="1539" w:type="pct"/>
                  <w:vMerge/>
                </w:tcPr>
                <w:p w14:paraId="70DDAE55" w14:textId="77777777" w:rsidR="00603604" w:rsidRPr="001E792A" w:rsidRDefault="00603604" w:rsidP="0007033B">
                  <w:pPr>
                    <w:pStyle w:val="TableBodyText"/>
                    <w:ind w:left="57"/>
                    <w:jc w:val="left"/>
                  </w:pPr>
                </w:p>
              </w:tc>
              <w:tc>
                <w:tcPr>
                  <w:tcW w:w="2032" w:type="pct"/>
                  <w:vMerge/>
                </w:tcPr>
                <w:p w14:paraId="70DDAE56" w14:textId="77777777" w:rsidR="00603604" w:rsidRPr="001E792A" w:rsidRDefault="00603604" w:rsidP="0007033B">
                  <w:pPr>
                    <w:pStyle w:val="TableBodyText"/>
                    <w:ind w:left="57"/>
                    <w:jc w:val="left"/>
                  </w:pPr>
                </w:p>
              </w:tc>
            </w:tr>
            <w:tr w:rsidR="00603604" w14:paraId="70DDAE5B" w14:textId="77777777" w:rsidTr="0007033B">
              <w:tc>
                <w:tcPr>
                  <w:tcW w:w="1429" w:type="pct"/>
                </w:tcPr>
                <w:p w14:paraId="70DDAE58" w14:textId="77777777" w:rsidR="00603604" w:rsidRPr="004832A4" w:rsidRDefault="00603604" w:rsidP="0007033B">
                  <w:pPr>
                    <w:pStyle w:val="TableBodyText"/>
                    <w:jc w:val="left"/>
                    <w:rPr>
                      <w:szCs w:val="18"/>
                    </w:rPr>
                  </w:pPr>
                  <w:r w:rsidRPr="004832A4">
                    <w:rPr>
                      <w:szCs w:val="18"/>
                    </w:rPr>
                    <w:t>Forestry and logging</w:t>
                  </w:r>
                </w:p>
              </w:tc>
              <w:tc>
                <w:tcPr>
                  <w:tcW w:w="1539" w:type="pct"/>
                  <w:vMerge/>
                </w:tcPr>
                <w:p w14:paraId="70DDAE59" w14:textId="77777777" w:rsidR="00603604" w:rsidRPr="001E792A" w:rsidRDefault="00603604" w:rsidP="0007033B">
                  <w:pPr>
                    <w:pStyle w:val="TableBodyText"/>
                    <w:ind w:left="57"/>
                    <w:jc w:val="left"/>
                  </w:pPr>
                </w:p>
              </w:tc>
              <w:tc>
                <w:tcPr>
                  <w:tcW w:w="2032" w:type="pct"/>
                  <w:vMerge/>
                </w:tcPr>
                <w:p w14:paraId="70DDAE5A" w14:textId="77777777" w:rsidR="00603604" w:rsidRPr="001E792A" w:rsidRDefault="00603604" w:rsidP="0007033B">
                  <w:pPr>
                    <w:pStyle w:val="TableBodyText"/>
                    <w:ind w:left="57"/>
                    <w:jc w:val="left"/>
                  </w:pPr>
                </w:p>
              </w:tc>
            </w:tr>
            <w:tr w:rsidR="00603604" w14:paraId="70DDAE5F" w14:textId="77777777" w:rsidTr="0007033B">
              <w:tc>
                <w:tcPr>
                  <w:tcW w:w="1429" w:type="pct"/>
                </w:tcPr>
                <w:p w14:paraId="70DDAE5C" w14:textId="77777777" w:rsidR="00603604" w:rsidRPr="004832A4" w:rsidRDefault="00603604" w:rsidP="0007033B">
                  <w:pPr>
                    <w:pStyle w:val="TableBodyText"/>
                    <w:jc w:val="left"/>
                    <w:rPr>
                      <w:szCs w:val="18"/>
                    </w:rPr>
                  </w:pPr>
                  <w:r w:rsidRPr="004832A4">
                    <w:rPr>
                      <w:szCs w:val="18"/>
                    </w:rPr>
                    <w:t>Primary production support services</w:t>
                  </w:r>
                </w:p>
              </w:tc>
              <w:tc>
                <w:tcPr>
                  <w:tcW w:w="1539" w:type="pct"/>
                  <w:vMerge/>
                </w:tcPr>
                <w:p w14:paraId="70DDAE5D" w14:textId="77777777" w:rsidR="00603604" w:rsidRPr="001E792A" w:rsidRDefault="00603604" w:rsidP="0007033B">
                  <w:pPr>
                    <w:pStyle w:val="TableBodyText"/>
                    <w:ind w:left="57"/>
                    <w:jc w:val="left"/>
                  </w:pPr>
                </w:p>
              </w:tc>
              <w:tc>
                <w:tcPr>
                  <w:tcW w:w="2032" w:type="pct"/>
                  <w:vMerge/>
                </w:tcPr>
                <w:p w14:paraId="70DDAE5E" w14:textId="77777777" w:rsidR="00603604" w:rsidRPr="001E792A" w:rsidRDefault="00603604" w:rsidP="0007033B">
                  <w:pPr>
                    <w:pStyle w:val="TableBodyText"/>
                    <w:ind w:left="57"/>
                    <w:jc w:val="left"/>
                  </w:pPr>
                </w:p>
              </w:tc>
            </w:tr>
            <w:tr w:rsidR="00603604" w14:paraId="70DDAE63" w14:textId="77777777" w:rsidTr="0007033B">
              <w:tc>
                <w:tcPr>
                  <w:tcW w:w="1429" w:type="pct"/>
                </w:tcPr>
                <w:p w14:paraId="70DDAE60" w14:textId="77777777" w:rsidR="00603604" w:rsidRPr="004832A4" w:rsidRDefault="00603604" w:rsidP="0007033B">
                  <w:pPr>
                    <w:pStyle w:val="TableBodyText"/>
                    <w:jc w:val="left"/>
                    <w:rPr>
                      <w:szCs w:val="18"/>
                    </w:rPr>
                  </w:pPr>
                  <w:r w:rsidRPr="004832A4">
                    <w:rPr>
                      <w:szCs w:val="18"/>
                    </w:rPr>
                    <w:t>Mining</w:t>
                  </w:r>
                </w:p>
              </w:tc>
              <w:tc>
                <w:tcPr>
                  <w:tcW w:w="1539" w:type="pct"/>
                </w:tcPr>
                <w:p w14:paraId="70DDAE61" w14:textId="77777777" w:rsidR="00603604" w:rsidRPr="001E792A" w:rsidRDefault="00603604" w:rsidP="0007033B">
                  <w:pPr>
                    <w:pStyle w:val="TableBodyText"/>
                    <w:ind w:left="57"/>
                    <w:jc w:val="left"/>
                  </w:pPr>
                  <w:r>
                    <w:t xml:space="preserve">   Mining</w:t>
                  </w:r>
                </w:p>
              </w:tc>
              <w:tc>
                <w:tcPr>
                  <w:tcW w:w="2032" w:type="pct"/>
                </w:tcPr>
                <w:p w14:paraId="70DDAE62" w14:textId="77777777" w:rsidR="00603604" w:rsidRPr="001E792A" w:rsidRDefault="00603604" w:rsidP="0007033B">
                  <w:pPr>
                    <w:pStyle w:val="TableBodyText"/>
                    <w:ind w:left="57"/>
                    <w:jc w:val="left"/>
                  </w:pPr>
                </w:p>
              </w:tc>
            </w:tr>
            <w:tr w:rsidR="00603604" w14:paraId="70DDAE67" w14:textId="77777777" w:rsidTr="0007033B">
              <w:tc>
                <w:tcPr>
                  <w:tcW w:w="1429" w:type="pct"/>
                  <w:vAlign w:val="bottom"/>
                </w:tcPr>
                <w:p w14:paraId="70DDAE64" w14:textId="77777777" w:rsidR="00603604" w:rsidRPr="004832A4" w:rsidRDefault="00603604" w:rsidP="0007033B">
                  <w:pPr>
                    <w:pStyle w:val="TableBodyText"/>
                    <w:jc w:val="left"/>
                    <w:rPr>
                      <w:szCs w:val="18"/>
                    </w:rPr>
                  </w:pPr>
                  <w:r>
                    <w:rPr>
                      <w:noProof/>
                      <w:szCs w:val="18"/>
                    </w:rPr>
                    <mc:AlternateContent>
                      <mc:Choice Requires="wps">
                        <w:drawing>
                          <wp:anchor distT="0" distB="0" distL="114300" distR="114300" simplePos="0" relativeHeight="251660288" behindDoc="0" locked="0" layoutInCell="1" allowOverlap="1" wp14:anchorId="70DDAF7A" wp14:editId="70DDAF7B">
                            <wp:simplePos x="0" y="0"/>
                            <wp:positionH relativeFrom="column">
                              <wp:posOffset>2255520</wp:posOffset>
                            </wp:positionH>
                            <wp:positionV relativeFrom="paragraph">
                              <wp:posOffset>10795</wp:posOffset>
                            </wp:positionV>
                            <wp:extent cx="123825" cy="1809750"/>
                            <wp:effectExtent l="0" t="0" r="28575" b="19050"/>
                            <wp:wrapNone/>
                            <wp:docPr id="6" name="Right Brace 6"/>
                            <wp:cNvGraphicFramePr/>
                            <a:graphic xmlns:a="http://schemas.openxmlformats.org/drawingml/2006/main">
                              <a:graphicData uri="http://schemas.microsoft.com/office/word/2010/wordprocessingShape">
                                <wps:wsp>
                                  <wps:cNvSpPr/>
                                  <wps:spPr>
                                    <a:xfrm>
                                      <a:off x="0" y="0"/>
                                      <a:ext cx="123825" cy="1809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EFA49" id="Right Brace 6" o:spid="_x0000_s1026" type="#_x0000_t88" style="position:absolute;margin-left:177.6pt;margin-top:.85pt;width:9.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" adj="123" strokecolor="#71992c [3044]"/>
                        </w:pict>
                      </mc:Fallback>
                    </mc:AlternateContent>
                  </w:r>
                  <w:r w:rsidRPr="004832A4">
                    <w:rPr>
                      <w:szCs w:val="18"/>
                    </w:rPr>
                    <w:t>Food, beverages and tobacco</w:t>
                  </w:r>
                </w:p>
              </w:tc>
              <w:tc>
                <w:tcPr>
                  <w:tcW w:w="1539" w:type="pct"/>
                  <w:vMerge w:val="restart"/>
                  <w:vAlign w:val="center"/>
                </w:tcPr>
                <w:p w14:paraId="70DDAE65" w14:textId="77777777" w:rsidR="00603604" w:rsidRPr="001E792A" w:rsidRDefault="00603604" w:rsidP="0007033B">
                  <w:pPr>
                    <w:pStyle w:val="TableBodyText"/>
                    <w:ind w:left="57"/>
                    <w:jc w:val="left"/>
                  </w:pPr>
                  <w:r>
                    <w:t xml:space="preserve">   Manufacturing</w:t>
                  </w:r>
                </w:p>
              </w:tc>
              <w:tc>
                <w:tcPr>
                  <w:tcW w:w="2032" w:type="pct"/>
                  <w:vMerge w:val="restart"/>
                  <w:vAlign w:val="center"/>
                </w:tcPr>
                <w:p w14:paraId="70DDAE66" w14:textId="77777777" w:rsidR="00603604" w:rsidRPr="004832A4" w:rsidRDefault="00603604" w:rsidP="0007033B">
                  <w:pPr>
                    <w:rPr>
                      <w:rFonts w:ascii="Arial" w:hAnsi="Arial" w:cs="Arial"/>
                      <w:color w:val="000000"/>
                      <w:sz w:val="18"/>
                      <w:szCs w:val="18"/>
                    </w:rPr>
                  </w:pPr>
                  <w:r w:rsidRPr="004832A4">
                    <w:rPr>
                      <w:rFonts w:ascii="Arial" w:hAnsi="Arial" w:cs="Arial"/>
                      <w:color w:val="000000"/>
                      <w:sz w:val="18"/>
                      <w:szCs w:val="18"/>
                    </w:rPr>
                    <w:t>ABS National Accounts gross value added chain volume measures (Cat. No. 5204.0) are used to split most of the manufacturing industries into the Commission's ANZSIC-based industry groupings. Detailed information, however, is not available for</w:t>
                  </w:r>
                  <w:r>
                    <w:rPr>
                      <w:rFonts w:ascii="Arial" w:hAnsi="Arial" w:cs="Arial"/>
                      <w:color w:val="000000"/>
                      <w:sz w:val="18"/>
                      <w:szCs w:val="18"/>
                    </w:rPr>
                    <w:t>:</w:t>
                  </w:r>
                  <w:r w:rsidRPr="004832A4">
                    <w:rPr>
                      <w:rFonts w:ascii="Arial" w:hAnsi="Arial" w:cs="Arial"/>
                      <w:color w:val="000000"/>
                      <w:sz w:val="18"/>
                      <w:szCs w:val="18"/>
                    </w:rPr>
                    <w:t xml:space="preserve"> motor vehicles and parts; other transport equipment</w:t>
                  </w:r>
                  <w:r>
                    <w:rPr>
                      <w:rFonts w:ascii="Arial" w:hAnsi="Arial" w:cs="Arial"/>
                      <w:color w:val="000000"/>
                      <w:sz w:val="18"/>
                      <w:szCs w:val="18"/>
                    </w:rPr>
                    <w:t xml:space="preserve">; </w:t>
                  </w:r>
                  <w:r w:rsidRPr="004832A4">
                    <w:rPr>
                      <w:rFonts w:ascii="Arial" w:hAnsi="Arial" w:cs="Arial"/>
                      <w:color w:val="000000"/>
                      <w:sz w:val="18"/>
                      <w:szCs w:val="18"/>
                    </w:rPr>
                    <w:t>machinery and equipment manufacturing</w:t>
                  </w:r>
                  <w:r>
                    <w:rPr>
                      <w:rFonts w:ascii="Arial" w:hAnsi="Arial" w:cs="Arial"/>
                      <w:color w:val="000000"/>
                      <w:sz w:val="18"/>
                      <w:szCs w:val="18"/>
                    </w:rPr>
                    <w:t>;</w:t>
                  </w:r>
                  <w:r w:rsidRPr="004832A4">
                    <w:rPr>
                      <w:rFonts w:ascii="Arial" w:hAnsi="Arial" w:cs="Arial"/>
                      <w:color w:val="000000"/>
                      <w:sz w:val="18"/>
                      <w:szCs w:val="18"/>
                    </w:rPr>
                    <w:t xml:space="preserve"> and furniture and other manufacturing. These industry groups are split into the Commission's ANZSIC-based industry groupings using the latest available</w:t>
                  </w:r>
                  <w:r>
                    <w:rPr>
                      <w:rFonts w:ascii="Arial" w:hAnsi="Arial" w:cs="Arial"/>
                      <w:color w:val="000000"/>
                      <w:sz w:val="18"/>
                      <w:szCs w:val="18"/>
                    </w:rPr>
                    <w:t xml:space="preserve"> </w:t>
                  </w:r>
                  <w:r w:rsidRPr="004832A4">
                    <w:rPr>
                      <w:rFonts w:ascii="Arial" w:hAnsi="Arial" w:cs="Arial"/>
                      <w:color w:val="000000"/>
                      <w:sz w:val="18"/>
                      <w:szCs w:val="18"/>
                    </w:rPr>
                    <w:t xml:space="preserve">ABS input-output data (Cat. No. 5209.0). </w:t>
                  </w:r>
                </w:p>
              </w:tc>
            </w:tr>
            <w:tr w:rsidR="00603604" w14:paraId="70DDAE6B" w14:textId="77777777" w:rsidTr="0007033B">
              <w:tc>
                <w:tcPr>
                  <w:tcW w:w="1429" w:type="pct"/>
                  <w:vAlign w:val="bottom"/>
                </w:tcPr>
                <w:p w14:paraId="70DDAE68" w14:textId="77777777" w:rsidR="00603604" w:rsidRPr="004832A4" w:rsidRDefault="00603604" w:rsidP="0007033B">
                  <w:pPr>
                    <w:pStyle w:val="TableBodyText"/>
                    <w:jc w:val="left"/>
                    <w:rPr>
                      <w:szCs w:val="18"/>
                    </w:rPr>
                  </w:pPr>
                  <w:r w:rsidRPr="004832A4">
                    <w:rPr>
                      <w:szCs w:val="18"/>
                    </w:rPr>
                    <w:t>Textile, clothing, footwear and leather</w:t>
                  </w:r>
                </w:p>
              </w:tc>
              <w:tc>
                <w:tcPr>
                  <w:tcW w:w="1539" w:type="pct"/>
                  <w:vMerge/>
                  <w:vAlign w:val="center"/>
                </w:tcPr>
                <w:p w14:paraId="70DDAE69" w14:textId="77777777" w:rsidR="00603604" w:rsidRPr="001E792A" w:rsidRDefault="00603604" w:rsidP="0007033B">
                  <w:pPr>
                    <w:pStyle w:val="TableBodyText"/>
                    <w:ind w:left="57"/>
                    <w:jc w:val="left"/>
                  </w:pPr>
                </w:p>
              </w:tc>
              <w:tc>
                <w:tcPr>
                  <w:tcW w:w="2032" w:type="pct"/>
                  <w:vMerge/>
                  <w:vAlign w:val="center"/>
                </w:tcPr>
                <w:p w14:paraId="70DDAE6A" w14:textId="77777777" w:rsidR="00603604" w:rsidRPr="001E792A" w:rsidRDefault="00603604" w:rsidP="0007033B">
                  <w:pPr>
                    <w:pStyle w:val="TableBodyText"/>
                    <w:ind w:left="57"/>
                    <w:jc w:val="left"/>
                  </w:pPr>
                </w:p>
              </w:tc>
            </w:tr>
            <w:tr w:rsidR="00603604" w14:paraId="70DDAE6F" w14:textId="77777777" w:rsidTr="0007033B">
              <w:tc>
                <w:tcPr>
                  <w:tcW w:w="1429" w:type="pct"/>
                  <w:vAlign w:val="bottom"/>
                </w:tcPr>
                <w:p w14:paraId="70DDAE6C" w14:textId="77777777" w:rsidR="00603604" w:rsidRPr="004832A4" w:rsidRDefault="00603604" w:rsidP="0007033B">
                  <w:pPr>
                    <w:pStyle w:val="TableBodyText"/>
                    <w:jc w:val="left"/>
                    <w:rPr>
                      <w:szCs w:val="18"/>
                    </w:rPr>
                  </w:pPr>
                  <w:r w:rsidRPr="004832A4">
                    <w:rPr>
                      <w:szCs w:val="18"/>
                    </w:rPr>
                    <w:t>Wood and paper products</w:t>
                  </w:r>
                </w:p>
              </w:tc>
              <w:tc>
                <w:tcPr>
                  <w:tcW w:w="1539" w:type="pct"/>
                  <w:vMerge/>
                </w:tcPr>
                <w:p w14:paraId="70DDAE6D" w14:textId="77777777" w:rsidR="00603604" w:rsidRDefault="00603604" w:rsidP="0007033B">
                  <w:pPr>
                    <w:pStyle w:val="TableBodyText"/>
                    <w:ind w:left="57"/>
                    <w:jc w:val="left"/>
                  </w:pPr>
                </w:p>
              </w:tc>
              <w:tc>
                <w:tcPr>
                  <w:tcW w:w="2032" w:type="pct"/>
                  <w:vMerge/>
                  <w:vAlign w:val="center"/>
                </w:tcPr>
                <w:p w14:paraId="70DDAE6E" w14:textId="77777777" w:rsidR="00603604" w:rsidRPr="00107644" w:rsidRDefault="00603604" w:rsidP="0007033B">
                  <w:pPr>
                    <w:pStyle w:val="TableBodyText"/>
                    <w:ind w:left="57"/>
                    <w:jc w:val="left"/>
                  </w:pPr>
                </w:p>
              </w:tc>
            </w:tr>
            <w:tr w:rsidR="00603604" w14:paraId="70DDAE73" w14:textId="77777777" w:rsidTr="0007033B">
              <w:tc>
                <w:tcPr>
                  <w:tcW w:w="1429" w:type="pct"/>
                  <w:shd w:val="clear" w:color="auto" w:fill="auto"/>
                  <w:vAlign w:val="bottom"/>
                </w:tcPr>
                <w:p w14:paraId="70DDAE70" w14:textId="77777777" w:rsidR="00603604" w:rsidRPr="004832A4" w:rsidRDefault="00603604" w:rsidP="0007033B">
                  <w:pPr>
                    <w:pStyle w:val="TableBodyText"/>
                    <w:jc w:val="left"/>
                    <w:rPr>
                      <w:szCs w:val="18"/>
                    </w:rPr>
                  </w:pPr>
                  <w:r w:rsidRPr="004832A4">
                    <w:rPr>
                      <w:szCs w:val="18"/>
                    </w:rPr>
                    <w:t>Printing and recorded media</w:t>
                  </w:r>
                </w:p>
              </w:tc>
              <w:tc>
                <w:tcPr>
                  <w:tcW w:w="1539" w:type="pct"/>
                  <w:vMerge/>
                  <w:shd w:val="clear" w:color="auto" w:fill="auto"/>
                </w:tcPr>
                <w:p w14:paraId="70DDAE71" w14:textId="77777777" w:rsidR="00603604" w:rsidRDefault="00603604" w:rsidP="0007033B">
                  <w:pPr>
                    <w:pStyle w:val="TableBodyText"/>
                    <w:ind w:left="57" w:right="28"/>
                    <w:jc w:val="left"/>
                  </w:pPr>
                </w:p>
              </w:tc>
              <w:tc>
                <w:tcPr>
                  <w:tcW w:w="2032" w:type="pct"/>
                  <w:vMerge/>
                  <w:vAlign w:val="center"/>
                </w:tcPr>
                <w:p w14:paraId="70DDAE72" w14:textId="77777777" w:rsidR="00603604" w:rsidRDefault="00603604" w:rsidP="0007033B">
                  <w:pPr>
                    <w:pStyle w:val="TableBodyText"/>
                    <w:ind w:left="57" w:right="28"/>
                    <w:jc w:val="left"/>
                  </w:pPr>
                </w:p>
              </w:tc>
            </w:tr>
            <w:tr w:rsidR="00603604" w14:paraId="70DDAE77" w14:textId="77777777" w:rsidTr="0007033B">
              <w:tc>
                <w:tcPr>
                  <w:tcW w:w="1429" w:type="pct"/>
                  <w:shd w:val="clear" w:color="auto" w:fill="auto"/>
                  <w:vAlign w:val="bottom"/>
                </w:tcPr>
                <w:p w14:paraId="70DDAE74" w14:textId="77777777" w:rsidR="00603604" w:rsidRPr="004832A4" w:rsidRDefault="00603604" w:rsidP="0007033B">
                  <w:pPr>
                    <w:pStyle w:val="TableBodyText"/>
                    <w:jc w:val="left"/>
                    <w:rPr>
                      <w:szCs w:val="18"/>
                    </w:rPr>
                  </w:pPr>
                  <w:r w:rsidRPr="004832A4">
                    <w:rPr>
                      <w:szCs w:val="18"/>
                    </w:rPr>
                    <w:t>Petroleum, coal, chemical and associated products</w:t>
                  </w:r>
                </w:p>
              </w:tc>
              <w:tc>
                <w:tcPr>
                  <w:tcW w:w="1539" w:type="pct"/>
                  <w:vMerge/>
                  <w:shd w:val="clear" w:color="auto" w:fill="auto"/>
                </w:tcPr>
                <w:p w14:paraId="70DDAE75" w14:textId="77777777" w:rsidR="00603604" w:rsidRDefault="00603604" w:rsidP="0007033B">
                  <w:pPr>
                    <w:pStyle w:val="TableBodyText"/>
                    <w:ind w:left="57" w:right="28"/>
                    <w:jc w:val="left"/>
                  </w:pPr>
                </w:p>
              </w:tc>
              <w:tc>
                <w:tcPr>
                  <w:tcW w:w="2032" w:type="pct"/>
                  <w:vMerge/>
                  <w:vAlign w:val="center"/>
                </w:tcPr>
                <w:p w14:paraId="70DDAE76" w14:textId="77777777" w:rsidR="00603604" w:rsidRDefault="00603604" w:rsidP="0007033B">
                  <w:pPr>
                    <w:pStyle w:val="TableBodyText"/>
                    <w:ind w:left="57" w:right="28"/>
                    <w:jc w:val="left"/>
                  </w:pPr>
                </w:p>
              </w:tc>
            </w:tr>
            <w:tr w:rsidR="00603604" w14:paraId="70DDAE7B" w14:textId="77777777" w:rsidTr="0007033B">
              <w:tc>
                <w:tcPr>
                  <w:tcW w:w="1429" w:type="pct"/>
                  <w:shd w:val="clear" w:color="auto" w:fill="auto"/>
                  <w:vAlign w:val="bottom"/>
                </w:tcPr>
                <w:p w14:paraId="70DDAE78" w14:textId="77777777" w:rsidR="00603604" w:rsidRPr="004832A4" w:rsidRDefault="00603604" w:rsidP="0007033B">
                  <w:pPr>
                    <w:rPr>
                      <w:rFonts w:ascii="Arial" w:hAnsi="Arial" w:cs="Arial"/>
                      <w:color w:val="000000"/>
                      <w:sz w:val="18"/>
                      <w:szCs w:val="18"/>
                    </w:rPr>
                  </w:pPr>
                  <w:r w:rsidRPr="004832A4">
                    <w:rPr>
                      <w:rFonts w:ascii="Arial" w:hAnsi="Arial" w:cs="Arial"/>
                      <w:color w:val="000000"/>
                      <w:sz w:val="18"/>
                      <w:szCs w:val="18"/>
                    </w:rPr>
                    <w:t>Non-metallic mineral products</w:t>
                  </w:r>
                </w:p>
              </w:tc>
              <w:tc>
                <w:tcPr>
                  <w:tcW w:w="1539" w:type="pct"/>
                  <w:vMerge/>
                  <w:shd w:val="clear" w:color="auto" w:fill="auto"/>
                </w:tcPr>
                <w:p w14:paraId="70DDAE79" w14:textId="77777777" w:rsidR="00603604" w:rsidRDefault="00603604" w:rsidP="0007033B">
                  <w:pPr>
                    <w:pStyle w:val="TableBodyText"/>
                    <w:ind w:left="57" w:right="28"/>
                    <w:jc w:val="left"/>
                  </w:pPr>
                </w:p>
              </w:tc>
              <w:tc>
                <w:tcPr>
                  <w:tcW w:w="2032" w:type="pct"/>
                  <w:vMerge/>
                  <w:vAlign w:val="center"/>
                </w:tcPr>
                <w:p w14:paraId="70DDAE7A" w14:textId="77777777" w:rsidR="00603604" w:rsidRDefault="00603604" w:rsidP="0007033B">
                  <w:pPr>
                    <w:pStyle w:val="TableBodyText"/>
                    <w:ind w:left="57" w:right="28"/>
                    <w:jc w:val="left"/>
                  </w:pPr>
                </w:p>
              </w:tc>
            </w:tr>
            <w:tr w:rsidR="00603604" w14:paraId="70DDAE7F" w14:textId="77777777" w:rsidTr="0007033B">
              <w:tc>
                <w:tcPr>
                  <w:tcW w:w="1429" w:type="pct"/>
                  <w:shd w:val="clear" w:color="auto" w:fill="auto"/>
                  <w:vAlign w:val="bottom"/>
                </w:tcPr>
                <w:p w14:paraId="70DDAE7C" w14:textId="77777777" w:rsidR="00603604" w:rsidRPr="004832A4" w:rsidRDefault="00603604" w:rsidP="0007033B">
                  <w:pPr>
                    <w:rPr>
                      <w:rFonts w:ascii="Arial" w:hAnsi="Arial" w:cs="Arial"/>
                      <w:color w:val="000000"/>
                      <w:sz w:val="18"/>
                      <w:szCs w:val="18"/>
                    </w:rPr>
                  </w:pPr>
                  <w:r w:rsidRPr="004832A4">
                    <w:rPr>
                      <w:rFonts w:ascii="Arial" w:hAnsi="Arial" w:cs="Arial"/>
                      <w:color w:val="000000"/>
                      <w:sz w:val="18"/>
                      <w:szCs w:val="18"/>
                    </w:rPr>
                    <w:t>Metal and fabricated metal products</w:t>
                  </w:r>
                </w:p>
              </w:tc>
              <w:tc>
                <w:tcPr>
                  <w:tcW w:w="1539" w:type="pct"/>
                  <w:vMerge/>
                  <w:shd w:val="clear" w:color="auto" w:fill="auto"/>
                </w:tcPr>
                <w:p w14:paraId="70DDAE7D" w14:textId="77777777" w:rsidR="00603604" w:rsidRDefault="00603604" w:rsidP="0007033B">
                  <w:pPr>
                    <w:pStyle w:val="TableBodyText"/>
                    <w:ind w:left="57" w:right="28"/>
                    <w:jc w:val="left"/>
                  </w:pPr>
                </w:p>
              </w:tc>
              <w:tc>
                <w:tcPr>
                  <w:tcW w:w="2032" w:type="pct"/>
                  <w:vMerge/>
                  <w:vAlign w:val="center"/>
                </w:tcPr>
                <w:p w14:paraId="70DDAE7E" w14:textId="77777777" w:rsidR="00603604" w:rsidRDefault="00603604" w:rsidP="0007033B">
                  <w:pPr>
                    <w:pStyle w:val="TableBodyText"/>
                    <w:ind w:left="57" w:right="28"/>
                    <w:jc w:val="left"/>
                  </w:pPr>
                </w:p>
              </w:tc>
            </w:tr>
            <w:tr w:rsidR="00603604" w14:paraId="70DDAE83" w14:textId="77777777" w:rsidTr="0007033B">
              <w:tc>
                <w:tcPr>
                  <w:tcW w:w="1429" w:type="pct"/>
                  <w:shd w:val="clear" w:color="auto" w:fill="auto"/>
                  <w:vAlign w:val="bottom"/>
                </w:tcPr>
                <w:p w14:paraId="70DDAE80" w14:textId="77777777" w:rsidR="00603604" w:rsidRPr="004832A4" w:rsidRDefault="00603604" w:rsidP="0007033B">
                  <w:pPr>
                    <w:rPr>
                      <w:rFonts w:ascii="Arial" w:hAnsi="Arial" w:cs="Arial"/>
                      <w:color w:val="000000"/>
                      <w:sz w:val="18"/>
                      <w:szCs w:val="18"/>
                    </w:rPr>
                  </w:pPr>
                  <w:r w:rsidRPr="004832A4">
                    <w:rPr>
                      <w:rFonts w:ascii="Arial" w:hAnsi="Arial" w:cs="Arial"/>
                      <w:color w:val="000000"/>
                      <w:sz w:val="18"/>
                      <w:szCs w:val="18"/>
                    </w:rPr>
                    <w:t>Motor vehicles and parts</w:t>
                  </w:r>
                </w:p>
              </w:tc>
              <w:tc>
                <w:tcPr>
                  <w:tcW w:w="1539" w:type="pct"/>
                  <w:vMerge/>
                  <w:shd w:val="clear" w:color="auto" w:fill="auto"/>
                </w:tcPr>
                <w:p w14:paraId="70DDAE81" w14:textId="77777777" w:rsidR="00603604" w:rsidRDefault="00603604" w:rsidP="0007033B">
                  <w:pPr>
                    <w:pStyle w:val="TableBodyText"/>
                    <w:ind w:left="57" w:right="28"/>
                    <w:jc w:val="left"/>
                  </w:pPr>
                </w:p>
              </w:tc>
              <w:tc>
                <w:tcPr>
                  <w:tcW w:w="2032" w:type="pct"/>
                  <w:vMerge/>
                  <w:vAlign w:val="center"/>
                </w:tcPr>
                <w:p w14:paraId="70DDAE82" w14:textId="77777777" w:rsidR="00603604" w:rsidRDefault="00603604" w:rsidP="0007033B">
                  <w:pPr>
                    <w:pStyle w:val="TableBodyText"/>
                    <w:ind w:left="57" w:right="28"/>
                    <w:jc w:val="left"/>
                  </w:pPr>
                </w:p>
              </w:tc>
            </w:tr>
            <w:tr w:rsidR="00603604" w14:paraId="70DDAE87" w14:textId="77777777" w:rsidTr="0007033B">
              <w:tc>
                <w:tcPr>
                  <w:tcW w:w="1429" w:type="pct"/>
                  <w:shd w:val="clear" w:color="auto" w:fill="auto"/>
                  <w:vAlign w:val="bottom"/>
                </w:tcPr>
                <w:p w14:paraId="70DDAE84" w14:textId="77777777" w:rsidR="00603604" w:rsidRPr="004832A4" w:rsidRDefault="00603604" w:rsidP="0007033B">
                  <w:pPr>
                    <w:rPr>
                      <w:rFonts w:ascii="Arial" w:hAnsi="Arial" w:cs="Arial"/>
                      <w:color w:val="000000"/>
                      <w:sz w:val="18"/>
                      <w:szCs w:val="18"/>
                    </w:rPr>
                  </w:pPr>
                  <w:r w:rsidRPr="004832A4">
                    <w:rPr>
                      <w:rFonts w:ascii="Arial" w:hAnsi="Arial" w:cs="Arial"/>
                      <w:color w:val="000000"/>
                      <w:sz w:val="18"/>
                      <w:szCs w:val="18"/>
                    </w:rPr>
                    <w:t>Other transport equipment</w:t>
                  </w:r>
                </w:p>
              </w:tc>
              <w:tc>
                <w:tcPr>
                  <w:tcW w:w="1539" w:type="pct"/>
                  <w:vMerge/>
                  <w:shd w:val="clear" w:color="auto" w:fill="auto"/>
                </w:tcPr>
                <w:p w14:paraId="70DDAE85" w14:textId="77777777" w:rsidR="00603604" w:rsidRDefault="00603604" w:rsidP="0007033B">
                  <w:pPr>
                    <w:pStyle w:val="TableBodyText"/>
                    <w:ind w:left="57" w:right="28"/>
                    <w:jc w:val="left"/>
                  </w:pPr>
                </w:p>
              </w:tc>
              <w:tc>
                <w:tcPr>
                  <w:tcW w:w="2032" w:type="pct"/>
                  <w:vMerge/>
                  <w:vAlign w:val="center"/>
                </w:tcPr>
                <w:p w14:paraId="70DDAE86" w14:textId="77777777" w:rsidR="00603604" w:rsidRDefault="00603604" w:rsidP="0007033B">
                  <w:pPr>
                    <w:pStyle w:val="TableBodyText"/>
                    <w:ind w:left="57" w:right="28"/>
                    <w:jc w:val="left"/>
                  </w:pPr>
                </w:p>
              </w:tc>
            </w:tr>
            <w:tr w:rsidR="00603604" w14:paraId="70DDAE8B" w14:textId="77777777" w:rsidTr="0007033B">
              <w:tc>
                <w:tcPr>
                  <w:tcW w:w="1429" w:type="pct"/>
                  <w:shd w:val="clear" w:color="auto" w:fill="auto"/>
                  <w:vAlign w:val="bottom"/>
                </w:tcPr>
                <w:p w14:paraId="70DDAE88" w14:textId="77777777" w:rsidR="00603604" w:rsidRPr="004832A4" w:rsidRDefault="00603604" w:rsidP="0007033B">
                  <w:pPr>
                    <w:rPr>
                      <w:rFonts w:ascii="Arial" w:hAnsi="Arial" w:cs="Arial"/>
                      <w:color w:val="000000"/>
                      <w:sz w:val="18"/>
                      <w:szCs w:val="18"/>
                    </w:rPr>
                  </w:pPr>
                  <w:r w:rsidRPr="004832A4">
                    <w:rPr>
                      <w:rFonts w:ascii="Arial" w:hAnsi="Arial" w:cs="Arial"/>
                      <w:color w:val="000000"/>
                      <w:sz w:val="18"/>
                      <w:szCs w:val="18"/>
                    </w:rPr>
                    <w:t>Machinery and equipment manufacturing</w:t>
                  </w:r>
                </w:p>
              </w:tc>
              <w:tc>
                <w:tcPr>
                  <w:tcW w:w="1539" w:type="pct"/>
                  <w:vMerge/>
                  <w:shd w:val="clear" w:color="auto" w:fill="auto"/>
                </w:tcPr>
                <w:p w14:paraId="70DDAE89" w14:textId="77777777" w:rsidR="00603604" w:rsidRDefault="00603604" w:rsidP="0007033B">
                  <w:pPr>
                    <w:pStyle w:val="TableBodyText"/>
                    <w:ind w:left="57" w:right="28"/>
                    <w:jc w:val="left"/>
                  </w:pPr>
                </w:p>
              </w:tc>
              <w:tc>
                <w:tcPr>
                  <w:tcW w:w="2032" w:type="pct"/>
                  <w:vMerge/>
                  <w:vAlign w:val="center"/>
                </w:tcPr>
                <w:p w14:paraId="70DDAE8A" w14:textId="77777777" w:rsidR="00603604" w:rsidRDefault="00603604" w:rsidP="0007033B">
                  <w:pPr>
                    <w:pStyle w:val="TableBodyText"/>
                    <w:ind w:left="57" w:right="28"/>
                    <w:jc w:val="left"/>
                  </w:pPr>
                </w:p>
              </w:tc>
            </w:tr>
            <w:tr w:rsidR="00603604" w14:paraId="70DDAE8F" w14:textId="77777777" w:rsidTr="0007033B">
              <w:tc>
                <w:tcPr>
                  <w:tcW w:w="1429" w:type="pct"/>
                  <w:tcBorders>
                    <w:bottom w:val="single" w:sz="6" w:space="0" w:color="C8C8C8"/>
                  </w:tcBorders>
                  <w:shd w:val="clear" w:color="auto" w:fill="auto"/>
                  <w:vAlign w:val="center"/>
                </w:tcPr>
                <w:p w14:paraId="70DDAE8C" w14:textId="77777777" w:rsidR="00603604" w:rsidRPr="004832A4" w:rsidRDefault="00603604" w:rsidP="0007033B">
                  <w:pPr>
                    <w:rPr>
                      <w:rFonts w:ascii="Arial" w:hAnsi="Arial" w:cs="Arial"/>
                      <w:color w:val="000000"/>
                      <w:sz w:val="18"/>
                      <w:szCs w:val="18"/>
                    </w:rPr>
                  </w:pPr>
                  <w:r w:rsidRPr="004832A4">
                    <w:rPr>
                      <w:rFonts w:ascii="Arial" w:hAnsi="Arial" w:cs="Arial"/>
                      <w:color w:val="000000"/>
                      <w:sz w:val="18"/>
                      <w:szCs w:val="18"/>
                    </w:rPr>
                    <w:t>Furniture and other manufacturing</w:t>
                  </w:r>
                </w:p>
              </w:tc>
              <w:tc>
                <w:tcPr>
                  <w:tcW w:w="1539" w:type="pct"/>
                  <w:vMerge/>
                  <w:tcBorders>
                    <w:bottom w:val="single" w:sz="6" w:space="0" w:color="C8C8C8"/>
                  </w:tcBorders>
                  <w:shd w:val="clear" w:color="auto" w:fill="auto"/>
                </w:tcPr>
                <w:p w14:paraId="70DDAE8D" w14:textId="77777777" w:rsidR="00603604" w:rsidRDefault="00603604" w:rsidP="0007033B">
                  <w:pPr>
                    <w:pStyle w:val="TableBodyText"/>
                    <w:ind w:left="57" w:right="28"/>
                    <w:jc w:val="left"/>
                  </w:pPr>
                </w:p>
              </w:tc>
              <w:tc>
                <w:tcPr>
                  <w:tcW w:w="2032" w:type="pct"/>
                  <w:vMerge/>
                  <w:tcBorders>
                    <w:bottom w:val="single" w:sz="6" w:space="0" w:color="C8C8C8"/>
                  </w:tcBorders>
                  <w:vAlign w:val="center"/>
                </w:tcPr>
                <w:p w14:paraId="70DDAE8E" w14:textId="77777777" w:rsidR="00603604" w:rsidRDefault="00603604" w:rsidP="0007033B">
                  <w:pPr>
                    <w:pStyle w:val="TableBodyText"/>
                    <w:ind w:left="57" w:right="28"/>
                    <w:jc w:val="left"/>
                  </w:pPr>
                </w:p>
              </w:tc>
            </w:tr>
          </w:tbl>
          <w:p w14:paraId="70DDAE90" w14:textId="77777777" w:rsidR="00603604" w:rsidRDefault="00603604" w:rsidP="0007033B">
            <w:pPr>
              <w:pStyle w:val="Box"/>
            </w:pPr>
          </w:p>
        </w:tc>
      </w:tr>
      <w:tr w:rsidR="00603604" w14:paraId="70DDAE93" w14:textId="77777777" w:rsidTr="00D450C5">
        <w:trPr>
          <w:cantSplit/>
        </w:trPr>
        <w:tc>
          <w:tcPr>
            <w:tcW w:w="5000" w:type="pct"/>
            <w:tcBorders>
              <w:top w:val="nil"/>
              <w:left w:val="nil"/>
              <w:bottom w:val="nil"/>
              <w:right w:val="nil"/>
            </w:tcBorders>
            <w:shd w:val="clear" w:color="auto" w:fill="auto"/>
          </w:tcPr>
          <w:p w14:paraId="70DDAE92" w14:textId="77777777" w:rsidR="00603604" w:rsidRPr="00686A3F" w:rsidRDefault="00603604" w:rsidP="0007033B">
            <w:pPr>
              <w:pStyle w:val="Source"/>
              <w:jc w:val="right"/>
            </w:pPr>
            <w:r>
              <w:t>(c</w:t>
            </w:r>
            <w:r w:rsidRPr="00686A3F">
              <w:t>ontinued next page</w:t>
            </w:r>
            <w:r>
              <w:t>)</w:t>
            </w:r>
            <w:r w:rsidRPr="00686A3F">
              <w:t xml:space="preserve"> </w:t>
            </w:r>
          </w:p>
        </w:tc>
      </w:tr>
      <w:tr w:rsidR="00603604" w14:paraId="70DDAE95" w14:textId="77777777" w:rsidTr="00D450C5">
        <w:trPr>
          <w:cantSplit/>
        </w:trPr>
        <w:tc>
          <w:tcPr>
            <w:tcW w:w="5000" w:type="pct"/>
            <w:tcBorders>
              <w:top w:val="nil"/>
              <w:left w:val="nil"/>
              <w:bottom w:val="single" w:sz="6" w:space="0" w:color="78A22F" w:themeColor="accent1"/>
              <w:right w:val="nil"/>
            </w:tcBorders>
            <w:shd w:val="clear" w:color="auto" w:fill="auto"/>
          </w:tcPr>
          <w:p w14:paraId="70DDAE94" w14:textId="77777777" w:rsidR="00603604" w:rsidRDefault="00603604" w:rsidP="0007033B">
            <w:pPr>
              <w:pStyle w:val="Box"/>
              <w:spacing w:before="0" w:line="120" w:lineRule="exact"/>
            </w:pPr>
          </w:p>
        </w:tc>
      </w:tr>
      <w:tr w:rsidR="00603604" w:rsidRPr="000863A5" w14:paraId="70DDAE97" w14:textId="77777777" w:rsidTr="00D450C5">
        <w:tc>
          <w:tcPr>
            <w:tcW w:w="5000" w:type="pct"/>
            <w:tcBorders>
              <w:top w:val="single" w:sz="6" w:space="0" w:color="78A22F" w:themeColor="accent1"/>
              <w:left w:val="nil"/>
              <w:bottom w:val="nil"/>
              <w:right w:val="nil"/>
            </w:tcBorders>
          </w:tcPr>
          <w:p w14:paraId="70DDAE96" w14:textId="35099BAD" w:rsidR="00603604" w:rsidRPr="00626D32" w:rsidRDefault="00603604" w:rsidP="0007033B">
            <w:pPr>
              <w:pStyle w:val="BoxSpaceBelow"/>
            </w:pPr>
          </w:p>
        </w:tc>
      </w:tr>
    </w:tbl>
    <w:p w14:paraId="70DDAE98" w14:textId="77777777" w:rsidR="00603604" w:rsidRDefault="00603604" w:rsidP="00603604">
      <w:pPr>
        <w:pStyle w:val="BodyText"/>
      </w:pPr>
    </w:p>
    <w:p w14:paraId="70DDAE99" w14:textId="193382C7" w:rsidR="00603604" w:rsidRDefault="00603604" w:rsidP="0060360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437"/>
      </w:tblGrid>
      <w:tr w:rsidR="00603604" w14:paraId="70DDAE9B" w14:textId="77777777" w:rsidTr="00D450C5">
        <w:tc>
          <w:tcPr>
            <w:tcW w:w="5000" w:type="pct"/>
            <w:tcBorders>
              <w:top w:val="single" w:sz="6" w:space="0" w:color="78A22F"/>
              <w:left w:val="nil"/>
              <w:bottom w:val="nil"/>
              <w:right w:val="nil"/>
            </w:tcBorders>
            <w:shd w:val="clear" w:color="auto" w:fill="auto"/>
          </w:tcPr>
          <w:p w14:paraId="70DDAE9A" w14:textId="77777777" w:rsidR="00603604" w:rsidRPr="00784A05" w:rsidRDefault="00603604" w:rsidP="0007033B">
            <w:pPr>
              <w:pStyle w:val="TableTitle"/>
            </w:pPr>
            <w:r>
              <w:rPr>
                <w:b w:val="0"/>
              </w:rPr>
              <w:t>Table A.3</w:t>
            </w:r>
            <w:r>
              <w:tab/>
            </w:r>
            <w:r w:rsidRPr="00EE323B">
              <w:rPr>
                <w:b w:val="0"/>
                <w:sz w:val="18"/>
                <w:szCs w:val="18"/>
              </w:rPr>
              <w:t>(continued)</w:t>
            </w:r>
          </w:p>
        </w:tc>
      </w:tr>
      <w:tr w:rsidR="00603604" w14:paraId="70DDAED9" w14:textId="77777777" w:rsidTr="00D450C5">
        <w:trPr>
          <w:cantSplit/>
        </w:trPr>
        <w:tc>
          <w:tcPr>
            <w:tcW w:w="5000" w:type="pct"/>
            <w:tcBorders>
              <w:top w:val="nil"/>
              <w:left w:val="nil"/>
              <w:bottom w:val="nil"/>
              <w:right w:val="nil"/>
            </w:tcBorders>
            <w:shd w:val="clear" w:color="auto" w:fill="auto"/>
          </w:tcPr>
          <w:tbl>
            <w:tblPr>
              <w:tblW w:w="13019" w:type="dxa"/>
              <w:tblCellMar>
                <w:top w:w="28" w:type="dxa"/>
                <w:left w:w="0" w:type="dxa"/>
                <w:right w:w="0" w:type="dxa"/>
              </w:tblCellMar>
              <w:tblLook w:val="0000" w:firstRow="0" w:lastRow="0" w:firstColumn="0" w:lastColumn="0" w:noHBand="0" w:noVBand="0"/>
            </w:tblPr>
            <w:tblGrid>
              <w:gridCol w:w="3804"/>
              <w:gridCol w:w="3971"/>
              <w:gridCol w:w="5244"/>
            </w:tblGrid>
            <w:tr w:rsidR="00603604" w14:paraId="70DDAE9F" w14:textId="77777777" w:rsidTr="0007033B">
              <w:tc>
                <w:tcPr>
                  <w:tcW w:w="1461" w:type="pct"/>
                  <w:tcBorders>
                    <w:top w:val="single" w:sz="6" w:space="0" w:color="BFBFBF"/>
                    <w:bottom w:val="single" w:sz="6" w:space="0" w:color="BFBFBF"/>
                  </w:tcBorders>
                  <w:shd w:val="clear" w:color="auto" w:fill="auto"/>
                  <w:tcMar>
                    <w:top w:w="28" w:type="dxa"/>
                  </w:tcMar>
                </w:tcPr>
                <w:p w14:paraId="70DDAE9C" w14:textId="77777777" w:rsidR="00603604" w:rsidRDefault="00603604" w:rsidP="0007033B">
                  <w:pPr>
                    <w:pStyle w:val="TableColumnHeading"/>
                    <w:jc w:val="left"/>
                  </w:pPr>
                  <w:r>
                    <w:t>Trade &amp; Assistance industry group (ANZSIC 2006)</w:t>
                  </w:r>
                </w:p>
              </w:tc>
              <w:tc>
                <w:tcPr>
                  <w:tcW w:w="1525" w:type="pct"/>
                  <w:tcBorders>
                    <w:top w:val="single" w:sz="6" w:space="0" w:color="BFBFBF"/>
                    <w:bottom w:val="single" w:sz="6" w:space="0" w:color="BFBFBF"/>
                  </w:tcBorders>
                  <w:shd w:val="clear" w:color="auto" w:fill="auto"/>
                  <w:tcMar>
                    <w:top w:w="28" w:type="dxa"/>
                  </w:tcMar>
                </w:tcPr>
                <w:p w14:paraId="70DDAE9D" w14:textId="77777777" w:rsidR="00603604" w:rsidRDefault="00603604" w:rsidP="0007033B">
                  <w:pPr>
                    <w:pStyle w:val="TableColumnHeading"/>
                    <w:ind w:right="28"/>
                    <w:jc w:val="left"/>
                  </w:pPr>
                  <w:r>
                    <w:t>National accounts industry division (ANZSIC 2006)</w:t>
                  </w:r>
                </w:p>
              </w:tc>
              <w:tc>
                <w:tcPr>
                  <w:tcW w:w="2014" w:type="pct"/>
                  <w:tcBorders>
                    <w:top w:val="single" w:sz="6" w:space="0" w:color="BFBFBF"/>
                    <w:bottom w:val="single" w:sz="6" w:space="0" w:color="BFBFBF"/>
                  </w:tcBorders>
                  <w:shd w:val="clear" w:color="auto" w:fill="auto"/>
                  <w:tcMar>
                    <w:top w:w="28" w:type="dxa"/>
                  </w:tcMar>
                </w:tcPr>
                <w:p w14:paraId="70DDAE9E" w14:textId="77777777" w:rsidR="00603604" w:rsidRDefault="00603604" w:rsidP="0007033B">
                  <w:pPr>
                    <w:pStyle w:val="TableColumnHeading"/>
                    <w:ind w:right="28"/>
                    <w:jc w:val="left"/>
                  </w:pPr>
                  <w:r>
                    <w:t>Supplementary data</w:t>
                  </w:r>
                </w:p>
              </w:tc>
            </w:tr>
            <w:tr w:rsidR="00603604" w14:paraId="70DDAEA3" w14:textId="77777777" w:rsidTr="0007033B">
              <w:tc>
                <w:tcPr>
                  <w:tcW w:w="1461" w:type="pct"/>
                  <w:tcBorders>
                    <w:top w:val="single" w:sz="6" w:space="0" w:color="BFBFBF"/>
                  </w:tcBorders>
                  <w:vAlign w:val="bottom"/>
                </w:tcPr>
                <w:p w14:paraId="70DDAEA0" w14:textId="77777777" w:rsidR="00603604" w:rsidRPr="004832A4" w:rsidRDefault="00603604" w:rsidP="0007033B">
                  <w:pPr>
                    <w:pStyle w:val="TableBodyText"/>
                    <w:jc w:val="left"/>
                  </w:pPr>
                  <w:r w:rsidRPr="004832A4">
                    <w:t>Electricity, gas, water and waste services</w:t>
                  </w:r>
                </w:p>
              </w:tc>
              <w:tc>
                <w:tcPr>
                  <w:tcW w:w="1525" w:type="pct"/>
                  <w:tcBorders>
                    <w:top w:val="single" w:sz="6" w:space="0" w:color="BFBFBF"/>
                  </w:tcBorders>
                  <w:vAlign w:val="bottom"/>
                </w:tcPr>
                <w:p w14:paraId="70DDAEA1" w14:textId="77777777" w:rsidR="00603604" w:rsidRPr="004832A4" w:rsidRDefault="00603604" w:rsidP="0007033B">
                  <w:pPr>
                    <w:pStyle w:val="TableBodyText"/>
                    <w:jc w:val="left"/>
                  </w:pPr>
                  <w:r w:rsidRPr="004832A4">
                    <w:t>Electricity, gas, water and waste services</w:t>
                  </w:r>
                </w:p>
              </w:tc>
              <w:tc>
                <w:tcPr>
                  <w:tcW w:w="2014" w:type="pct"/>
                  <w:tcBorders>
                    <w:top w:val="single" w:sz="6" w:space="0" w:color="BFBFBF"/>
                  </w:tcBorders>
                </w:tcPr>
                <w:p w14:paraId="70DDAEA2" w14:textId="77777777" w:rsidR="00603604" w:rsidRDefault="00603604" w:rsidP="0007033B">
                  <w:pPr>
                    <w:pStyle w:val="TableUnitsRow"/>
                    <w:ind w:right="28"/>
                  </w:pPr>
                </w:p>
              </w:tc>
            </w:tr>
            <w:tr w:rsidR="00603604" w14:paraId="70DDAEA7" w14:textId="77777777" w:rsidTr="0007033B">
              <w:tc>
                <w:tcPr>
                  <w:tcW w:w="1461" w:type="pct"/>
                  <w:vAlign w:val="bottom"/>
                </w:tcPr>
                <w:p w14:paraId="70DDAEA4" w14:textId="77777777" w:rsidR="00603604" w:rsidRPr="004832A4" w:rsidRDefault="00603604" w:rsidP="0007033B">
                  <w:pPr>
                    <w:pStyle w:val="TableBodyText"/>
                    <w:jc w:val="left"/>
                  </w:pPr>
                  <w:r w:rsidRPr="004832A4">
                    <w:t>Construction</w:t>
                  </w:r>
                </w:p>
              </w:tc>
              <w:tc>
                <w:tcPr>
                  <w:tcW w:w="1525" w:type="pct"/>
                  <w:vAlign w:val="bottom"/>
                </w:tcPr>
                <w:p w14:paraId="70DDAEA5" w14:textId="77777777" w:rsidR="00603604" w:rsidRPr="004832A4" w:rsidRDefault="00603604" w:rsidP="0007033B">
                  <w:pPr>
                    <w:pStyle w:val="TableBodyText"/>
                    <w:jc w:val="left"/>
                  </w:pPr>
                  <w:r w:rsidRPr="004832A4">
                    <w:t>Construction</w:t>
                  </w:r>
                </w:p>
              </w:tc>
              <w:tc>
                <w:tcPr>
                  <w:tcW w:w="2014" w:type="pct"/>
                </w:tcPr>
                <w:p w14:paraId="70DDAEA6" w14:textId="77777777" w:rsidR="00603604" w:rsidRDefault="00603604" w:rsidP="0007033B">
                  <w:pPr>
                    <w:pStyle w:val="TableBodyText"/>
                    <w:ind w:right="28"/>
                  </w:pPr>
                </w:p>
              </w:tc>
            </w:tr>
            <w:tr w:rsidR="00603604" w14:paraId="70DDAEAB" w14:textId="77777777" w:rsidTr="0007033B">
              <w:tc>
                <w:tcPr>
                  <w:tcW w:w="1461" w:type="pct"/>
                  <w:shd w:val="clear" w:color="auto" w:fill="auto"/>
                  <w:vAlign w:val="bottom"/>
                </w:tcPr>
                <w:p w14:paraId="70DDAEA8" w14:textId="77777777" w:rsidR="00603604" w:rsidRPr="004832A4" w:rsidRDefault="00603604" w:rsidP="0007033B">
                  <w:pPr>
                    <w:pStyle w:val="TableBodyText"/>
                    <w:jc w:val="left"/>
                  </w:pPr>
                  <w:r w:rsidRPr="004832A4">
                    <w:t>Wholesale trade</w:t>
                  </w:r>
                </w:p>
              </w:tc>
              <w:tc>
                <w:tcPr>
                  <w:tcW w:w="1525" w:type="pct"/>
                  <w:shd w:val="clear" w:color="auto" w:fill="auto"/>
                  <w:vAlign w:val="bottom"/>
                </w:tcPr>
                <w:p w14:paraId="70DDAEA9" w14:textId="77777777" w:rsidR="00603604" w:rsidRPr="004832A4" w:rsidRDefault="00603604" w:rsidP="0007033B">
                  <w:pPr>
                    <w:pStyle w:val="TableBodyText"/>
                    <w:jc w:val="left"/>
                  </w:pPr>
                  <w:r w:rsidRPr="004832A4">
                    <w:t>Wholesale trade</w:t>
                  </w:r>
                </w:p>
              </w:tc>
              <w:tc>
                <w:tcPr>
                  <w:tcW w:w="2014" w:type="pct"/>
                  <w:shd w:val="clear" w:color="auto" w:fill="auto"/>
                </w:tcPr>
                <w:p w14:paraId="70DDAEAA" w14:textId="77777777" w:rsidR="00603604" w:rsidRDefault="00603604" w:rsidP="0007033B">
                  <w:pPr>
                    <w:pStyle w:val="TableBodyText"/>
                    <w:ind w:right="28"/>
                  </w:pPr>
                </w:p>
              </w:tc>
            </w:tr>
            <w:tr w:rsidR="00603604" w14:paraId="70DDAEAF" w14:textId="77777777" w:rsidTr="0007033B">
              <w:tc>
                <w:tcPr>
                  <w:tcW w:w="1461" w:type="pct"/>
                  <w:shd w:val="clear" w:color="auto" w:fill="auto"/>
                  <w:vAlign w:val="bottom"/>
                </w:tcPr>
                <w:p w14:paraId="70DDAEAC" w14:textId="77777777" w:rsidR="00603604" w:rsidRPr="004832A4" w:rsidRDefault="00603604" w:rsidP="0007033B">
                  <w:pPr>
                    <w:pStyle w:val="TableBodyText"/>
                    <w:jc w:val="left"/>
                  </w:pPr>
                  <w:r w:rsidRPr="004832A4">
                    <w:t>Retail trade</w:t>
                  </w:r>
                </w:p>
              </w:tc>
              <w:tc>
                <w:tcPr>
                  <w:tcW w:w="1525" w:type="pct"/>
                  <w:shd w:val="clear" w:color="auto" w:fill="auto"/>
                  <w:vAlign w:val="bottom"/>
                </w:tcPr>
                <w:p w14:paraId="70DDAEAD" w14:textId="77777777" w:rsidR="00603604" w:rsidRPr="004832A4" w:rsidRDefault="00603604" w:rsidP="0007033B">
                  <w:pPr>
                    <w:pStyle w:val="TableBodyText"/>
                    <w:jc w:val="left"/>
                  </w:pPr>
                  <w:r w:rsidRPr="004832A4">
                    <w:t>Retail trade</w:t>
                  </w:r>
                </w:p>
              </w:tc>
              <w:tc>
                <w:tcPr>
                  <w:tcW w:w="2014" w:type="pct"/>
                  <w:shd w:val="clear" w:color="auto" w:fill="auto"/>
                </w:tcPr>
                <w:p w14:paraId="70DDAEAE" w14:textId="77777777" w:rsidR="00603604" w:rsidRDefault="00603604" w:rsidP="0007033B">
                  <w:pPr>
                    <w:pStyle w:val="TableBodyText"/>
                    <w:ind w:right="28"/>
                  </w:pPr>
                </w:p>
              </w:tc>
            </w:tr>
            <w:tr w:rsidR="00603604" w14:paraId="70DDAEB3" w14:textId="77777777" w:rsidTr="0007033B">
              <w:tc>
                <w:tcPr>
                  <w:tcW w:w="1461" w:type="pct"/>
                  <w:shd w:val="clear" w:color="auto" w:fill="auto"/>
                  <w:vAlign w:val="bottom"/>
                </w:tcPr>
                <w:p w14:paraId="70DDAEB0" w14:textId="77777777" w:rsidR="00603604" w:rsidRPr="004832A4" w:rsidRDefault="00603604" w:rsidP="0007033B">
                  <w:pPr>
                    <w:pStyle w:val="TableBodyText"/>
                    <w:jc w:val="left"/>
                  </w:pPr>
                  <w:r w:rsidRPr="004832A4">
                    <w:t>Accommodation and food services</w:t>
                  </w:r>
                </w:p>
              </w:tc>
              <w:tc>
                <w:tcPr>
                  <w:tcW w:w="1525" w:type="pct"/>
                  <w:shd w:val="clear" w:color="auto" w:fill="auto"/>
                  <w:vAlign w:val="bottom"/>
                </w:tcPr>
                <w:p w14:paraId="70DDAEB1" w14:textId="77777777" w:rsidR="00603604" w:rsidRPr="004832A4" w:rsidRDefault="00603604" w:rsidP="0007033B">
                  <w:pPr>
                    <w:pStyle w:val="TableBodyText"/>
                    <w:jc w:val="left"/>
                  </w:pPr>
                  <w:r w:rsidRPr="004832A4">
                    <w:t>Accommodation and food services</w:t>
                  </w:r>
                </w:p>
              </w:tc>
              <w:tc>
                <w:tcPr>
                  <w:tcW w:w="2014" w:type="pct"/>
                  <w:shd w:val="clear" w:color="auto" w:fill="auto"/>
                </w:tcPr>
                <w:p w14:paraId="70DDAEB2" w14:textId="77777777" w:rsidR="00603604" w:rsidRDefault="00603604" w:rsidP="0007033B">
                  <w:pPr>
                    <w:pStyle w:val="TableBodyText"/>
                    <w:ind w:right="28"/>
                  </w:pPr>
                </w:p>
              </w:tc>
            </w:tr>
            <w:tr w:rsidR="00603604" w14:paraId="70DDAEB7" w14:textId="77777777" w:rsidTr="0007033B">
              <w:tc>
                <w:tcPr>
                  <w:tcW w:w="1461" w:type="pct"/>
                  <w:shd w:val="clear" w:color="auto" w:fill="auto"/>
                  <w:vAlign w:val="bottom"/>
                </w:tcPr>
                <w:p w14:paraId="70DDAEB4" w14:textId="77777777" w:rsidR="00603604" w:rsidRPr="004832A4" w:rsidRDefault="00603604" w:rsidP="0007033B">
                  <w:pPr>
                    <w:pStyle w:val="TableBodyText"/>
                    <w:jc w:val="left"/>
                  </w:pPr>
                  <w:r w:rsidRPr="004832A4">
                    <w:t>Transport, postal and warehousing</w:t>
                  </w:r>
                </w:p>
              </w:tc>
              <w:tc>
                <w:tcPr>
                  <w:tcW w:w="1525" w:type="pct"/>
                  <w:shd w:val="clear" w:color="auto" w:fill="auto"/>
                  <w:vAlign w:val="bottom"/>
                </w:tcPr>
                <w:p w14:paraId="70DDAEB5" w14:textId="77777777" w:rsidR="00603604" w:rsidRPr="004832A4" w:rsidRDefault="00603604" w:rsidP="0007033B">
                  <w:pPr>
                    <w:pStyle w:val="TableBodyText"/>
                    <w:jc w:val="left"/>
                  </w:pPr>
                  <w:r w:rsidRPr="004832A4">
                    <w:t>Transport, postal and warehousing</w:t>
                  </w:r>
                </w:p>
              </w:tc>
              <w:tc>
                <w:tcPr>
                  <w:tcW w:w="2014" w:type="pct"/>
                  <w:shd w:val="clear" w:color="auto" w:fill="auto"/>
                </w:tcPr>
                <w:p w14:paraId="70DDAEB6" w14:textId="77777777" w:rsidR="00603604" w:rsidRDefault="00603604" w:rsidP="0007033B">
                  <w:pPr>
                    <w:pStyle w:val="TableBodyText"/>
                    <w:ind w:right="28"/>
                  </w:pPr>
                </w:p>
              </w:tc>
            </w:tr>
            <w:tr w:rsidR="00603604" w14:paraId="70DDAEBB" w14:textId="77777777" w:rsidTr="0007033B">
              <w:tc>
                <w:tcPr>
                  <w:tcW w:w="1461" w:type="pct"/>
                  <w:shd w:val="clear" w:color="auto" w:fill="auto"/>
                  <w:vAlign w:val="bottom"/>
                </w:tcPr>
                <w:p w14:paraId="70DDAEB8" w14:textId="77777777" w:rsidR="00603604" w:rsidRPr="004832A4" w:rsidRDefault="00603604" w:rsidP="0007033B">
                  <w:pPr>
                    <w:pStyle w:val="TableBodyText"/>
                    <w:jc w:val="left"/>
                  </w:pPr>
                  <w:r w:rsidRPr="004832A4">
                    <w:t>Information, media and telecommunications</w:t>
                  </w:r>
                </w:p>
              </w:tc>
              <w:tc>
                <w:tcPr>
                  <w:tcW w:w="1525" w:type="pct"/>
                  <w:shd w:val="clear" w:color="auto" w:fill="auto"/>
                  <w:vAlign w:val="bottom"/>
                </w:tcPr>
                <w:p w14:paraId="70DDAEB9" w14:textId="77777777" w:rsidR="00603604" w:rsidRPr="004832A4" w:rsidRDefault="00603604" w:rsidP="0007033B">
                  <w:pPr>
                    <w:pStyle w:val="TableBodyText"/>
                    <w:jc w:val="left"/>
                  </w:pPr>
                  <w:r w:rsidRPr="004832A4">
                    <w:t>Information media and telecommunications</w:t>
                  </w:r>
                </w:p>
              </w:tc>
              <w:tc>
                <w:tcPr>
                  <w:tcW w:w="2014" w:type="pct"/>
                  <w:shd w:val="clear" w:color="auto" w:fill="auto"/>
                </w:tcPr>
                <w:p w14:paraId="70DDAEBA" w14:textId="77777777" w:rsidR="00603604" w:rsidRDefault="00603604" w:rsidP="0007033B">
                  <w:pPr>
                    <w:pStyle w:val="TableBodyText"/>
                    <w:ind w:right="28"/>
                  </w:pPr>
                </w:p>
              </w:tc>
            </w:tr>
            <w:tr w:rsidR="00603604" w14:paraId="70DDAEBF" w14:textId="77777777" w:rsidTr="0007033B">
              <w:tc>
                <w:tcPr>
                  <w:tcW w:w="1461" w:type="pct"/>
                  <w:shd w:val="clear" w:color="auto" w:fill="auto"/>
                  <w:vAlign w:val="bottom"/>
                </w:tcPr>
                <w:p w14:paraId="70DDAEBC" w14:textId="77777777" w:rsidR="00603604" w:rsidRPr="004832A4" w:rsidRDefault="00603604" w:rsidP="0007033B">
                  <w:pPr>
                    <w:pStyle w:val="TableBodyText"/>
                    <w:jc w:val="left"/>
                  </w:pPr>
                  <w:r w:rsidRPr="004832A4">
                    <w:t>Financial and insurance services</w:t>
                  </w:r>
                </w:p>
              </w:tc>
              <w:tc>
                <w:tcPr>
                  <w:tcW w:w="1525" w:type="pct"/>
                  <w:shd w:val="clear" w:color="auto" w:fill="auto"/>
                  <w:vAlign w:val="bottom"/>
                </w:tcPr>
                <w:p w14:paraId="70DDAEBD" w14:textId="77777777" w:rsidR="00603604" w:rsidRPr="004832A4" w:rsidRDefault="00603604" w:rsidP="0007033B">
                  <w:pPr>
                    <w:pStyle w:val="TableBodyText"/>
                    <w:jc w:val="left"/>
                  </w:pPr>
                  <w:r w:rsidRPr="004832A4">
                    <w:t>Financial and insurance services</w:t>
                  </w:r>
                </w:p>
              </w:tc>
              <w:tc>
                <w:tcPr>
                  <w:tcW w:w="2014" w:type="pct"/>
                  <w:shd w:val="clear" w:color="auto" w:fill="auto"/>
                </w:tcPr>
                <w:p w14:paraId="70DDAEBE" w14:textId="77777777" w:rsidR="00603604" w:rsidRDefault="00603604" w:rsidP="0007033B">
                  <w:pPr>
                    <w:pStyle w:val="TableBodyText"/>
                    <w:ind w:right="28"/>
                  </w:pPr>
                </w:p>
              </w:tc>
            </w:tr>
            <w:tr w:rsidR="00603604" w14:paraId="70DDAEC3" w14:textId="77777777" w:rsidTr="0007033B">
              <w:tc>
                <w:tcPr>
                  <w:tcW w:w="1461" w:type="pct"/>
                  <w:shd w:val="clear" w:color="auto" w:fill="auto"/>
                  <w:vAlign w:val="center"/>
                </w:tcPr>
                <w:p w14:paraId="70DDAEC0" w14:textId="77777777" w:rsidR="00603604" w:rsidRPr="004832A4" w:rsidRDefault="00603604" w:rsidP="0007033B">
                  <w:pPr>
                    <w:pStyle w:val="TableBodyText"/>
                    <w:spacing w:after="0"/>
                    <w:jc w:val="left"/>
                  </w:pPr>
                  <w:r>
                    <w:rPr>
                      <w:noProof/>
                    </w:rPr>
                    <mc:AlternateContent>
                      <mc:Choice Requires="wps">
                        <w:drawing>
                          <wp:anchor distT="0" distB="0" distL="114300" distR="114300" simplePos="0" relativeHeight="251661312" behindDoc="0" locked="0" layoutInCell="1" allowOverlap="1" wp14:anchorId="70DDAF7C" wp14:editId="70DDAF7D">
                            <wp:simplePos x="0" y="0"/>
                            <wp:positionH relativeFrom="column">
                              <wp:posOffset>2301875</wp:posOffset>
                            </wp:positionH>
                            <wp:positionV relativeFrom="paragraph">
                              <wp:posOffset>11430</wp:posOffset>
                            </wp:positionV>
                            <wp:extent cx="45085" cy="485775"/>
                            <wp:effectExtent l="0" t="0" r="12065" b="28575"/>
                            <wp:wrapNone/>
                            <wp:docPr id="7" name="Left Brace 7"/>
                            <wp:cNvGraphicFramePr/>
                            <a:graphic xmlns:a="http://schemas.openxmlformats.org/drawingml/2006/main">
                              <a:graphicData uri="http://schemas.microsoft.com/office/word/2010/wordprocessingShape">
                                <wps:wsp>
                                  <wps:cNvSpPr/>
                                  <wps:spPr>
                                    <a:xfrm>
                                      <a:off x="0" y="0"/>
                                      <a:ext cx="45085" cy="4857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43EC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181.25pt;margin-top:.9pt;width:3.5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" adj="167" strokecolor="#71992c [3044]"/>
                        </w:pict>
                      </mc:Fallback>
                    </mc:AlternateContent>
                  </w:r>
                  <w:r w:rsidRPr="004832A4">
                    <w:t>Property, professional and administrative services</w:t>
                  </w:r>
                </w:p>
              </w:tc>
              <w:tc>
                <w:tcPr>
                  <w:tcW w:w="1525" w:type="pct"/>
                  <w:shd w:val="clear" w:color="auto" w:fill="auto"/>
                  <w:vAlign w:val="center"/>
                </w:tcPr>
                <w:p w14:paraId="70DDAEC1" w14:textId="77777777" w:rsidR="00603604" w:rsidRPr="004832A4" w:rsidRDefault="00603604" w:rsidP="0007033B">
                  <w:pPr>
                    <w:pStyle w:val="TableBodyText"/>
                    <w:jc w:val="left"/>
                  </w:pPr>
                  <w:r w:rsidRPr="004832A4">
                    <w:t>Rental, hiring and real estate services; Professional, scientific and technical services; Administrative and support services; and Ownership of dwellings</w:t>
                  </w:r>
                </w:p>
              </w:tc>
              <w:tc>
                <w:tcPr>
                  <w:tcW w:w="2014" w:type="pct"/>
                  <w:shd w:val="clear" w:color="auto" w:fill="auto"/>
                  <w:vAlign w:val="center"/>
                </w:tcPr>
                <w:p w14:paraId="70DDAEC2" w14:textId="77777777" w:rsidR="00603604" w:rsidRDefault="00603604" w:rsidP="0007033B">
                  <w:pPr>
                    <w:pStyle w:val="TableBodyText"/>
                    <w:ind w:right="28"/>
                    <w:jc w:val="left"/>
                  </w:pPr>
                </w:p>
              </w:tc>
            </w:tr>
            <w:tr w:rsidR="00603604" w14:paraId="70DDAEC7" w14:textId="77777777" w:rsidTr="0007033B">
              <w:tc>
                <w:tcPr>
                  <w:tcW w:w="1461" w:type="pct"/>
                  <w:shd w:val="clear" w:color="auto" w:fill="auto"/>
                  <w:vAlign w:val="bottom"/>
                </w:tcPr>
                <w:p w14:paraId="70DDAEC4" w14:textId="77777777" w:rsidR="00603604" w:rsidRPr="004832A4" w:rsidRDefault="00603604" w:rsidP="0007033B">
                  <w:pPr>
                    <w:pStyle w:val="TableBodyText"/>
                    <w:jc w:val="left"/>
                  </w:pPr>
                  <w:r w:rsidRPr="004832A4">
                    <w:t>Public administration and safety</w:t>
                  </w:r>
                </w:p>
              </w:tc>
              <w:tc>
                <w:tcPr>
                  <w:tcW w:w="1525" w:type="pct"/>
                  <w:shd w:val="clear" w:color="auto" w:fill="auto"/>
                  <w:vAlign w:val="bottom"/>
                </w:tcPr>
                <w:p w14:paraId="70DDAEC5" w14:textId="77777777" w:rsidR="00603604" w:rsidRPr="004832A4" w:rsidRDefault="00603604" w:rsidP="0007033B">
                  <w:pPr>
                    <w:pStyle w:val="TableBodyText"/>
                    <w:jc w:val="left"/>
                  </w:pPr>
                  <w:r w:rsidRPr="004832A4">
                    <w:t>Public administration and safety</w:t>
                  </w:r>
                </w:p>
              </w:tc>
              <w:tc>
                <w:tcPr>
                  <w:tcW w:w="2014" w:type="pct"/>
                  <w:shd w:val="clear" w:color="auto" w:fill="auto"/>
                </w:tcPr>
                <w:p w14:paraId="70DDAEC6" w14:textId="77777777" w:rsidR="00603604" w:rsidRDefault="00603604" w:rsidP="0007033B">
                  <w:pPr>
                    <w:pStyle w:val="TableBodyText"/>
                    <w:ind w:right="28"/>
                  </w:pPr>
                </w:p>
              </w:tc>
            </w:tr>
            <w:tr w:rsidR="00603604" w14:paraId="70DDAECB" w14:textId="77777777" w:rsidTr="0007033B">
              <w:tc>
                <w:tcPr>
                  <w:tcW w:w="1461" w:type="pct"/>
                  <w:shd w:val="clear" w:color="auto" w:fill="auto"/>
                  <w:vAlign w:val="bottom"/>
                </w:tcPr>
                <w:p w14:paraId="70DDAEC8" w14:textId="77777777" w:rsidR="00603604" w:rsidRPr="004832A4" w:rsidRDefault="00603604" w:rsidP="0007033B">
                  <w:pPr>
                    <w:pStyle w:val="TableBodyText"/>
                    <w:jc w:val="left"/>
                  </w:pPr>
                  <w:r w:rsidRPr="004832A4">
                    <w:t>Education and training</w:t>
                  </w:r>
                </w:p>
              </w:tc>
              <w:tc>
                <w:tcPr>
                  <w:tcW w:w="1525" w:type="pct"/>
                  <w:shd w:val="clear" w:color="auto" w:fill="auto"/>
                  <w:vAlign w:val="bottom"/>
                </w:tcPr>
                <w:p w14:paraId="70DDAEC9" w14:textId="77777777" w:rsidR="00603604" w:rsidRPr="004832A4" w:rsidRDefault="00603604" w:rsidP="0007033B">
                  <w:pPr>
                    <w:pStyle w:val="TableBodyText"/>
                    <w:jc w:val="left"/>
                  </w:pPr>
                  <w:r w:rsidRPr="004832A4">
                    <w:t>Education and training</w:t>
                  </w:r>
                </w:p>
              </w:tc>
              <w:tc>
                <w:tcPr>
                  <w:tcW w:w="2014" w:type="pct"/>
                  <w:shd w:val="clear" w:color="auto" w:fill="auto"/>
                </w:tcPr>
                <w:p w14:paraId="70DDAECA" w14:textId="77777777" w:rsidR="00603604" w:rsidRDefault="00603604" w:rsidP="0007033B">
                  <w:pPr>
                    <w:pStyle w:val="TableBodyText"/>
                    <w:ind w:right="28"/>
                  </w:pPr>
                </w:p>
              </w:tc>
            </w:tr>
            <w:tr w:rsidR="00603604" w14:paraId="70DDAECF" w14:textId="77777777" w:rsidTr="0007033B">
              <w:tc>
                <w:tcPr>
                  <w:tcW w:w="1461" w:type="pct"/>
                  <w:shd w:val="clear" w:color="auto" w:fill="auto"/>
                  <w:vAlign w:val="bottom"/>
                </w:tcPr>
                <w:p w14:paraId="70DDAECC" w14:textId="77777777" w:rsidR="00603604" w:rsidRPr="004832A4" w:rsidRDefault="00603604" w:rsidP="0007033B">
                  <w:pPr>
                    <w:pStyle w:val="TableBodyText"/>
                    <w:jc w:val="left"/>
                  </w:pPr>
                  <w:r w:rsidRPr="004832A4">
                    <w:t>Health care and social assistance</w:t>
                  </w:r>
                </w:p>
              </w:tc>
              <w:tc>
                <w:tcPr>
                  <w:tcW w:w="1525" w:type="pct"/>
                  <w:shd w:val="clear" w:color="auto" w:fill="auto"/>
                  <w:vAlign w:val="bottom"/>
                </w:tcPr>
                <w:p w14:paraId="70DDAECD" w14:textId="77777777" w:rsidR="00603604" w:rsidRPr="004832A4" w:rsidRDefault="00603604" w:rsidP="0007033B">
                  <w:pPr>
                    <w:pStyle w:val="TableBodyText"/>
                    <w:jc w:val="left"/>
                  </w:pPr>
                  <w:r w:rsidRPr="004832A4">
                    <w:t>Health care and social assistance</w:t>
                  </w:r>
                </w:p>
              </w:tc>
              <w:tc>
                <w:tcPr>
                  <w:tcW w:w="2014" w:type="pct"/>
                  <w:shd w:val="clear" w:color="auto" w:fill="auto"/>
                </w:tcPr>
                <w:p w14:paraId="70DDAECE" w14:textId="77777777" w:rsidR="00603604" w:rsidRDefault="00603604" w:rsidP="0007033B">
                  <w:pPr>
                    <w:pStyle w:val="TableBodyText"/>
                    <w:ind w:right="28"/>
                  </w:pPr>
                </w:p>
              </w:tc>
            </w:tr>
            <w:tr w:rsidR="00603604" w14:paraId="70DDAED3" w14:textId="77777777" w:rsidTr="0007033B">
              <w:tc>
                <w:tcPr>
                  <w:tcW w:w="1461" w:type="pct"/>
                  <w:shd w:val="clear" w:color="auto" w:fill="auto"/>
                  <w:vAlign w:val="bottom"/>
                </w:tcPr>
                <w:p w14:paraId="70DDAED0" w14:textId="77777777" w:rsidR="00603604" w:rsidRPr="004832A4" w:rsidRDefault="00603604" w:rsidP="0007033B">
                  <w:pPr>
                    <w:pStyle w:val="TableBodyText"/>
                    <w:jc w:val="left"/>
                  </w:pPr>
                  <w:r w:rsidRPr="004832A4">
                    <w:t>Arts and recreation services</w:t>
                  </w:r>
                </w:p>
              </w:tc>
              <w:tc>
                <w:tcPr>
                  <w:tcW w:w="1525" w:type="pct"/>
                  <w:shd w:val="clear" w:color="auto" w:fill="auto"/>
                  <w:vAlign w:val="bottom"/>
                </w:tcPr>
                <w:p w14:paraId="70DDAED1" w14:textId="77777777" w:rsidR="00603604" w:rsidRPr="004832A4" w:rsidRDefault="00603604" w:rsidP="0007033B">
                  <w:pPr>
                    <w:pStyle w:val="TableBodyText"/>
                    <w:jc w:val="left"/>
                  </w:pPr>
                  <w:r w:rsidRPr="004832A4">
                    <w:t>Arts and recreation services</w:t>
                  </w:r>
                </w:p>
              </w:tc>
              <w:tc>
                <w:tcPr>
                  <w:tcW w:w="2014" w:type="pct"/>
                  <w:shd w:val="clear" w:color="auto" w:fill="auto"/>
                </w:tcPr>
                <w:p w14:paraId="70DDAED2" w14:textId="77777777" w:rsidR="00603604" w:rsidRDefault="00603604" w:rsidP="0007033B">
                  <w:pPr>
                    <w:pStyle w:val="TableBodyText"/>
                    <w:ind w:right="28"/>
                  </w:pPr>
                </w:p>
              </w:tc>
            </w:tr>
            <w:tr w:rsidR="00603604" w14:paraId="70DDAED7" w14:textId="77777777" w:rsidTr="0007033B">
              <w:tc>
                <w:tcPr>
                  <w:tcW w:w="1461" w:type="pct"/>
                  <w:tcBorders>
                    <w:bottom w:val="single" w:sz="6" w:space="0" w:color="BFBFBF"/>
                  </w:tcBorders>
                  <w:shd w:val="clear" w:color="auto" w:fill="auto"/>
                  <w:vAlign w:val="bottom"/>
                </w:tcPr>
                <w:p w14:paraId="70DDAED4" w14:textId="77777777" w:rsidR="00603604" w:rsidRPr="004832A4" w:rsidRDefault="00603604" w:rsidP="0007033B">
                  <w:pPr>
                    <w:pStyle w:val="TableBodyText"/>
                    <w:spacing w:after="80"/>
                    <w:jc w:val="left"/>
                  </w:pPr>
                  <w:r w:rsidRPr="004832A4">
                    <w:t>Other services</w:t>
                  </w:r>
                </w:p>
              </w:tc>
              <w:tc>
                <w:tcPr>
                  <w:tcW w:w="1525" w:type="pct"/>
                  <w:tcBorders>
                    <w:bottom w:val="single" w:sz="6" w:space="0" w:color="BFBFBF"/>
                  </w:tcBorders>
                  <w:shd w:val="clear" w:color="auto" w:fill="auto"/>
                  <w:vAlign w:val="bottom"/>
                </w:tcPr>
                <w:p w14:paraId="70DDAED5" w14:textId="77777777" w:rsidR="00603604" w:rsidRPr="004832A4" w:rsidRDefault="00603604" w:rsidP="0007033B">
                  <w:pPr>
                    <w:pStyle w:val="TableBodyText"/>
                    <w:spacing w:after="80"/>
                    <w:jc w:val="left"/>
                  </w:pPr>
                  <w:r w:rsidRPr="004832A4">
                    <w:t>Other services</w:t>
                  </w:r>
                </w:p>
              </w:tc>
              <w:tc>
                <w:tcPr>
                  <w:tcW w:w="2014" w:type="pct"/>
                  <w:tcBorders>
                    <w:bottom w:val="single" w:sz="6" w:space="0" w:color="BFBFBF"/>
                  </w:tcBorders>
                  <w:shd w:val="clear" w:color="auto" w:fill="auto"/>
                </w:tcPr>
                <w:p w14:paraId="70DDAED6" w14:textId="77777777" w:rsidR="00603604" w:rsidRDefault="00603604" w:rsidP="0007033B">
                  <w:pPr>
                    <w:pStyle w:val="TableBodyText"/>
                    <w:spacing w:after="80"/>
                    <w:ind w:right="28"/>
                  </w:pPr>
                </w:p>
              </w:tc>
            </w:tr>
          </w:tbl>
          <w:p w14:paraId="70DDAED8" w14:textId="77777777" w:rsidR="00603604" w:rsidRDefault="00603604" w:rsidP="0007033B">
            <w:pPr>
              <w:pStyle w:val="Box"/>
            </w:pPr>
          </w:p>
        </w:tc>
      </w:tr>
      <w:tr w:rsidR="00603604" w14:paraId="70DDAEDB" w14:textId="77777777" w:rsidTr="00D450C5">
        <w:trPr>
          <w:cantSplit/>
        </w:trPr>
        <w:tc>
          <w:tcPr>
            <w:tcW w:w="5000" w:type="pct"/>
            <w:tcBorders>
              <w:top w:val="nil"/>
              <w:left w:val="nil"/>
              <w:bottom w:val="nil"/>
              <w:right w:val="nil"/>
            </w:tcBorders>
            <w:shd w:val="clear" w:color="auto" w:fill="auto"/>
          </w:tcPr>
          <w:p w14:paraId="70DDAEDA" w14:textId="77777777" w:rsidR="00603604" w:rsidRDefault="00603604" w:rsidP="0007033B">
            <w:pPr>
              <w:pStyle w:val="Source"/>
            </w:pPr>
            <w:r>
              <w:rPr>
                <w:i/>
              </w:rPr>
              <w:t>Source</w:t>
            </w:r>
            <w:r w:rsidRPr="00167F06">
              <w:t xml:space="preserve">: </w:t>
            </w:r>
            <w:r>
              <w:t>ABS (2006; 2013); Commission estimates.</w:t>
            </w:r>
          </w:p>
        </w:tc>
      </w:tr>
      <w:tr w:rsidR="00603604" w14:paraId="70DDAEDD" w14:textId="77777777" w:rsidTr="00D450C5">
        <w:trPr>
          <w:cantSplit/>
        </w:trPr>
        <w:tc>
          <w:tcPr>
            <w:tcW w:w="5000" w:type="pct"/>
            <w:tcBorders>
              <w:top w:val="nil"/>
              <w:left w:val="nil"/>
              <w:bottom w:val="single" w:sz="6" w:space="0" w:color="78A22F"/>
              <w:right w:val="nil"/>
            </w:tcBorders>
            <w:shd w:val="clear" w:color="auto" w:fill="auto"/>
          </w:tcPr>
          <w:p w14:paraId="70DDAEDC" w14:textId="77777777" w:rsidR="00603604" w:rsidRDefault="00603604" w:rsidP="0007033B">
            <w:pPr>
              <w:pStyle w:val="Box"/>
              <w:spacing w:before="0" w:line="120" w:lineRule="exact"/>
            </w:pPr>
          </w:p>
        </w:tc>
      </w:tr>
      <w:tr w:rsidR="00603604" w:rsidRPr="000863A5" w14:paraId="70DDAEDF" w14:textId="77777777" w:rsidTr="00D450C5">
        <w:tc>
          <w:tcPr>
            <w:tcW w:w="5000" w:type="pct"/>
            <w:tcBorders>
              <w:top w:val="single" w:sz="6" w:space="0" w:color="78A22F"/>
              <w:left w:val="nil"/>
              <w:bottom w:val="nil"/>
              <w:right w:val="nil"/>
            </w:tcBorders>
          </w:tcPr>
          <w:p w14:paraId="70DDAEDE" w14:textId="682CCFBA" w:rsidR="00603604" w:rsidRPr="00626D32" w:rsidRDefault="00603604" w:rsidP="0007033B">
            <w:pPr>
              <w:pStyle w:val="BoxSpaceBelow"/>
            </w:pPr>
          </w:p>
        </w:tc>
      </w:tr>
    </w:tbl>
    <w:p w14:paraId="70DDAEE0" w14:textId="77777777" w:rsidR="00603604" w:rsidRDefault="00603604" w:rsidP="00603604">
      <w:pPr>
        <w:pStyle w:val="BodyText"/>
        <w:sectPr w:rsidR="00603604">
          <w:headerReference w:type="even" r:id="rId30"/>
          <w:headerReference w:type="default" r:id="rId31"/>
          <w:footerReference w:type="even" r:id="rId32"/>
          <w:footerReference w:type="default" r:id="rId33"/>
          <w:pgSz w:w="16840" w:h="11907" w:orient="landscape" w:code="9"/>
          <w:pgMar w:top="1814" w:right="1985" w:bottom="1304" w:left="1418" w:header="1701" w:footer="567" w:gutter="0"/>
          <w:pgNumType w:chapSep="period"/>
          <w:cols w:space="720"/>
        </w:sectPr>
      </w:pPr>
    </w:p>
    <w:p w14:paraId="70DDAEE1" w14:textId="77777777" w:rsidR="00437799" w:rsidRDefault="00437799" w:rsidP="00437799">
      <w:pPr>
        <w:pStyle w:val="Heading2"/>
      </w:pPr>
      <w:r>
        <w:lastRenderedPageBreak/>
        <w:t xml:space="preserve">Appendix B — </w:t>
      </w:r>
      <w:r w:rsidR="006A2BCC">
        <w:t>Combined assistance file structure</w:t>
      </w:r>
    </w:p>
    <w:p w14:paraId="70DDAEE2" w14:textId="1A29FEB2" w:rsidR="002409D7" w:rsidRDefault="002409D7" w:rsidP="00C1669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409D7" w14:paraId="70DDAEE4" w14:textId="77777777" w:rsidTr="00D450C5">
        <w:trPr>
          <w:tblHeader/>
        </w:trPr>
        <w:tc>
          <w:tcPr>
            <w:tcW w:w="5000" w:type="pct"/>
            <w:tcBorders>
              <w:top w:val="single" w:sz="6" w:space="0" w:color="78A22F"/>
              <w:left w:val="nil"/>
              <w:bottom w:val="nil"/>
              <w:right w:val="nil"/>
            </w:tcBorders>
            <w:shd w:val="clear" w:color="auto" w:fill="auto"/>
          </w:tcPr>
          <w:p w14:paraId="70DDAEE3" w14:textId="4B6A88B8" w:rsidR="00685FD6" w:rsidRPr="00685FD6" w:rsidRDefault="002409D7" w:rsidP="00685FD6">
            <w:pPr>
              <w:pStyle w:val="FigureTitle"/>
            </w:pPr>
            <w:bookmarkStart w:id="12" w:name="_Hlk39698028"/>
            <w:r w:rsidRPr="00784A05">
              <w:rPr>
                <w:b w:val="0"/>
              </w:rPr>
              <w:t xml:space="preserve">Figure </w:t>
            </w:r>
            <w:r>
              <w:rPr>
                <w:b w:val="0"/>
              </w:rPr>
              <w:t>B.1</w:t>
            </w:r>
            <w:r>
              <w:tab/>
            </w:r>
            <w:r w:rsidR="00685FD6">
              <w:t>File structure used for calculating r</w:t>
            </w:r>
            <w:r>
              <w:t>ates of combined assistance</w:t>
            </w:r>
            <w:bookmarkEnd w:id="12"/>
          </w:p>
        </w:tc>
      </w:tr>
      <w:tr w:rsidR="002409D7" w14:paraId="70DDAEE8" w14:textId="77777777" w:rsidTr="00D450C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409D7" w:rsidRPr="00B1465D" w14:paraId="70DDAEE6" w14:textId="77777777" w:rsidTr="00D450C5">
              <w:trPr>
                <w:tblHeader/>
                <w:jc w:val="center"/>
              </w:trPr>
              <w:tc>
                <w:tcPr>
                  <w:tcW w:w="5000" w:type="pct"/>
                  <w:tcBorders>
                    <w:top w:val="nil"/>
                    <w:bottom w:val="nil"/>
                  </w:tcBorders>
                </w:tcPr>
                <w:p w14:paraId="70DDAEE5" w14:textId="3E5BB6C6" w:rsidR="002409D7" w:rsidRPr="00B1465D" w:rsidRDefault="00ED41EE" w:rsidP="00C16694">
                  <w:pPr>
                    <w:pStyle w:val="Figure"/>
                    <w:spacing w:before="60" w:after="60"/>
                    <w:rPr>
                      <w:rFonts w:ascii="Arial" w:hAnsi="Arial" w:cs="Arial"/>
                      <w:sz w:val="18"/>
                      <w:szCs w:val="18"/>
                    </w:rPr>
                  </w:pPr>
                  <w:r w:rsidRPr="00ED41EE">
                    <w:rPr>
                      <w:rFonts w:ascii="Arial" w:hAnsi="Arial" w:cs="Arial"/>
                      <w:noProof/>
                      <w:sz w:val="18"/>
                      <w:szCs w:val="18"/>
                    </w:rPr>
                    <w:drawing>
                      <wp:inline distT="0" distB="0" distL="0" distR="0" wp14:anchorId="1B27DA9C" wp14:editId="54B4BB0B">
                        <wp:extent cx="5242560" cy="3444240"/>
                        <wp:effectExtent l="0" t="0" r="0" b="3810"/>
                        <wp:docPr id="15" name="Picture 15" descr="Figure B.1 File structure used for calculating rates of combined assistance&#10;&#10;This figure is a flow diagram of the file structures to derive combined estimates of assistance by adding all assistance estimates due to tariffs and budgetary assistance at current pr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42560" cy="3444240"/>
                                </a:xfrm>
                                <a:prstGeom prst="rect">
                                  <a:avLst/>
                                </a:prstGeom>
                                <a:noFill/>
                                <a:ln>
                                  <a:noFill/>
                                </a:ln>
                              </pic:spPr>
                            </pic:pic>
                          </a:graphicData>
                        </a:graphic>
                      </wp:inline>
                    </w:drawing>
                  </w:r>
                </w:p>
              </w:tc>
            </w:tr>
          </w:tbl>
          <w:p w14:paraId="70DDAEE7" w14:textId="77777777" w:rsidR="002409D7" w:rsidRDefault="002409D7" w:rsidP="00C16694">
            <w:pPr>
              <w:pStyle w:val="Figure"/>
            </w:pPr>
          </w:p>
        </w:tc>
      </w:tr>
      <w:tr w:rsidR="002409D7" w14:paraId="70DDAEEA" w14:textId="77777777" w:rsidTr="00D450C5">
        <w:tc>
          <w:tcPr>
            <w:tcW w:w="5000" w:type="pct"/>
            <w:tcBorders>
              <w:top w:val="nil"/>
              <w:left w:val="nil"/>
              <w:bottom w:val="single" w:sz="6" w:space="0" w:color="78A22F"/>
              <w:right w:val="nil"/>
            </w:tcBorders>
            <w:shd w:val="clear" w:color="auto" w:fill="auto"/>
          </w:tcPr>
          <w:p w14:paraId="70DDAEE9" w14:textId="77777777" w:rsidR="002409D7" w:rsidRDefault="002409D7" w:rsidP="00C16694">
            <w:pPr>
              <w:pStyle w:val="Figurespace"/>
            </w:pPr>
          </w:p>
        </w:tc>
      </w:tr>
      <w:tr w:rsidR="002409D7" w:rsidRPr="000863A5" w14:paraId="70DDAEEC" w14:textId="77777777" w:rsidTr="00D450C5">
        <w:tc>
          <w:tcPr>
            <w:tcW w:w="5000" w:type="pct"/>
            <w:tcBorders>
              <w:top w:val="single" w:sz="6" w:space="0" w:color="78A22F"/>
              <w:left w:val="nil"/>
              <w:bottom w:val="nil"/>
              <w:right w:val="nil"/>
            </w:tcBorders>
          </w:tcPr>
          <w:p w14:paraId="70DDAEEB" w14:textId="581CAA42" w:rsidR="002409D7" w:rsidRPr="00626D32" w:rsidRDefault="002409D7" w:rsidP="00C16694">
            <w:pPr>
              <w:pStyle w:val="BoxSpaceBelow"/>
            </w:pPr>
          </w:p>
        </w:tc>
      </w:tr>
    </w:tbl>
    <w:p w14:paraId="70DDAEED" w14:textId="5EBC9DA3" w:rsidR="00437799" w:rsidRDefault="00437799" w:rsidP="0043779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37799" w14:paraId="70DDAEEF" w14:textId="77777777" w:rsidTr="00D450C5">
        <w:tc>
          <w:tcPr>
            <w:tcW w:w="5000" w:type="pct"/>
            <w:tcBorders>
              <w:top w:val="single" w:sz="6" w:space="0" w:color="78A22F"/>
              <w:left w:val="nil"/>
              <w:bottom w:val="nil"/>
              <w:right w:val="nil"/>
            </w:tcBorders>
            <w:shd w:val="clear" w:color="auto" w:fill="auto"/>
          </w:tcPr>
          <w:p w14:paraId="70DDAEEE" w14:textId="77777777" w:rsidR="00437799" w:rsidRPr="00784A05" w:rsidRDefault="00437799" w:rsidP="000B778B">
            <w:pPr>
              <w:pStyle w:val="TableTitle"/>
            </w:pPr>
            <w:r>
              <w:rPr>
                <w:b w:val="0"/>
              </w:rPr>
              <w:t>Table B.</w:t>
            </w:r>
            <w:r w:rsidR="000B778B">
              <w:rPr>
                <w:b w:val="0"/>
              </w:rPr>
              <w:t>1</w:t>
            </w:r>
            <w:r>
              <w:tab/>
              <w:t>Files required to produce 2013-14 TAR estimates</w:t>
            </w:r>
          </w:p>
        </w:tc>
      </w:tr>
      <w:tr w:rsidR="00437799" w14:paraId="70DDAF26" w14:textId="77777777" w:rsidTr="00D450C5">
        <w:tc>
          <w:tcPr>
            <w:tcW w:w="5000" w:type="pct"/>
            <w:tcBorders>
              <w:top w:val="nil"/>
              <w:left w:val="nil"/>
              <w:bottom w:val="nil"/>
              <w:right w:val="nil"/>
            </w:tcBorders>
            <w:shd w:val="clear" w:color="auto" w:fill="auto"/>
          </w:tcPr>
          <w:tbl>
            <w:tblPr>
              <w:tblW w:w="4998" w:type="pct"/>
              <w:tblCellMar>
                <w:top w:w="28" w:type="dxa"/>
                <w:left w:w="0" w:type="dxa"/>
                <w:right w:w="0" w:type="dxa"/>
              </w:tblCellMar>
              <w:tblLook w:val="0000" w:firstRow="0" w:lastRow="0" w:firstColumn="0" w:lastColumn="0" w:noHBand="0" w:noVBand="0"/>
            </w:tblPr>
            <w:tblGrid>
              <w:gridCol w:w="2677"/>
              <w:gridCol w:w="1887"/>
              <w:gridCol w:w="3938"/>
            </w:tblGrid>
            <w:tr w:rsidR="00437799" w14:paraId="70DDAEF3" w14:textId="77777777" w:rsidTr="00437799">
              <w:trPr>
                <w:tblHeader/>
              </w:trPr>
              <w:tc>
                <w:tcPr>
                  <w:tcW w:w="1574" w:type="pct"/>
                  <w:tcBorders>
                    <w:top w:val="single" w:sz="6" w:space="0" w:color="BFBFBF"/>
                    <w:bottom w:val="single" w:sz="6" w:space="0" w:color="BFBFBF"/>
                  </w:tcBorders>
                  <w:shd w:val="clear" w:color="auto" w:fill="auto"/>
                  <w:tcMar>
                    <w:top w:w="28" w:type="dxa"/>
                  </w:tcMar>
                </w:tcPr>
                <w:p w14:paraId="70DDAEF0" w14:textId="77777777" w:rsidR="00437799" w:rsidRPr="00E25F00" w:rsidRDefault="00437799" w:rsidP="00437799">
                  <w:pPr>
                    <w:pStyle w:val="TableUnitsRow"/>
                    <w:jc w:val="left"/>
                    <w:rPr>
                      <w:rFonts w:ascii="Calibri" w:eastAsiaTheme="minorHAnsi" w:hAnsi="Calibri"/>
                      <w:sz w:val="22"/>
                      <w:szCs w:val="22"/>
                      <w:lang w:eastAsia="en-US"/>
                    </w:rPr>
                  </w:pPr>
                  <w:r>
                    <w:t>Workbook name</w:t>
                  </w:r>
                </w:p>
              </w:tc>
              <w:tc>
                <w:tcPr>
                  <w:tcW w:w="1110" w:type="pct"/>
                  <w:tcBorders>
                    <w:top w:val="single" w:sz="6" w:space="0" w:color="BFBFBF"/>
                    <w:bottom w:val="single" w:sz="6" w:space="0" w:color="BFBFBF"/>
                  </w:tcBorders>
                </w:tcPr>
                <w:p w14:paraId="70DDAEF1" w14:textId="77777777" w:rsidR="00437799" w:rsidRPr="00190CED" w:rsidRDefault="00437799" w:rsidP="00437799">
                  <w:pPr>
                    <w:pStyle w:val="TableUnitsRow"/>
                    <w:jc w:val="left"/>
                  </w:pPr>
                  <w:r>
                    <w:t>Worksheet name</w:t>
                  </w:r>
                </w:p>
              </w:tc>
              <w:tc>
                <w:tcPr>
                  <w:tcW w:w="2316" w:type="pct"/>
                  <w:tcBorders>
                    <w:top w:val="single" w:sz="6" w:space="0" w:color="BFBFBF"/>
                    <w:bottom w:val="single" w:sz="6" w:space="0" w:color="BFBFBF"/>
                  </w:tcBorders>
                </w:tcPr>
                <w:p w14:paraId="70DDAEF2" w14:textId="77777777" w:rsidR="00437799" w:rsidRPr="00190CED" w:rsidRDefault="00437799" w:rsidP="00437799">
                  <w:pPr>
                    <w:pStyle w:val="TableUnitsRow"/>
                    <w:jc w:val="left"/>
                  </w:pPr>
                  <w:r w:rsidRPr="00190CED">
                    <w:t>Summary description</w:t>
                  </w:r>
                </w:p>
              </w:tc>
            </w:tr>
            <w:tr w:rsidR="00437799" w14:paraId="70DDAEF7" w14:textId="77777777" w:rsidTr="00437799">
              <w:tc>
                <w:tcPr>
                  <w:tcW w:w="1574" w:type="pct"/>
                  <w:tcBorders>
                    <w:top w:val="single" w:sz="6" w:space="0" w:color="BFBFBF"/>
                  </w:tcBorders>
                </w:tcPr>
                <w:p w14:paraId="70DDAEF4" w14:textId="77777777" w:rsidR="00437799" w:rsidRPr="00255B08" w:rsidRDefault="00437799" w:rsidP="0033667E">
                  <w:pPr>
                    <w:pStyle w:val="TableUnitsRow"/>
                    <w:jc w:val="left"/>
                    <w:rPr>
                      <w:rFonts w:ascii="Calibri" w:eastAsiaTheme="minorHAnsi" w:hAnsi="Calibri"/>
                      <w:b/>
                      <w:sz w:val="22"/>
                      <w:szCs w:val="22"/>
                      <w:lang w:eastAsia="en-US"/>
                    </w:rPr>
                  </w:pPr>
                  <w:r w:rsidRPr="00255B08">
                    <w:rPr>
                      <w:b/>
                    </w:rPr>
                    <w:t xml:space="preserve">Budgetary </w:t>
                  </w:r>
                  <w:r w:rsidR="0033667E">
                    <w:rPr>
                      <w:b/>
                    </w:rPr>
                    <w:t>a</w:t>
                  </w:r>
                  <w:r w:rsidRPr="00255B08">
                    <w:rPr>
                      <w:b/>
                    </w:rPr>
                    <w:t>ssistance</w:t>
                  </w:r>
                </w:p>
              </w:tc>
              <w:tc>
                <w:tcPr>
                  <w:tcW w:w="1110" w:type="pct"/>
                  <w:tcBorders>
                    <w:top w:val="single" w:sz="6" w:space="0" w:color="BFBFBF"/>
                  </w:tcBorders>
                </w:tcPr>
                <w:p w14:paraId="70DDAEF5" w14:textId="77777777" w:rsidR="00437799" w:rsidRPr="00255B08" w:rsidRDefault="00437799" w:rsidP="00437799">
                  <w:pPr>
                    <w:pStyle w:val="TableBodyText"/>
                    <w:jc w:val="left"/>
                    <w:rPr>
                      <w:rFonts w:ascii="Calibri" w:eastAsiaTheme="minorHAnsi" w:hAnsi="Calibri"/>
                      <w:b/>
                      <w:sz w:val="22"/>
                      <w:szCs w:val="22"/>
                      <w:lang w:eastAsia="en-US"/>
                    </w:rPr>
                  </w:pPr>
                </w:p>
              </w:tc>
              <w:tc>
                <w:tcPr>
                  <w:tcW w:w="2316" w:type="pct"/>
                  <w:tcBorders>
                    <w:top w:val="single" w:sz="6" w:space="0" w:color="BFBFBF"/>
                  </w:tcBorders>
                </w:tcPr>
                <w:p w14:paraId="70DDAEF6" w14:textId="77777777" w:rsidR="00437799" w:rsidRDefault="00437799" w:rsidP="00437799">
                  <w:pPr>
                    <w:rPr>
                      <w:rFonts w:ascii="Calibri" w:eastAsiaTheme="minorHAnsi" w:hAnsi="Calibri"/>
                      <w:color w:val="1F497D"/>
                      <w:sz w:val="22"/>
                      <w:szCs w:val="22"/>
                      <w:lang w:eastAsia="en-US"/>
                    </w:rPr>
                  </w:pPr>
                </w:p>
              </w:tc>
            </w:tr>
            <w:tr w:rsidR="00437799" w14:paraId="70DDAEFF" w14:textId="77777777" w:rsidTr="00437799">
              <w:tc>
                <w:tcPr>
                  <w:tcW w:w="1574" w:type="pct"/>
                </w:tcPr>
                <w:p w14:paraId="70DDAEF8" w14:textId="77777777" w:rsidR="00437799" w:rsidRPr="00CB6DC2" w:rsidRDefault="00437799" w:rsidP="00437799">
                  <w:pPr>
                    <w:pStyle w:val="TableBodyText"/>
                    <w:jc w:val="left"/>
                    <w:rPr>
                      <w:rFonts w:eastAsiaTheme="minorHAnsi"/>
                    </w:rPr>
                  </w:pPr>
                  <w:r w:rsidRPr="00CB6DC2">
                    <w:t>T-1314 - BA Work Book_Current.xlsx</w:t>
                  </w:r>
                </w:p>
              </w:tc>
              <w:tc>
                <w:tcPr>
                  <w:tcW w:w="1110" w:type="pct"/>
                </w:tcPr>
                <w:p w14:paraId="70DDAEF9" w14:textId="77777777" w:rsidR="00437799" w:rsidRPr="00CB6DC2" w:rsidRDefault="00437799" w:rsidP="00437799">
                  <w:pPr>
                    <w:pStyle w:val="TableBodyText"/>
                    <w:jc w:val="left"/>
                  </w:pPr>
                  <w:r w:rsidRPr="00CB6DC2">
                    <w:t>Total_T 1314</w:t>
                  </w:r>
                  <w:r>
                    <w:t>,</w:t>
                  </w:r>
                </w:p>
                <w:p w14:paraId="70DDAEFA" w14:textId="77777777" w:rsidR="00437799" w:rsidRPr="00CB6DC2" w:rsidRDefault="00437799" w:rsidP="00437799">
                  <w:pPr>
                    <w:pStyle w:val="TableBodyText"/>
                    <w:jc w:val="left"/>
                  </w:pPr>
                  <w:r w:rsidRPr="00CB6DC2">
                    <w:t>1314</w:t>
                  </w:r>
                </w:p>
              </w:tc>
              <w:tc>
                <w:tcPr>
                  <w:tcW w:w="2316" w:type="pct"/>
                </w:tcPr>
                <w:p w14:paraId="70DDAEFB" w14:textId="77777777" w:rsidR="00437799" w:rsidRDefault="00437799" w:rsidP="00437799">
                  <w:pPr>
                    <w:pStyle w:val="TableNumber"/>
                  </w:pPr>
                  <w:r>
                    <w:t>Budgetary assistance estimates are collated from the Tax Expenditure Statement and relevant departmental annual reports.</w:t>
                  </w:r>
                </w:p>
                <w:p w14:paraId="70DDAEFC" w14:textId="77777777" w:rsidR="00437799" w:rsidRDefault="00437799" w:rsidP="00437799">
                  <w:pPr>
                    <w:pStyle w:val="TableNumber"/>
                  </w:pPr>
                  <w:r>
                    <w:t>Assistance estimates are then categorised according to the type of activity they support and whether they support input, output or value-added activities.</w:t>
                  </w:r>
                </w:p>
                <w:p w14:paraId="70DDAEFD" w14:textId="77777777" w:rsidR="00437799" w:rsidRDefault="00437799" w:rsidP="00437799">
                  <w:pPr>
                    <w:pStyle w:val="TableNumber"/>
                  </w:pPr>
                  <w:r>
                    <w:t>Assistance estimates are allocated across industries using information from departments.</w:t>
                  </w:r>
                </w:p>
                <w:p w14:paraId="70DDAEFE" w14:textId="77777777" w:rsidR="00437799" w:rsidRDefault="00437799" w:rsidP="00437799">
                  <w:pPr>
                    <w:pStyle w:val="TableNumber"/>
                  </w:pPr>
                  <w:r>
                    <w:t>Assistance by program is aggregated into 46 ANZSIC industries (and 4 ‘unallocated’ categories).</w:t>
                  </w:r>
                </w:p>
              </w:tc>
            </w:tr>
            <w:tr w:rsidR="00437799" w14:paraId="70DDAF03" w14:textId="77777777" w:rsidTr="00437799">
              <w:tc>
                <w:tcPr>
                  <w:tcW w:w="1574" w:type="pct"/>
                  <w:shd w:val="clear" w:color="auto" w:fill="auto"/>
                </w:tcPr>
                <w:p w14:paraId="70DDAF00" w14:textId="77777777" w:rsidR="00437799" w:rsidRPr="00255B08" w:rsidRDefault="00437799" w:rsidP="00437799">
                  <w:pPr>
                    <w:pStyle w:val="TableUnitsRow"/>
                    <w:jc w:val="left"/>
                    <w:rPr>
                      <w:b/>
                    </w:rPr>
                  </w:pPr>
                </w:p>
              </w:tc>
              <w:tc>
                <w:tcPr>
                  <w:tcW w:w="1110" w:type="pct"/>
                </w:tcPr>
                <w:p w14:paraId="70DDAF01" w14:textId="77777777" w:rsidR="00437799" w:rsidRDefault="00437799" w:rsidP="00437799">
                  <w:pPr>
                    <w:pStyle w:val="TableBodyText"/>
                    <w:ind w:right="28"/>
                    <w:jc w:val="left"/>
                  </w:pPr>
                </w:p>
              </w:tc>
              <w:tc>
                <w:tcPr>
                  <w:tcW w:w="2316" w:type="pct"/>
                </w:tcPr>
                <w:p w14:paraId="70DDAF02" w14:textId="77777777" w:rsidR="00437799" w:rsidRDefault="00437799" w:rsidP="00437799">
                  <w:pPr>
                    <w:pStyle w:val="TableBodyText"/>
                    <w:ind w:right="28"/>
                  </w:pPr>
                </w:p>
              </w:tc>
            </w:tr>
            <w:tr w:rsidR="00437799" w14:paraId="70DDAF07" w14:textId="77777777" w:rsidTr="00437799">
              <w:tc>
                <w:tcPr>
                  <w:tcW w:w="1574" w:type="pct"/>
                  <w:shd w:val="clear" w:color="auto" w:fill="auto"/>
                </w:tcPr>
                <w:p w14:paraId="70DDAF04" w14:textId="77777777" w:rsidR="00437799" w:rsidRPr="00255B08" w:rsidRDefault="00437799" w:rsidP="0033667E">
                  <w:pPr>
                    <w:pStyle w:val="TableUnitsRow"/>
                    <w:jc w:val="left"/>
                    <w:rPr>
                      <w:rFonts w:ascii="Calibri" w:eastAsiaTheme="minorHAnsi" w:hAnsi="Calibri"/>
                      <w:b/>
                      <w:bCs/>
                      <w:color w:val="1F497D"/>
                      <w:sz w:val="22"/>
                      <w:szCs w:val="22"/>
                      <w:lang w:eastAsia="en-US"/>
                    </w:rPr>
                  </w:pPr>
                  <w:r w:rsidRPr="00255B08">
                    <w:rPr>
                      <w:b/>
                    </w:rPr>
                    <w:t xml:space="preserve">Tariff </w:t>
                  </w:r>
                  <w:r w:rsidR="0033667E">
                    <w:rPr>
                      <w:b/>
                    </w:rPr>
                    <w:t>a</w:t>
                  </w:r>
                  <w:r w:rsidRPr="00255B08">
                    <w:rPr>
                      <w:b/>
                    </w:rPr>
                    <w:t>ssistance</w:t>
                  </w:r>
                </w:p>
              </w:tc>
              <w:tc>
                <w:tcPr>
                  <w:tcW w:w="1110" w:type="pct"/>
                </w:tcPr>
                <w:p w14:paraId="70DDAF05" w14:textId="77777777" w:rsidR="00437799" w:rsidRDefault="00437799" w:rsidP="00437799">
                  <w:pPr>
                    <w:pStyle w:val="TableBodyText"/>
                    <w:ind w:right="28"/>
                    <w:jc w:val="left"/>
                  </w:pPr>
                </w:p>
              </w:tc>
              <w:tc>
                <w:tcPr>
                  <w:tcW w:w="2316" w:type="pct"/>
                </w:tcPr>
                <w:p w14:paraId="70DDAF06" w14:textId="77777777" w:rsidR="00437799" w:rsidRDefault="00437799" w:rsidP="00437799">
                  <w:pPr>
                    <w:pStyle w:val="TableBodyText"/>
                    <w:ind w:right="28"/>
                  </w:pPr>
                </w:p>
              </w:tc>
            </w:tr>
            <w:tr w:rsidR="00437799" w14:paraId="70DDAF0C" w14:textId="77777777" w:rsidTr="00437799">
              <w:tc>
                <w:tcPr>
                  <w:tcW w:w="1574" w:type="pct"/>
                  <w:shd w:val="clear" w:color="auto" w:fill="auto"/>
                </w:tcPr>
                <w:p w14:paraId="70DDAF08" w14:textId="77777777" w:rsidR="00437799" w:rsidRDefault="00437799" w:rsidP="00437799">
                  <w:pPr>
                    <w:pStyle w:val="TableUnitsRow"/>
                    <w:jc w:val="left"/>
                  </w:pPr>
                  <w:r>
                    <w:t xml:space="preserve">Industry </w:t>
                  </w:r>
                  <w:r w:rsidRPr="00190CED">
                    <w:t>Summary 08-09_Used in TAR.xlsx</w:t>
                  </w:r>
                </w:p>
              </w:tc>
              <w:tc>
                <w:tcPr>
                  <w:tcW w:w="1110" w:type="pct"/>
                </w:tcPr>
                <w:p w14:paraId="70DDAF09" w14:textId="77777777" w:rsidR="00437799" w:rsidRPr="002D6613" w:rsidRDefault="00437799" w:rsidP="00437799">
                  <w:pPr>
                    <w:pStyle w:val="TableUnitsRow"/>
                    <w:jc w:val="left"/>
                  </w:pPr>
                  <w:r w:rsidRPr="002D6613">
                    <w:t>Adj IndustrySummary 10</w:t>
                  </w:r>
                </w:p>
              </w:tc>
              <w:tc>
                <w:tcPr>
                  <w:tcW w:w="2316" w:type="pct"/>
                </w:tcPr>
                <w:p w14:paraId="70DDAF0A" w14:textId="77777777" w:rsidR="00437799" w:rsidRDefault="00437799" w:rsidP="00437799">
                  <w:pPr>
                    <w:pStyle w:val="TableUnitsRow"/>
                    <w:jc w:val="left"/>
                  </w:pPr>
                  <w:r>
                    <w:t>Tariff assistance estimates for 2013-14 at 2008</w:t>
                  </w:r>
                  <w:r>
                    <w:noBreakHyphen/>
                    <w:t>09 prices, for 112 IOIG industries.</w:t>
                  </w:r>
                </w:p>
                <w:p w14:paraId="70DDAF0B" w14:textId="77777777" w:rsidR="00437799" w:rsidRDefault="00437799" w:rsidP="00437799">
                  <w:pPr>
                    <w:pStyle w:val="TableUnitsRow"/>
                    <w:jc w:val="left"/>
                  </w:pPr>
                  <w:r>
                    <w:t>D</w:t>
                  </w:r>
                  <w:r w:rsidRPr="003F5F09">
                    <w:t xml:space="preserve">erived by the ABS running </w:t>
                  </w:r>
                  <w:r>
                    <w:t>TAM</w:t>
                  </w:r>
                </w:p>
              </w:tc>
            </w:tr>
            <w:tr w:rsidR="00437799" w:rsidRPr="002D6613" w14:paraId="70DDAF10" w14:textId="77777777" w:rsidTr="00437799">
              <w:tc>
                <w:tcPr>
                  <w:tcW w:w="1574" w:type="pct"/>
                  <w:shd w:val="clear" w:color="auto" w:fill="auto"/>
                </w:tcPr>
                <w:p w14:paraId="70DDAF0D" w14:textId="77777777" w:rsidR="00437799" w:rsidRPr="00190CED" w:rsidRDefault="00437799" w:rsidP="00437799">
                  <w:pPr>
                    <w:pStyle w:val="TableUnitsRow"/>
                    <w:jc w:val="left"/>
                  </w:pPr>
                  <w:r w:rsidRPr="00190CED">
                    <w:t>T-1314 - Concordance - IOIG to PC-ANZSIC_IO200809.xlsm</w:t>
                  </w:r>
                </w:p>
              </w:tc>
              <w:tc>
                <w:tcPr>
                  <w:tcW w:w="1110" w:type="pct"/>
                </w:tcPr>
                <w:p w14:paraId="70DDAF0E" w14:textId="77777777" w:rsidR="00437799" w:rsidRPr="008C3585" w:rsidRDefault="00437799" w:rsidP="00437799">
                  <w:pPr>
                    <w:pStyle w:val="TableUnitsRow"/>
                    <w:jc w:val="left"/>
                  </w:pPr>
                  <w:r w:rsidRPr="008C3585">
                    <w:t>ABS - 0809 IO &amp; MW - IO Adj</w:t>
                  </w:r>
                </w:p>
              </w:tc>
              <w:tc>
                <w:tcPr>
                  <w:tcW w:w="2316" w:type="pct"/>
                </w:tcPr>
                <w:p w14:paraId="70DDAF0F" w14:textId="77777777" w:rsidR="00437799" w:rsidRPr="002D6613" w:rsidRDefault="00437799" w:rsidP="00437799">
                  <w:pPr>
                    <w:pStyle w:val="TableUnitsRow"/>
                    <w:jc w:val="left"/>
                  </w:pPr>
                  <w:r>
                    <w:t>Tariff assistance estimates aggregated into 46 ANZSIC based industries.</w:t>
                  </w:r>
                </w:p>
              </w:tc>
            </w:tr>
            <w:tr w:rsidR="00437799" w14:paraId="70DDAF14" w14:textId="77777777" w:rsidTr="00437799">
              <w:tc>
                <w:tcPr>
                  <w:tcW w:w="1574" w:type="pct"/>
                  <w:shd w:val="clear" w:color="auto" w:fill="auto"/>
                </w:tcPr>
                <w:p w14:paraId="70DDAF11" w14:textId="77777777" w:rsidR="00437799" w:rsidRPr="00255B08" w:rsidRDefault="00437799" w:rsidP="00437799">
                  <w:pPr>
                    <w:pStyle w:val="TableUnitsRow"/>
                    <w:jc w:val="left"/>
                    <w:rPr>
                      <w:b/>
                    </w:rPr>
                  </w:pPr>
                </w:p>
              </w:tc>
              <w:tc>
                <w:tcPr>
                  <w:tcW w:w="1110" w:type="pct"/>
                </w:tcPr>
                <w:p w14:paraId="70DDAF12" w14:textId="77777777" w:rsidR="00437799" w:rsidRDefault="00437799" w:rsidP="00437799">
                  <w:pPr>
                    <w:pStyle w:val="TableBodyText"/>
                    <w:ind w:right="28"/>
                    <w:jc w:val="left"/>
                  </w:pPr>
                </w:p>
              </w:tc>
              <w:tc>
                <w:tcPr>
                  <w:tcW w:w="2316" w:type="pct"/>
                </w:tcPr>
                <w:p w14:paraId="70DDAF13" w14:textId="77777777" w:rsidR="00437799" w:rsidRDefault="00437799" w:rsidP="00437799">
                  <w:pPr>
                    <w:pStyle w:val="TableBodyText"/>
                    <w:ind w:right="28"/>
                  </w:pPr>
                </w:p>
              </w:tc>
            </w:tr>
            <w:tr w:rsidR="00437799" w14:paraId="70DDAF18" w14:textId="77777777" w:rsidTr="00437799">
              <w:tc>
                <w:tcPr>
                  <w:tcW w:w="1574" w:type="pct"/>
                  <w:shd w:val="clear" w:color="auto" w:fill="auto"/>
                </w:tcPr>
                <w:p w14:paraId="70DDAF15" w14:textId="77777777" w:rsidR="00437799" w:rsidRDefault="00437799" w:rsidP="00437799">
                  <w:pPr>
                    <w:pStyle w:val="TableUnitsRow"/>
                    <w:jc w:val="left"/>
                  </w:pPr>
                  <w:r w:rsidRPr="00255B08">
                    <w:rPr>
                      <w:b/>
                    </w:rPr>
                    <w:t>Unassisted value added</w:t>
                  </w:r>
                </w:p>
              </w:tc>
              <w:tc>
                <w:tcPr>
                  <w:tcW w:w="1110" w:type="pct"/>
                </w:tcPr>
                <w:p w14:paraId="70DDAF16" w14:textId="77777777" w:rsidR="00437799" w:rsidRDefault="00437799" w:rsidP="00437799">
                  <w:pPr>
                    <w:pStyle w:val="TableBodyText"/>
                    <w:ind w:right="28"/>
                    <w:jc w:val="left"/>
                  </w:pPr>
                </w:p>
              </w:tc>
              <w:tc>
                <w:tcPr>
                  <w:tcW w:w="2316" w:type="pct"/>
                </w:tcPr>
                <w:p w14:paraId="70DDAF17" w14:textId="77777777" w:rsidR="00437799" w:rsidRDefault="00437799" w:rsidP="00437799">
                  <w:pPr>
                    <w:pStyle w:val="TableBodyText"/>
                    <w:ind w:right="28"/>
                  </w:pPr>
                </w:p>
              </w:tc>
            </w:tr>
            <w:tr w:rsidR="00437799" w14:paraId="70DDAF1C" w14:textId="77777777" w:rsidTr="00437799">
              <w:tc>
                <w:tcPr>
                  <w:tcW w:w="1574" w:type="pct"/>
                  <w:shd w:val="clear" w:color="auto" w:fill="auto"/>
                </w:tcPr>
                <w:p w14:paraId="70DDAF19" w14:textId="77777777" w:rsidR="00437799" w:rsidRPr="00CB6DC2" w:rsidRDefault="00E70B43" w:rsidP="00437799">
                  <w:pPr>
                    <w:pStyle w:val="TableBodyText"/>
                    <w:jc w:val="left"/>
                  </w:pPr>
                  <w:r w:rsidRPr="00CB6DC2">
                    <w:t>T-1314 -</w:t>
                  </w:r>
                  <w:r>
                    <w:t xml:space="preserve"> </w:t>
                  </w:r>
                  <w:r w:rsidR="00437799" w:rsidRPr="00CB6DC2">
                    <w:t>ABS - Adjustments to 2008-09 IO tables - 112 version.xlsx</w:t>
                  </w:r>
                </w:p>
              </w:tc>
              <w:tc>
                <w:tcPr>
                  <w:tcW w:w="1110" w:type="pct"/>
                </w:tcPr>
                <w:p w14:paraId="70DDAF1A" w14:textId="77777777" w:rsidR="00437799" w:rsidRPr="00CB6DC2" w:rsidRDefault="00437799" w:rsidP="00437799">
                  <w:pPr>
                    <w:pStyle w:val="TableBodyText"/>
                    <w:jc w:val="left"/>
                  </w:pPr>
                  <w:r w:rsidRPr="00CB6DC2">
                    <w:t>ABS Adj - Value Added - B&amp;C</w:t>
                  </w:r>
                </w:p>
              </w:tc>
              <w:tc>
                <w:tcPr>
                  <w:tcW w:w="2316" w:type="pct"/>
                </w:tcPr>
                <w:p w14:paraId="70DDAF1B" w14:textId="77777777" w:rsidR="00437799" w:rsidRPr="00CB6DC2" w:rsidRDefault="00437799" w:rsidP="00437799">
                  <w:pPr>
                    <w:pStyle w:val="TableBodyText"/>
                    <w:jc w:val="left"/>
                  </w:pPr>
                  <w:r w:rsidRPr="00CB6DC2">
                    <w:t xml:space="preserve">AVO, AVM and AVA for 2008-09, after adjusting for </w:t>
                  </w:r>
                  <w:r>
                    <w:t>‘non-traded, non-material’</w:t>
                  </w:r>
                  <w:r w:rsidRPr="00CB6DC2">
                    <w:t xml:space="preserve"> inputs for 112 IOIG industries</w:t>
                  </w:r>
                  <w:r>
                    <w:t>.</w:t>
                  </w:r>
                </w:p>
              </w:tc>
            </w:tr>
            <w:tr w:rsidR="00437799" w14:paraId="70DDAF20" w14:textId="77777777" w:rsidTr="00437799">
              <w:tc>
                <w:tcPr>
                  <w:tcW w:w="1574" w:type="pct"/>
                  <w:shd w:val="clear" w:color="auto" w:fill="auto"/>
                </w:tcPr>
                <w:p w14:paraId="70DDAF1D" w14:textId="77777777" w:rsidR="00437799" w:rsidRPr="00CB6DC2" w:rsidRDefault="00437799" w:rsidP="00437799">
                  <w:pPr>
                    <w:pStyle w:val="TableBodyText"/>
                    <w:jc w:val="left"/>
                  </w:pPr>
                  <w:r w:rsidRPr="00CB6DC2">
                    <w:t>T-1314 - Concordance - IOIG to PC-ANZSIC_IO200809.xlsm</w:t>
                  </w:r>
                </w:p>
              </w:tc>
              <w:tc>
                <w:tcPr>
                  <w:tcW w:w="1110" w:type="pct"/>
                </w:tcPr>
                <w:p w14:paraId="70DDAF1E" w14:textId="77777777" w:rsidR="00437799" w:rsidRPr="00CB6DC2" w:rsidRDefault="00437799" w:rsidP="00437799">
                  <w:pPr>
                    <w:pStyle w:val="TableBodyText"/>
                    <w:jc w:val="left"/>
                  </w:pPr>
                  <w:r w:rsidRPr="00CB6DC2">
                    <w:t>PC_Class_0809</w:t>
                  </w:r>
                </w:p>
              </w:tc>
              <w:tc>
                <w:tcPr>
                  <w:tcW w:w="2316" w:type="pct"/>
                </w:tcPr>
                <w:p w14:paraId="70DDAF1F" w14:textId="77777777" w:rsidR="00437799" w:rsidRPr="00CB6DC2" w:rsidRDefault="00437799" w:rsidP="00437799">
                  <w:pPr>
                    <w:pStyle w:val="TableBodyText"/>
                    <w:jc w:val="left"/>
                  </w:pPr>
                  <w:r w:rsidRPr="00CB6DC2">
                    <w:t xml:space="preserve">AVO, AVM and AVA for 2008-09, </w:t>
                  </w:r>
                  <w:r>
                    <w:t>aggregated into 46 ANZSIC-</w:t>
                  </w:r>
                  <w:r w:rsidRPr="00CB6DC2">
                    <w:t>based industries.</w:t>
                  </w:r>
                </w:p>
              </w:tc>
            </w:tr>
            <w:tr w:rsidR="00437799" w14:paraId="70DDAF24" w14:textId="77777777" w:rsidTr="00437799">
              <w:trPr>
                <w:trHeight w:val="830"/>
              </w:trPr>
              <w:tc>
                <w:tcPr>
                  <w:tcW w:w="1574" w:type="pct"/>
                  <w:shd w:val="clear" w:color="auto" w:fill="auto"/>
                </w:tcPr>
                <w:p w14:paraId="70DDAF21" w14:textId="77777777" w:rsidR="00437799" w:rsidRPr="00CB6DC2" w:rsidRDefault="00437799" w:rsidP="00437799">
                  <w:pPr>
                    <w:pStyle w:val="TableBodyText"/>
                    <w:jc w:val="left"/>
                  </w:pPr>
                  <w:r w:rsidRPr="00CB6DC2">
                    <w:t>T-1314 (0809) - CombinedAssistance - ERA - ABS tariff estimates (Current).xlsx</w:t>
                  </w:r>
                </w:p>
              </w:tc>
              <w:tc>
                <w:tcPr>
                  <w:tcW w:w="1110" w:type="pct"/>
                </w:tcPr>
                <w:p w14:paraId="70DDAF22" w14:textId="77777777" w:rsidR="00437799" w:rsidRPr="00CB6DC2" w:rsidRDefault="00437799" w:rsidP="00437799">
                  <w:pPr>
                    <w:pStyle w:val="TableBodyText"/>
                    <w:jc w:val="left"/>
                  </w:pPr>
                  <w:r w:rsidRPr="00CB6DC2">
                    <w:t>0809</w:t>
                  </w:r>
                </w:p>
              </w:tc>
              <w:tc>
                <w:tcPr>
                  <w:tcW w:w="2316" w:type="pct"/>
                </w:tcPr>
                <w:p w14:paraId="70DDAF23" w14:textId="77777777" w:rsidR="00437799" w:rsidRPr="00CB6DC2" w:rsidRDefault="00437799" w:rsidP="00437799">
                  <w:pPr>
                    <w:pStyle w:val="TableBodyText"/>
                    <w:jc w:val="left"/>
                  </w:pPr>
                  <w:r w:rsidRPr="00CB6DC2">
                    <w:t>UVO, UVM and UVA derived for 2008-09 for</w:t>
                  </w:r>
                  <w:r>
                    <w:t xml:space="preserve"> 46 ANZSIC-</w:t>
                  </w:r>
                  <w:r w:rsidRPr="00CB6DC2">
                    <w:t>based industries.</w:t>
                  </w:r>
                </w:p>
              </w:tc>
            </w:tr>
            <w:tr w:rsidR="00EE323B" w14:paraId="619C085C" w14:textId="77777777" w:rsidTr="00EE323B">
              <w:trPr>
                <w:trHeight w:val="363"/>
              </w:trPr>
              <w:tc>
                <w:tcPr>
                  <w:tcW w:w="1574" w:type="pct"/>
                  <w:shd w:val="clear" w:color="auto" w:fill="auto"/>
                </w:tcPr>
                <w:p w14:paraId="3C0AD8B4" w14:textId="77777777" w:rsidR="00EE323B" w:rsidRPr="00CB6DC2" w:rsidRDefault="00EE323B" w:rsidP="00437799">
                  <w:pPr>
                    <w:pStyle w:val="TableBodyText"/>
                    <w:jc w:val="left"/>
                  </w:pPr>
                </w:p>
              </w:tc>
              <w:tc>
                <w:tcPr>
                  <w:tcW w:w="1110" w:type="pct"/>
                </w:tcPr>
                <w:p w14:paraId="07285859" w14:textId="77777777" w:rsidR="00EE323B" w:rsidRPr="00CB6DC2" w:rsidRDefault="00EE323B" w:rsidP="00437799">
                  <w:pPr>
                    <w:pStyle w:val="TableBodyText"/>
                    <w:jc w:val="left"/>
                  </w:pPr>
                </w:p>
              </w:tc>
              <w:tc>
                <w:tcPr>
                  <w:tcW w:w="2316" w:type="pct"/>
                </w:tcPr>
                <w:p w14:paraId="31D2087A" w14:textId="6FEDE9F8" w:rsidR="00EE323B" w:rsidRPr="00CB6DC2" w:rsidRDefault="00EE323B" w:rsidP="00EE323B">
                  <w:pPr>
                    <w:pStyle w:val="Continued"/>
                  </w:pPr>
                  <w:r>
                    <w:t>(continued next page)</w:t>
                  </w:r>
                </w:p>
              </w:tc>
            </w:tr>
          </w:tbl>
          <w:p w14:paraId="70DDAF25" w14:textId="77777777" w:rsidR="00437799" w:rsidRDefault="00437799" w:rsidP="00437799">
            <w:pPr>
              <w:pStyle w:val="Box"/>
            </w:pPr>
          </w:p>
        </w:tc>
      </w:tr>
      <w:tr w:rsidR="00437799" w14:paraId="70DDAF28" w14:textId="77777777" w:rsidTr="00D450C5">
        <w:tc>
          <w:tcPr>
            <w:tcW w:w="5000" w:type="pct"/>
            <w:tcBorders>
              <w:top w:val="nil"/>
              <w:left w:val="nil"/>
              <w:bottom w:val="single" w:sz="6" w:space="0" w:color="78A22F"/>
              <w:right w:val="nil"/>
            </w:tcBorders>
            <w:shd w:val="clear" w:color="auto" w:fill="auto"/>
          </w:tcPr>
          <w:p w14:paraId="70DDAF27" w14:textId="77777777" w:rsidR="00437799" w:rsidRDefault="00437799" w:rsidP="00437799">
            <w:pPr>
              <w:pStyle w:val="Box"/>
              <w:spacing w:before="0" w:line="120" w:lineRule="exact"/>
            </w:pPr>
          </w:p>
        </w:tc>
      </w:tr>
      <w:tr w:rsidR="00437799" w:rsidRPr="000863A5" w14:paraId="70DDAF2A" w14:textId="77777777" w:rsidTr="00D450C5">
        <w:tc>
          <w:tcPr>
            <w:tcW w:w="5000" w:type="pct"/>
            <w:tcBorders>
              <w:top w:val="single" w:sz="6" w:space="0" w:color="78A22F"/>
              <w:left w:val="nil"/>
              <w:bottom w:val="nil"/>
              <w:right w:val="nil"/>
            </w:tcBorders>
          </w:tcPr>
          <w:p w14:paraId="70DDAF29" w14:textId="04F85321" w:rsidR="00437799" w:rsidRPr="00626D32" w:rsidRDefault="00437799" w:rsidP="00437799">
            <w:pPr>
              <w:pStyle w:val="BoxSpaceBelow"/>
            </w:pPr>
          </w:p>
        </w:tc>
      </w:tr>
    </w:tbl>
    <w:p w14:paraId="70DDAF2B" w14:textId="4599D575" w:rsidR="00437799" w:rsidRDefault="00437799" w:rsidP="0043779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37799" w14:paraId="70DDAF2D" w14:textId="77777777" w:rsidTr="00D450C5">
        <w:tc>
          <w:tcPr>
            <w:tcW w:w="5000" w:type="pct"/>
            <w:tcBorders>
              <w:top w:val="single" w:sz="6" w:space="0" w:color="78A22F"/>
              <w:left w:val="nil"/>
              <w:bottom w:val="nil"/>
              <w:right w:val="nil"/>
            </w:tcBorders>
            <w:shd w:val="clear" w:color="auto" w:fill="auto"/>
          </w:tcPr>
          <w:p w14:paraId="70DDAF2C" w14:textId="77777777" w:rsidR="00437799" w:rsidRPr="005256FF" w:rsidRDefault="00437799" w:rsidP="00437799">
            <w:pPr>
              <w:pStyle w:val="TableTitle"/>
              <w:rPr>
                <w:b w:val="0"/>
              </w:rPr>
            </w:pPr>
            <w:r w:rsidRPr="005256FF">
              <w:rPr>
                <w:b w:val="0"/>
              </w:rPr>
              <w:t>Table</w:t>
            </w:r>
            <w:r>
              <w:rPr>
                <w:b w:val="0"/>
              </w:rPr>
              <w:t xml:space="preserve"> B</w:t>
            </w:r>
            <w:r w:rsidRPr="005256FF">
              <w:rPr>
                <w:b w:val="0"/>
              </w:rPr>
              <w:t>.1</w:t>
            </w:r>
            <w:r w:rsidRPr="005256FF">
              <w:rPr>
                <w:b w:val="0"/>
              </w:rPr>
              <w:tab/>
            </w:r>
            <w:r w:rsidRPr="00EE323B">
              <w:rPr>
                <w:b w:val="0"/>
                <w:sz w:val="18"/>
                <w:szCs w:val="18"/>
              </w:rPr>
              <w:t>(continued)</w:t>
            </w:r>
          </w:p>
        </w:tc>
      </w:tr>
      <w:tr w:rsidR="00437799" w14:paraId="70DDAF60" w14:textId="77777777" w:rsidTr="00D450C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678"/>
              <w:gridCol w:w="1847"/>
              <w:gridCol w:w="3980"/>
            </w:tblGrid>
            <w:tr w:rsidR="00437799" w14:paraId="70DDAF31" w14:textId="77777777" w:rsidTr="00437799">
              <w:trPr>
                <w:tblHeader/>
              </w:trPr>
              <w:tc>
                <w:tcPr>
                  <w:tcW w:w="1574" w:type="pct"/>
                  <w:tcBorders>
                    <w:top w:val="single" w:sz="6" w:space="0" w:color="BFBFBF"/>
                    <w:bottom w:val="single" w:sz="6" w:space="0" w:color="BFBFBF"/>
                  </w:tcBorders>
                  <w:shd w:val="clear" w:color="auto" w:fill="auto"/>
                  <w:tcMar>
                    <w:top w:w="28" w:type="dxa"/>
                  </w:tcMar>
                </w:tcPr>
                <w:p w14:paraId="70DDAF2E" w14:textId="77777777" w:rsidR="00437799" w:rsidRPr="00E25F00" w:rsidRDefault="00437799" w:rsidP="00437799">
                  <w:pPr>
                    <w:pStyle w:val="TableUnitsRow"/>
                    <w:jc w:val="left"/>
                    <w:rPr>
                      <w:rFonts w:ascii="Calibri" w:eastAsiaTheme="minorHAnsi" w:hAnsi="Calibri"/>
                      <w:sz w:val="22"/>
                      <w:szCs w:val="22"/>
                      <w:lang w:eastAsia="en-US"/>
                    </w:rPr>
                  </w:pPr>
                  <w:r>
                    <w:t>Workbook name</w:t>
                  </w:r>
                </w:p>
              </w:tc>
              <w:tc>
                <w:tcPr>
                  <w:tcW w:w="1086" w:type="pct"/>
                  <w:tcBorders>
                    <w:top w:val="single" w:sz="6" w:space="0" w:color="BFBFBF"/>
                    <w:bottom w:val="single" w:sz="6" w:space="0" w:color="BFBFBF"/>
                  </w:tcBorders>
                </w:tcPr>
                <w:p w14:paraId="70DDAF2F" w14:textId="77777777" w:rsidR="00437799" w:rsidRPr="00190CED" w:rsidRDefault="00437799" w:rsidP="00437799">
                  <w:pPr>
                    <w:pStyle w:val="TableUnitsRow"/>
                    <w:jc w:val="left"/>
                  </w:pPr>
                  <w:r>
                    <w:t>Worksheet name</w:t>
                  </w:r>
                </w:p>
              </w:tc>
              <w:tc>
                <w:tcPr>
                  <w:tcW w:w="2340" w:type="pct"/>
                  <w:tcBorders>
                    <w:top w:val="single" w:sz="6" w:space="0" w:color="BFBFBF"/>
                    <w:bottom w:val="single" w:sz="6" w:space="0" w:color="BFBFBF"/>
                  </w:tcBorders>
                  <w:shd w:val="clear" w:color="auto" w:fill="auto"/>
                  <w:tcMar>
                    <w:top w:w="28" w:type="dxa"/>
                  </w:tcMar>
                </w:tcPr>
                <w:p w14:paraId="70DDAF30" w14:textId="77777777" w:rsidR="00437799" w:rsidRPr="00190CED" w:rsidRDefault="00437799" w:rsidP="00437799">
                  <w:pPr>
                    <w:pStyle w:val="TableUnitsRow"/>
                    <w:jc w:val="left"/>
                  </w:pPr>
                  <w:r w:rsidRPr="00190CED">
                    <w:t>Summary description</w:t>
                  </w:r>
                </w:p>
              </w:tc>
            </w:tr>
            <w:tr w:rsidR="00437799" w14:paraId="70DDAF35" w14:textId="77777777" w:rsidTr="00437799">
              <w:tc>
                <w:tcPr>
                  <w:tcW w:w="1574" w:type="pct"/>
                  <w:tcBorders>
                    <w:top w:val="single" w:sz="6" w:space="0" w:color="BFBFBF"/>
                  </w:tcBorders>
                </w:tcPr>
                <w:p w14:paraId="70DDAF32" w14:textId="77777777" w:rsidR="00437799" w:rsidRDefault="00437799" w:rsidP="00437799">
                  <w:pPr>
                    <w:pStyle w:val="TableUnitsRow"/>
                    <w:jc w:val="left"/>
                  </w:pPr>
                  <w:r w:rsidRPr="00255B08">
                    <w:rPr>
                      <w:b/>
                    </w:rPr>
                    <w:t>Adjustment factors</w:t>
                  </w:r>
                </w:p>
              </w:tc>
              <w:tc>
                <w:tcPr>
                  <w:tcW w:w="1086" w:type="pct"/>
                  <w:tcBorders>
                    <w:top w:val="single" w:sz="6" w:space="0" w:color="BFBFBF"/>
                  </w:tcBorders>
                </w:tcPr>
                <w:p w14:paraId="70DDAF33" w14:textId="77777777" w:rsidR="00437799" w:rsidRDefault="00437799" w:rsidP="00437799">
                  <w:pPr>
                    <w:pStyle w:val="TableUnitsRow"/>
                  </w:pPr>
                </w:p>
              </w:tc>
              <w:tc>
                <w:tcPr>
                  <w:tcW w:w="2340" w:type="pct"/>
                  <w:tcBorders>
                    <w:top w:val="single" w:sz="6" w:space="0" w:color="BFBFBF"/>
                  </w:tcBorders>
                </w:tcPr>
                <w:p w14:paraId="70DDAF34" w14:textId="77777777" w:rsidR="00437799" w:rsidRDefault="00437799" w:rsidP="00437799">
                  <w:pPr>
                    <w:pStyle w:val="TableUnitsRow"/>
                    <w:ind w:right="28"/>
                  </w:pPr>
                </w:p>
              </w:tc>
            </w:tr>
            <w:tr w:rsidR="00437799" w14:paraId="70DDAF39" w14:textId="77777777" w:rsidTr="00437799">
              <w:tc>
                <w:tcPr>
                  <w:tcW w:w="1574" w:type="pct"/>
                </w:tcPr>
                <w:p w14:paraId="70DDAF36" w14:textId="77777777" w:rsidR="00437799" w:rsidRPr="00332C67" w:rsidRDefault="00437799" w:rsidP="00437799">
                  <w:pPr>
                    <w:pStyle w:val="TableUnitsRow"/>
                    <w:jc w:val="left"/>
                  </w:pPr>
                  <w:r w:rsidRPr="00332C67">
                    <w:t>T-1314 - Adjustment Factor.xlsm</w:t>
                  </w:r>
                </w:p>
              </w:tc>
              <w:tc>
                <w:tcPr>
                  <w:tcW w:w="1086" w:type="pct"/>
                </w:tcPr>
                <w:p w14:paraId="70DDAF37" w14:textId="77777777" w:rsidR="00437799" w:rsidRPr="00287B0F" w:rsidRDefault="00437799" w:rsidP="00437799">
                  <w:pPr>
                    <w:pStyle w:val="TableUnitsRow"/>
                    <w:jc w:val="left"/>
                  </w:pPr>
                  <w:r w:rsidRPr="00287B0F">
                    <w:t>Adjustment Factor</w:t>
                  </w:r>
                </w:p>
              </w:tc>
              <w:tc>
                <w:tcPr>
                  <w:tcW w:w="2340" w:type="pct"/>
                </w:tcPr>
                <w:p w14:paraId="70DDAF38" w14:textId="77777777" w:rsidR="00437799" w:rsidRPr="003B28F3" w:rsidRDefault="00437799" w:rsidP="00437799">
                  <w:pPr>
                    <w:pStyle w:val="TableUnitsRow"/>
                    <w:jc w:val="left"/>
                  </w:pPr>
                  <w:r w:rsidRPr="003B28F3">
                    <w:t xml:space="preserve">The adjustment factors are applied to constant price (2008-09) values of </w:t>
                  </w:r>
                  <w:r>
                    <w:t>GSE, TEM, UVO and U</w:t>
                  </w:r>
                  <w:r w:rsidRPr="003B28F3">
                    <w:t>VM to update them to current year (2013-14) values.</w:t>
                  </w:r>
                </w:p>
              </w:tc>
            </w:tr>
            <w:tr w:rsidR="00437799" w14:paraId="70DDAF3C" w14:textId="77777777" w:rsidTr="00437799">
              <w:tc>
                <w:tcPr>
                  <w:tcW w:w="2660" w:type="pct"/>
                  <w:gridSpan w:val="2"/>
                  <w:shd w:val="clear" w:color="auto" w:fill="auto"/>
                </w:tcPr>
                <w:p w14:paraId="70DDAF3A" w14:textId="77777777" w:rsidR="00437799" w:rsidRDefault="00437799" w:rsidP="00437799">
                  <w:pPr>
                    <w:pStyle w:val="TableBodyText"/>
                    <w:jc w:val="left"/>
                  </w:pPr>
                  <w:r w:rsidRPr="00CB6DC2">
                    <w:rPr>
                      <w:i/>
                    </w:rPr>
                    <w:t>Input files for calculating adjustment factors</w:t>
                  </w:r>
                </w:p>
              </w:tc>
              <w:tc>
                <w:tcPr>
                  <w:tcW w:w="2340" w:type="pct"/>
                  <w:shd w:val="clear" w:color="auto" w:fill="auto"/>
                </w:tcPr>
                <w:p w14:paraId="70DDAF3B" w14:textId="77777777" w:rsidR="00437799" w:rsidRDefault="00437799" w:rsidP="00437799">
                  <w:pPr>
                    <w:pStyle w:val="TableBodyText"/>
                    <w:ind w:right="28"/>
                  </w:pPr>
                </w:p>
              </w:tc>
            </w:tr>
            <w:tr w:rsidR="00437799" w14:paraId="70DDAF40" w14:textId="77777777" w:rsidTr="00437799">
              <w:tc>
                <w:tcPr>
                  <w:tcW w:w="1574" w:type="pct"/>
                  <w:shd w:val="clear" w:color="auto" w:fill="auto"/>
                </w:tcPr>
                <w:p w14:paraId="70DDAF3D" w14:textId="77777777" w:rsidR="00437799" w:rsidRPr="003B2B33" w:rsidRDefault="00437799" w:rsidP="00437799">
                  <w:pPr>
                    <w:pStyle w:val="TableUnitsRow"/>
                    <w:jc w:val="left"/>
                  </w:pPr>
                  <w:r w:rsidRPr="003B2B33">
                    <w:t>T-1314 - Agricultural value of production.xlsx</w:t>
                  </w:r>
                </w:p>
              </w:tc>
              <w:tc>
                <w:tcPr>
                  <w:tcW w:w="1086" w:type="pct"/>
                </w:tcPr>
                <w:p w14:paraId="70DDAF3E" w14:textId="77777777" w:rsidR="00437799" w:rsidRPr="00287B0F" w:rsidRDefault="00437799" w:rsidP="00437799">
                  <w:pPr>
                    <w:pStyle w:val="TableUnitsRow"/>
                    <w:jc w:val="left"/>
                  </w:pPr>
                  <w:r w:rsidRPr="00287B0F">
                    <w:t>New Agricultural Estimates</w:t>
                  </w:r>
                </w:p>
              </w:tc>
              <w:tc>
                <w:tcPr>
                  <w:tcW w:w="2340" w:type="pct"/>
                  <w:shd w:val="clear" w:color="auto" w:fill="auto"/>
                </w:tcPr>
                <w:p w14:paraId="70DDAF3F" w14:textId="77777777" w:rsidR="00437799" w:rsidRPr="003B28F3" w:rsidRDefault="00437799" w:rsidP="00437799">
                  <w:pPr>
                    <w:pStyle w:val="TableUnitsRow"/>
                    <w:jc w:val="left"/>
                  </w:pPr>
                  <w:r w:rsidRPr="003B28F3">
                    <w:t>Reads ABS data of current year (2013</w:t>
                  </w:r>
                  <w:r w:rsidRPr="003B28F3">
                    <w:noBreakHyphen/>
                    <w:t xml:space="preserve">14) value of agricultural commodities. </w:t>
                  </w:r>
                </w:p>
              </w:tc>
            </w:tr>
            <w:tr w:rsidR="00437799" w14:paraId="70DDAF44" w14:textId="77777777" w:rsidTr="00437799">
              <w:tc>
                <w:tcPr>
                  <w:tcW w:w="1574" w:type="pct"/>
                  <w:shd w:val="clear" w:color="auto" w:fill="auto"/>
                </w:tcPr>
                <w:p w14:paraId="70DDAF41" w14:textId="77777777" w:rsidR="00437799" w:rsidRPr="003B2B33" w:rsidRDefault="00437799" w:rsidP="00437799">
                  <w:pPr>
                    <w:pStyle w:val="TableUnitsRow"/>
                    <w:jc w:val="left"/>
                  </w:pPr>
                  <w:r w:rsidRPr="003B2B33">
                    <w:t>Concordance - IOIG to PC-ANZSIC_IO200607 - As Published.xlsm</w:t>
                  </w:r>
                </w:p>
              </w:tc>
              <w:tc>
                <w:tcPr>
                  <w:tcW w:w="1086" w:type="pct"/>
                </w:tcPr>
                <w:p w14:paraId="70DDAF42" w14:textId="77777777" w:rsidR="00437799" w:rsidRPr="00287B0F" w:rsidRDefault="00437799" w:rsidP="00437799">
                  <w:pPr>
                    <w:pStyle w:val="TableUnitsRow"/>
                    <w:jc w:val="left"/>
                  </w:pPr>
                  <w:r w:rsidRPr="00287B0F">
                    <w:t>PC_Class_0607</w:t>
                  </w:r>
                </w:p>
              </w:tc>
              <w:tc>
                <w:tcPr>
                  <w:tcW w:w="2340" w:type="pct"/>
                  <w:shd w:val="clear" w:color="auto" w:fill="auto"/>
                </w:tcPr>
                <w:p w14:paraId="70DDAF43" w14:textId="77777777" w:rsidR="00437799" w:rsidRPr="003B28F3" w:rsidRDefault="00437799" w:rsidP="00437799">
                  <w:pPr>
                    <w:pStyle w:val="TableUnitsRow"/>
                    <w:jc w:val="left"/>
                  </w:pPr>
                  <w:r w:rsidRPr="003B28F3">
                    <w:t>Reads domestic production, intermediate usage and factor returns data of 9 agricultural industries from 2006</w:t>
                  </w:r>
                  <w:r w:rsidRPr="003B28F3">
                    <w:noBreakHyphen/>
                    <w:t>07 input</w:t>
                  </w:r>
                  <w:r w:rsidRPr="003B28F3">
                    <w:noBreakHyphen/>
                    <w:t xml:space="preserve">output table. </w:t>
                  </w:r>
                </w:p>
              </w:tc>
            </w:tr>
            <w:tr w:rsidR="00437799" w14:paraId="70DDAF48" w14:textId="77777777" w:rsidTr="00437799">
              <w:tc>
                <w:tcPr>
                  <w:tcW w:w="1574" w:type="pct"/>
                  <w:shd w:val="clear" w:color="auto" w:fill="auto"/>
                </w:tcPr>
                <w:p w14:paraId="70DDAF45" w14:textId="77777777" w:rsidR="00437799" w:rsidRPr="003B2B33" w:rsidRDefault="00437799" w:rsidP="00437799">
                  <w:pPr>
                    <w:pStyle w:val="TableUnitsRow"/>
                    <w:jc w:val="left"/>
                  </w:pPr>
                  <w:r w:rsidRPr="003B2B33">
                    <w:t>Concordance - IOIG to PC-ANZSIC_IO200708 - As Published.xlsm</w:t>
                  </w:r>
                </w:p>
              </w:tc>
              <w:tc>
                <w:tcPr>
                  <w:tcW w:w="1086" w:type="pct"/>
                </w:tcPr>
                <w:p w14:paraId="70DDAF46" w14:textId="77777777" w:rsidR="00437799" w:rsidRPr="00287B0F" w:rsidRDefault="00437799" w:rsidP="00437799">
                  <w:pPr>
                    <w:pStyle w:val="TableUnitsRow"/>
                    <w:jc w:val="left"/>
                  </w:pPr>
                  <w:r w:rsidRPr="00287B0F">
                    <w:t>PC_Class_0708</w:t>
                  </w:r>
                </w:p>
              </w:tc>
              <w:tc>
                <w:tcPr>
                  <w:tcW w:w="2340" w:type="pct"/>
                  <w:shd w:val="clear" w:color="auto" w:fill="auto"/>
                </w:tcPr>
                <w:p w14:paraId="70DDAF47" w14:textId="77777777" w:rsidR="00437799" w:rsidRPr="003B28F3" w:rsidRDefault="00437799" w:rsidP="00437799">
                  <w:pPr>
                    <w:pStyle w:val="TableUnitsRow"/>
                    <w:jc w:val="left"/>
                  </w:pPr>
                  <w:r w:rsidRPr="003B28F3">
                    <w:t xml:space="preserve">Reads </w:t>
                  </w:r>
                  <w:r>
                    <w:t xml:space="preserve">data as above </w:t>
                  </w:r>
                  <w:r w:rsidRPr="003B28F3">
                    <w:t>from 2007</w:t>
                  </w:r>
                  <w:r w:rsidRPr="003B28F3">
                    <w:noBreakHyphen/>
                    <w:t>08 input</w:t>
                  </w:r>
                  <w:r w:rsidRPr="003B28F3">
                    <w:noBreakHyphen/>
                    <w:t>output table.</w:t>
                  </w:r>
                </w:p>
              </w:tc>
            </w:tr>
            <w:tr w:rsidR="00437799" w14:paraId="70DDAF4C" w14:textId="77777777" w:rsidTr="00437799">
              <w:tc>
                <w:tcPr>
                  <w:tcW w:w="1574" w:type="pct"/>
                  <w:shd w:val="clear" w:color="auto" w:fill="auto"/>
                </w:tcPr>
                <w:p w14:paraId="70DDAF49" w14:textId="77777777" w:rsidR="00437799" w:rsidRPr="003B2B33" w:rsidRDefault="00437799" w:rsidP="00437799">
                  <w:pPr>
                    <w:pStyle w:val="TableUnitsRow"/>
                    <w:jc w:val="left"/>
                  </w:pPr>
                  <w:r w:rsidRPr="003B2B33">
                    <w:t>Concordance - IOIG to PC-ANZSIC_IO200809 - As Published.xlsm</w:t>
                  </w:r>
                </w:p>
              </w:tc>
              <w:tc>
                <w:tcPr>
                  <w:tcW w:w="1086" w:type="pct"/>
                </w:tcPr>
                <w:p w14:paraId="70DDAF4A" w14:textId="77777777" w:rsidR="00437799" w:rsidRPr="00287B0F" w:rsidRDefault="00437799" w:rsidP="00437799">
                  <w:pPr>
                    <w:pStyle w:val="TableUnitsRow"/>
                    <w:jc w:val="left"/>
                  </w:pPr>
                  <w:r w:rsidRPr="00287B0F">
                    <w:t>PC_Class_0809</w:t>
                  </w:r>
                </w:p>
              </w:tc>
              <w:tc>
                <w:tcPr>
                  <w:tcW w:w="2340" w:type="pct"/>
                  <w:shd w:val="clear" w:color="auto" w:fill="auto"/>
                </w:tcPr>
                <w:p w14:paraId="70DDAF4B" w14:textId="77777777" w:rsidR="00437799" w:rsidRPr="003B28F3" w:rsidRDefault="00437799" w:rsidP="00437799">
                  <w:pPr>
                    <w:pStyle w:val="TableUnitsRow"/>
                    <w:jc w:val="left"/>
                  </w:pPr>
                  <w:r w:rsidRPr="003B28F3">
                    <w:t xml:space="preserve">Reads </w:t>
                  </w:r>
                  <w:r>
                    <w:t xml:space="preserve">data as above </w:t>
                  </w:r>
                  <w:r w:rsidRPr="003B28F3">
                    <w:t>from 2008</w:t>
                  </w:r>
                  <w:r w:rsidRPr="003B28F3">
                    <w:noBreakHyphen/>
                    <w:t>09 input</w:t>
                  </w:r>
                  <w:r w:rsidRPr="003B28F3">
                    <w:noBreakHyphen/>
                    <w:t>output table.</w:t>
                  </w:r>
                </w:p>
              </w:tc>
            </w:tr>
            <w:tr w:rsidR="00437799" w14:paraId="70DDAF50" w14:textId="77777777" w:rsidTr="00437799">
              <w:tc>
                <w:tcPr>
                  <w:tcW w:w="1574" w:type="pct"/>
                  <w:shd w:val="clear" w:color="auto" w:fill="auto"/>
                </w:tcPr>
                <w:p w14:paraId="70DDAF4D" w14:textId="77777777" w:rsidR="00437799" w:rsidRPr="003B2B33" w:rsidRDefault="00437799" w:rsidP="00437799">
                  <w:pPr>
                    <w:pStyle w:val="TableUnitsRow"/>
                    <w:jc w:val="left"/>
                  </w:pPr>
                  <w:r w:rsidRPr="003B2B33">
                    <w:t>Concordance - IOIG to PC-ANZSIC_IO200910 - As Published.xlsm</w:t>
                  </w:r>
                </w:p>
              </w:tc>
              <w:tc>
                <w:tcPr>
                  <w:tcW w:w="1086" w:type="pct"/>
                </w:tcPr>
                <w:p w14:paraId="70DDAF4E" w14:textId="77777777" w:rsidR="00437799" w:rsidRPr="00287B0F" w:rsidRDefault="00437799" w:rsidP="00437799">
                  <w:pPr>
                    <w:pStyle w:val="TableUnitsRow"/>
                    <w:jc w:val="left"/>
                  </w:pPr>
                  <w:r w:rsidRPr="00287B0F">
                    <w:t>PC_Class_0910</w:t>
                  </w:r>
                </w:p>
              </w:tc>
              <w:tc>
                <w:tcPr>
                  <w:tcW w:w="2340" w:type="pct"/>
                  <w:shd w:val="clear" w:color="auto" w:fill="auto"/>
                </w:tcPr>
                <w:p w14:paraId="70DDAF4F" w14:textId="77777777" w:rsidR="00437799" w:rsidRPr="003B28F3" w:rsidRDefault="00437799" w:rsidP="00437799">
                  <w:pPr>
                    <w:pStyle w:val="TableUnitsRow"/>
                    <w:jc w:val="left"/>
                  </w:pPr>
                  <w:r w:rsidRPr="003B28F3">
                    <w:t xml:space="preserve">Reads </w:t>
                  </w:r>
                  <w:r>
                    <w:t xml:space="preserve">data as above </w:t>
                  </w:r>
                  <w:r w:rsidRPr="003B28F3">
                    <w:t>from 2009</w:t>
                  </w:r>
                  <w:r w:rsidRPr="003B28F3">
                    <w:noBreakHyphen/>
                    <w:t>10 input</w:t>
                  </w:r>
                  <w:r w:rsidRPr="003B28F3">
                    <w:noBreakHyphen/>
                    <w:t>output table.</w:t>
                  </w:r>
                </w:p>
              </w:tc>
            </w:tr>
            <w:tr w:rsidR="00437799" w14:paraId="70DDAF54" w14:textId="77777777" w:rsidTr="00437799">
              <w:tc>
                <w:tcPr>
                  <w:tcW w:w="1574" w:type="pct"/>
                  <w:shd w:val="clear" w:color="auto" w:fill="auto"/>
                </w:tcPr>
                <w:p w14:paraId="70DDAF51" w14:textId="77777777" w:rsidR="00437799" w:rsidRPr="003B2B33" w:rsidRDefault="00437799" w:rsidP="00437799">
                  <w:pPr>
                    <w:pStyle w:val="TableUnitsRow"/>
                    <w:jc w:val="left"/>
                  </w:pPr>
                </w:p>
              </w:tc>
              <w:tc>
                <w:tcPr>
                  <w:tcW w:w="1086" w:type="pct"/>
                </w:tcPr>
                <w:p w14:paraId="70DDAF52" w14:textId="77777777" w:rsidR="00437799" w:rsidRPr="00287B0F" w:rsidRDefault="00437799" w:rsidP="00437799">
                  <w:pPr>
                    <w:pStyle w:val="TableUnitsRow"/>
                    <w:jc w:val="left"/>
                  </w:pPr>
                </w:p>
              </w:tc>
              <w:tc>
                <w:tcPr>
                  <w:tcW w:w="2340" w:type="pct"/>
                  <w:shd w:val="clear" w:color="auto" w:fill="auto"/>
                </w:tcPr>
                <w:p w14:paraId="70DDAF53" w14:textId="77777777" w:rsidR="00437799" w:rsidRPr="003B28F3" w:rsidRDefault="00437799" w:rsidP="00437799">
                  <w:pPr>
                    <w:pStyle w:val="TableUnitsRow"/>
                    <w:jc w:val="left"/>
                  </w:pPr>
                </w:p>
              </w:tc>
            </w:tr>
            <w:tr w:rsidR="00437799" w14:paraId="70DDAF56" w14:textId="77777777" w:rsidTr="00437799">
              <w:tc>
                <w:tcPr>
                  <w:tcW w:w="5000" w:type="pct"/>
                  <w:gridSpan w:val="3"/>
                  <w:shd w:val="clear" w:color="auto" w:fill="auto"/>
                </w:tcPr>
                <w:p w14:paraId="70DDAF55" w14:textId="77777777" w:rsidR="00437799" w:rsidRPr="003B28F3" w:rsidRDefault="00437799" w:rsidP="0033667E">
                  <w:pPr>
                    <w:pStyle w:val="TableUnitsRow"/>
                    <w:jc w:val="left"/>
                  </w:pPr>
                  <w:r w:rsidRPr="00255B08">
                    <w:rPr>
                      <w:b/>
                    </w:rPr>
                    <w:t>Estimates of assistance an</w:t>
                  </w:r>
                  <w:r w:rsidR="0033667E">
                    <w:rPr>
                      <w:b/>
                    </w:rPr>
                    <w:t>d effective rates of assistance</w:t>
                  </w:r>
                </w:p>
              </w:tc>
            </w:tr>
            <w:tr w:rsidR="00437799" w14:paraId="70DDAF5E" w14:textId="77777777" w:rsidTr="00437799">
              <w:tc>
                <w:tcPr>
                  <w:tcW w:w="1574" w:type="pct"/>
                  <w:tcBorders>
                    <w:bottom w:val="single" w:sz="6" w:space="0" w:color="BFBFBF"/>
                  </w:tcBorders>
                  <w:shd w:val="clear" w:color="auto" w:fill="auto"/>
                </w:tcPr>
                <w:p w14:paraId="70DDAF57" w14:textId="77777777" w:rsidR="00437799" w:rsidRPr="00255B08" w:rsidRDefault="00437799" w:rsidP="00437799">
                  <w:pPr>
                    <w:pStyle w:val="TableBodyText"/>
                    <w:jc w:val="left"/>
                  </w:pPr>
                  <w:r w:rsidRPr="00255B08">
                    <w:t>T-1314 (0809) - CombinedAssistance - ERA - ABS tariff estimates (Current).xlsx</w:t>
                  </w:r>
                </w:p>
              </w:tc>
              <w:tc>
                <w:tcPr>
                  <w:tcW w:w="1086" w:type="pct"/>
                  <w:tcBorders>
                    <w:bottom w:val="single" w:sz="6" w:space="0" w:color="BFBFBF"/>
                  </w:tcBorders>
                </w:tcPr>
                <w:p w14:paraId="70DDAF58" w14:textId="77777777" w:rsidR="00437799" w:rsidRPr="00255B08" w:rsidRDefault="00437799" w:rsidP="00437799">
                  <w:pPr>
                    <w:pStyle w:val="TableBodyText"/>
                    <w:jc w:val="left"/>
                  </w:pPr>
                  <w:r w:rsidRPr="00255B08">
                    <w:t>1314</w:t>
                  </w:r>
                </w:p>
              </w:tc>
              <w:tc>
                <w:tcPr>
                  <w:tcW w:w="2340" w:type="pct"/>
                  <w:tcBorders>
                    <w:bottom w:val="single" w:sz="6" w:space="0" w:color="BFBFBF"/>
                  </w:tcBorders>
                  <w:shd w:val="clear" w:color="auto" w:fill="auto"/>
                </w:tcPr>
                <w:p w14:paraId="70DDAF59" w14:textId="77777777" w:rsidR="00437799" w:rsidRPr="00255B08" w:rsidRDefault="00437799" w:rsidP="00437799">
                  <w:pPr>
                    <w:pStyle w:val="TableNumber"/>
                    <w:numPr>
                      <w:ilvl w:val="0"/>
                      <w:numId w:val="24"/>
                    </w:numPr>
                  </w:pPr>
                  <w:r w:rsidRPr="00255B08">
                    <w:t>Reads GSE and TEM for all years and AVO and AVM for 2008-09, all in 2008-09 prices, from</w:t>
                  </w:r>
                  <w:r>
                    <w:t xml:space="preserve"> </w:t>
                  </w:r>
                  <w:r w:rsidRPr="00255B08">
                    <w:t>respective output files (as described before)</w:t>
                  </w:r>
                </w:p>
                <w:p w14:paraId="70DDAF5A" w14:textId="77777777" w:rsidR="00437799" w:rsidRDefault="00437799" w:rsidP="00437799">
                  <w:pPr>
                    <w:pStyle w:val="TableNumber"/>
                  </w:pPr>
                  <w:r w:rsidRPr="00255B08">
                    <w:t>Apply the adjustment factors to update them to current price (2013-14) values</w:t>
                  </w:r>
                </w:p>
                <w:p w14:paraId="70DDAF5B" w14:textId="77777777" w:rsidR="00437799" w:rsidRPr="00255B08" w:rsidRDefault="00437799" w:rsidP="00437799">
                  <w:pPr>
                    <w:pStyle w:val="TableNumber"/>
                  </w:pPr>
                  <w:r w:rsidRPr="00255B08">
                    <w:t>Budgetary assistance estimates at current prices for all years are read from the respective file</w:t>
                  </w:r>
                </w:p>
                <w:p w14:paraId="70DDAF5C" w14:textId="77777777" w:rsidR="00437799" w:rsidRPr="00255B08" w:rsidRDefault="00437799" w:rsidP="00437799">
                  <w:pPr>
                    <w:pStyle w:val="TableNumber"/>
                  </w:pPr>
                  <w:r w:rsidRPr="00255B08">
                    <w:t>All assistance estimates (GSE, TEM and budgetary assistance) and UVO and UVM are aggregated to 38 TAR-industry groupings</w:t>
                  </w:r>
                </w:p>
                <w:p w14:paraId="70DDAF5D" w14:textId="77777777" w:rsidR="00437799" w:rsidRPr="003B28F3" w:rsidRDefault="00437799" w:rsidP="00437799">
                  <w:pPr>
                    <w:pStyle w:val="TableNumber"/>
                    <w:rPr>
                      <w:color w:val="1F497D"/>
                    </w:rPr>
                  </w:pPr>
                  <w:r w:rsidRPr="00255B08">
                    <w:t>Net combined assistance is divided by UVA to derive estimates for ERAs for 20 TAR industries.</w:t>
                  </w:r>
                </w:p>
              </w:tc>
            </w:tr>
          </w:tbl>
          <w:p w14:paraId="70DDAF5F" w14:textId="77777777" w:rsidR="00437799" w:rsidRDefault="00437799" w:rsidP="00437799">
            <w:pPr>
              <w:pStyle w:val="Box"/>
            </w:pPr>
          </w:p>
        </w:tc>
      </w:tr>
      <w:tr w:rsidR="00437799" w14:paraId="70DDAF62" w14:textId="77777777" w:rsidTr="00D450C5">
        <w:tc>
          <w:tcPr>
            <w:tcW w:w="5000" w:type="pct"/>
            <w:tcBorders>
              <w:top w:val="nil"/>
              <w:left w:val="nil"/>
              <w:bottom w:val="single" w:sz="6" w:space="0" w:color="78A22F"/>
              <w:right w:val="nil"/>
            </w:tcBorders>
            <w:shd w:val="clear" w:color="auto" w:fill="auto"/>
          </w:tcPr>
          <w:p w14:paraId="70DDAF61" w14:textId="77777777" w:rsidR="00437799" w:rsidRDefault="00437799" w:rsidP="00437799">
            <w:pPr>
              <w:pStyle w:val="Box"/>
              <w:spacing w:before="0" w:line="120" w:lineRule="exact"/>
            </w:pPr>
          </w:p>
        </w:tc>
      </w:tr>
      <w:tr w:rsidR="00437799" w:rsidRPr="000863A5" w14:paraId="70DDAF64" w14:textId="77777777" w:rsidTr="00D450C5">
        <w:tc>
          <w:tcPr>
            <w:tcW w:w="5000" w:type="pct"/>
            <w:tcBorders>
              <w:top w:val="single" w:sz="6" w:space="0" w:color="78A22F"/>
              <w:left w:val="nil"/>
              <w:bottom w:val="nil"/>
              <w:right w:val="nil"/>
            </w:tcBorders>
          </w:tcPr>
          <w:p w14:paraId="70DDAF63" w14:textId="399EB362" w:rsidR="00437799" w:rsidRPr="00626D32" w:rsidRDefault="00437799" w:rsidP="00437799">
            <w:pPr>
              <w:pStyle w:val="BoxSpaceBelow"/>
            </w:pPr>
          </w:p>
        </w:tc>
      </w:tr>
    </w:tbl>
    <w:p w14:paraId="70DDAF65" w14:textId="77777777" w:rsidR="00B03505" w:rsidRPr="006A2BCC" w:rsidRDefault="00B03505" w:rsidP="006A2BCC">
      <w:pPr>
        <w:pStyle w:val="BodyText"/>
      </w:pPr>
      <w:bookmarkStart w:id="13" w:name="_GoBack"/>
      <w:bookmarkEnd w:id="13"/>
    </w:p>
    <w:sectPr w:rsidR="00B03505" w:rsidRPr="006A2BCC" w:rsidSect="00532C7C">
      <w:headerReference w:type="even" r:id="rId35"/>
      <w:headerReference w:type="default" r:id="rId36"/>
      <w:footerReference w:type="even" r:id="rId37"/>
      <w:footerReference w:type="default" r:id="rId38"/>
      <w:pgSz w:w="11907" w:h="16840" w:code="9"/>
      <w:pgMar w:top="1985" w:right="1304" w:bottom="1247" w:left="1814" w:header="1701" w:footer="397" w:gutter="0"/>
      <w:pgNumType w:start="37"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F93A6" w14:textId="77777777" w:rsidR="00EE323B" w:rsidRDefault="00EE323B">
      <w:r>
        <w:separator/>
      </w:r>
    </w:p>
  </w:endnote>
  <w:endnote w:type="continuationSeparator" w:id="0">
    <w:p w14:paraId="01FA34D1" w14:textId="77777777" w:rsidR="00EE323B" w:rsidRDefault="00EE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323B" w14:paraId="70DDAF8B" w14:textId="77777777" w:rsidTr="005F48ED">
      <w:trPr>
        <w:trHeight w:hRule="exact" w:val="567"/>
      </w:trPr>
      <w:tc>
        <w:tcPr>
          <w:tcW w:w="510" w:type="dxa"/>
        </w:tcPr>
        <w:p w14:paraId="70DDAF88" w14:textId="77777777" w:rsidR="00EE323B" w:rsidRPr="00A24443" w:rsidRDefault="00EE323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70DDAF89" w14:textId="77777777" w:rsidR="00EE323B" w:rsidRPr="0013739A" w:rsidRDefault="00EE323B"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14:paraId="70DDAF8A" w14:textId="77777777" w:rsidR="00EE323B" w:rsidRDefault="00EE323B" w:rsidP="0019293B">
          <w:pPr>
            <w:pStyle w:val="Footer"/>
          </w:pPr>
        </w:p>
      </w:tc>
    </w:tr>
  </w:tbl>
  <w:p w14:paraId="70DDAF8C" w14:textId="77777777" w:rsidR="00EE323B" w:rsidRDefault="00EE323B" w:rsidP="0019293B">
    <w:pPr>
      <w:pStyle w:val="FooterEnd"/>
    </w:pPr>
  </w:p>
  <w:p w14:paraId="70DDAF8D" w14:textId="77777777" w:rsidR="00EE323B" w:rsidRDefault="00EE323B">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DAFB2" w14:textId="77777777" w:rsidR="00EE323B" w:rsidRDefault="00EE323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06C32">
      <w:rPr>
        <w:rStyle w:val="PageNumber"/>
        <w:noProof/>
      </w:rPr>
      <w:t>35</w:t>
    </w:r>
    <w:r>
      <w:rPr>
        <w:rStyle w:val="PageNumber"/>
      </w:rPr>
      <w:fldChar w:fldCharType="end"/>
    </w:r>
  </w:p>
  <w:p w14:paraId="70DDAFB3" w14:textId="77777777" w:rsidR="00EE323B" w:rsidRDefault="00EE323B">
    <w:pPr>
      <w:pStyle w:val="Footer"/>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323B" w14:paraId="70DDAFBF" w14:textId="77777777" w:rsidTr="005F48ED">
      <w:trPr>
        <w:trHeight w:hRule="exact" w:val="567"/>
      </w:trPr>
      <w:tc>
        <w:tcPr>
          <w:tcW w:w="510" w:type="dxa"/>
        </w:tcPr>
        <w:p w14:paraId="70DDAFBC" w14:textId="77777777" w:rsidR="00EE323B" w:rsidRPr="00A24443" w:rsidRDefault="00EE323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06C32">
            <w:rPr>
              <w:rStyle w:val="PageNumber"/>
              <w:caps w:val="0"/>
              <w:noProof/>
            </w:rPr>
            <w:t>38</w:t>
          </w:r>
          <w:r w:rsidRPr="00A24443">
            <w:rPr>
              <w:rStyle w:val="PageNumber"/>
              <w:caps w:val="0"/>
            </w:rPr>
            <w:fldChar w:fldCharType="end"/>
          </w:r>
        </w:p>
      </w:tc>
      <w:tc>
        <w:tcPr>
          <w:tcW w:w="7767" w:type="dxa"/>
        </w:tcPr>
        <w:p w14:paraId="70DDAFBD" w14:textId="43541047" w:rsidR="00EE323B" w:rsidRPr="0013739A" w:rsidRDefault="00EE323B" w:rsidP="0013739A">
          <w:pPr>
            <w:pStyle w:val="Footer"/>
            <w:rPr>
              <w:rFonts w:cs="Arial"/>
            </w:rPr>
          </w:pPr>
          <w:r>
            <w:rPr>
              <w:rFonts w:cs="Arial"/>
            </w:rPr>
            <w:t>TAR Process documentation</w:t>
          </w:r>
          <w:bookmarkStart w:id="14" w:name="DraftReportEven"/>
          <w:bookmarkEnd w:id="14"/>
        </w:p>
      </w:tc>
      <w:tc>
        <w:tcPr>
          <w:tcW w:w="510" w:type="dxa"/>
        </w:tcPr>
        <w:p w14:paraId="70DDAFBE" w14:textId="77777777" w:rsidR="00EE323B" w:rsidRDefault="00EE323B" w:rsidP="0019293B">
          <w:pPr>
            <w:pStyle w:val="Footer"/>
          </w:pPr>
        </w:p>
      </w:tc>
    </w:tr>
  </w:tbl>
  <w:p w14:paraId="70DDAFC0" w14:textId="77777777" w:rsidR="00EE323B" w:rsidRDefault="00EE323B" w:rsidP="0019293B">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323B" w14:paraId="70DDAFC4" w14:textId="77777777" w:rsidTr="005F48ED">
      <w:trPr>
        <w:trHeight w:hRule="exact" w:val="567"/>
      </w:trPr>
      <w:tc>
        <w:tcPr>
          <w:tcW w:w="510" w:type="dxa"/>
        </w:tcPr>
        <w:p w14:paraId="70DDAFC1" w14:textId="77777777" w:rsidR="00EE323B" w:rsidRDefault="00EE323B">
          <w:pPr>
            <w:pStyle w:val="Footer"/>
            <w:ind w:right="360" w:firstLine="360"/>
          </w:pPr>
        </w:p>
      </w:tc>
      <w:tc>
        <w:tcPr>
          <w:tcW w:w="7767" w:type="dxa"/>
        </w:tcPr>
        <w:p w14:paraId="70DDAFC2" w14:textId="78C8D60B" w:rsidR="00EE323B" w:rsidRPr="00BA5B14" w:rsidRDefault="006F4117" w:rsidP="0013739A">
          <w:pPr>
            <w:pStyle w:val="Footer"/>
            <w:jc w:val="right"/>
            <w:rPr>
              <w:rFonts w:cs="Arial"/>
            </w:rPr>
          </w:pPr>
          <w:r w:rsidRPr="00BA2C10">
            <w:rPr>
              <w:rFonts w:cs="Arial"/>
            </w:rPr>
            <w:t>Trade and Assistance Review user guide</w:t>
          </w:r>
          <w:bookmarkStart w:id="15" w:name="DraftReportOdd"/>
          <w:bookmarkEnd w:id="15"/>
        </w:p>
      </w:tc>
      <w:tc>
        <w:tcPr>
          <w:tcW w:w="510" w:type="dxa"/>
        </w:tcPr>
        <w:p w14:paraId="70DDAFC3" w14:textId="77777777" w:rsidR="00EE323B" w:rsidRPr="00A24443" w:rsidRDefault="00EE323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06C32">
            <w:rPr>
              <w:rStyle w:val="PageNumber"/>
              <w:caps w:val="0"/>
              <w:noProof/>
            </w:rPr>
            <w:t>39</w:t>
          </w:r>
          <w:r w:rsidRPr="00A24443">
            <w:rPr>
              <w:rStyle w:val="PageNumber"/>
              <w:caps w:val="0"/>
            </w:rPr>
            <w:fldChar w:fldCharType="end"/>
          </w:r>
        </w:p>
      </w:tc>
    </w:tr>
  </w:tbl>
  <w:p w14:paraId="70DDAFC5" w14:textId="77777777" w:rsidR="00EE323B" w:rsidRDefault="00EE32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323B" w14:paraId="70DDAF91" w14:textId="77777777" w:rsidTr="00022CD8">
      <w:trPr>
        <w:trHeight w:hRule="exact" w:val="567"/>
      </w:trPr>
      <w:tc>
        <w:tcPr>
          <w:tcW w:w="510" w:type="dxa"/>
        </w:tcPr>
        <w:p w14:paraId="70DDAF8E" w14:textId="77777777" w:rsidR="00EE323B" w:rsidRDefault="00EE323B" w:rsidP="00022CD8">
          <w:pPr>
            <w:pStyle w:val="Footer"/>
            <w:ind w:right="360" w:firstLine="360"/>
          </w:pPr>
        </w:p>
      </w:tc>
      <w:tc>
        <w:tcPr>
          <w:tcW w:w="7767" w:type="dxa"/>
        </w:tcPr>
        <w:p w14:paraId="70DDAF8F" w14:textId="77777777" w:rsidR="00EE323B" w:rsidRPr="00BA5B14" w:rsidRDefault="00EE323B" w:rsidP="00022CD8">
          <w:pPr>
            <w:pStyle w:val="Footer"/>
            <w:jc w:val="right"/>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14:paraId="70DDAF90" w14:textId="77777777" w:rsidR="00EE323B" w:rsidRPr="00A24443" w:rsidRDefault="00EE323B" w:rsidP="00022CD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w:t>
          </w:r>
          <w:r w:rsidRPr="00A24443">
            <w:rPr>
              <w:rStyle w:val="PageNumber"/>
              <w:caps w:val="0"/>
            </w:rPr>
            <w:fldChar w:fldCharType="end"/>
          </w:r>
        </w:p>
      </w:tc>
    </w:tr>
  </w:tbl>
  <w:p w14:paraId="70DDAF92" w14:textId="77777777" w:rsidR="00EE323B" w:rsidRDefault="00EE323B">
    <w:pPr>
      <w:pStyle w:val="FooterEnd"/>
    </w:pPr>
  </w:p>
  <w:p w14:paraId="70DDAF93" w14:textId="77777777" w:rsidR="00EE323B" w:rsidRDefault="00EE32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323B" w14:paraId="03E4DEB6" w14:textId="77777777" w:rsidTr="005F48ED">
      <w:trPr>
        <w:trHeight w:hRule="exact" w:val="567"/>
      </w:trPr>
      <w:tc>
        <w:tcPr>
          <w:tcW w:w="510" w:type="dxa"/>
        </w:tcPr>
        <w:p w14:paraId="2751FB32" w14:textId="77777777" w:rsidR="00EE323B" w:rsidRPr="00A24443" w:rsidRDefault="00EE323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06C32">
            <w:rPr>
              <w:rStyle w:val="PageNumber"/>
              <w:caps w:val="0"/>
              <w:noProof/>
            </w:rPr>
            <w:t>18</w:t>
          </w:r>
          <w:r w:rsidRPr="00A24443">
            <w:rPr>
              <w:rStyle w:val="PageNumber"/>
              <w:caps w:val="0"/>
            </w:rPr>
            <w:fldChar w:fldCharType="end"/>
          </w:r>
        </w:p>
      </w:tc>
      <w:tc>
        <w:tcPr>
          <w:tcW w:w="7767" w:type="dxa"/>
        </w:tcPr>
        <w:p w14:paraId="0F1E6823" w14:textId="7FC5CA41" w:rsidR="00EE323B" w:rsidRPr="0013739A" w:rsidRDefault="00EE323B" w:rsidP="0013739A">
          <w:pPr>
            <w:pStyle w:val="Footer"/>
            <w:rPr>
              <w:rFonts w:cs="Arial"/>
            </w:rPr>
          </w:pPr>
          <w:r>
            <w:rPr>
              <w:rFonts w:cs="Arial"/>
            </w:rPr>
            <w:t>TAR Process documentation</w:t>
          </w:r>
        </w:p>
      </w:tc>
      <w:tc>
        <w:tcPr>
          <w:tcW w:w="510" w:type="dxa"/>
        </w:tcPr>
        <w:p w14:paraId="1C8DB852" w14:textId="77777777" w:rsidR="00EE323B" w:rsidRDefault="00EE323B" w:rsidP="0019293B">
          <w:pPr>
            <w:pStyle w:val="Footer"/>
          </w:pPr>
        </w:p>
      </w:tc>
    </w:tr>
  </w:tbl>
  <w:p w14:paraId="7E409314" w14:textId="77777777" w:rsidR="00EE323B" w:rsidRDefault="00EE323B" w:rsidP="0019293B">
    <w:pPr>
      <w:pStyle w:val="FooterEnd"/>
    </w:pPr>
  </w:p>
  <w:p w14:paraId="0E57517E" w14:textId="77777777" w:rsidR="00EE323B" w:rsidRDefault="00EE32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323B" w14:paraId="3C9F52D0" w14:textId="77777777" w:rsidTr="00022CD8">
      <w:trPr>
        <w:trHeight w:hRule="exact" w:val="567"/>
      </w:trPr>
      <w:tc>
        <w:tcPr>
          <w:tcW w:w="510" w:type="dxa"/>
        </w:tcPr>
        <w:p w14:paraId="7EA3CB6C" w14:textId="77777777" w:rsidR="00EE323B" w:rsidRDefault="00EE323B" w:rsidP="00022CD8">
          <w:pPr>
            <w:pStyle w:val="Footer"/>
            <w:ind w:right="360" w:firstLine="360"/>
          </w:pPr>
        </w:p>
      </w:tc>
      <w:tc>
        <w:tcPr>
          <w:tcW w:w="7767" w:type="dxa"/>
        </w:tcPr>
        <w:p w14:paraId="6CBFDDF3" w14:textId="6A472FA7" w:rsidR="00EE323B" w:rsidRPr="00BA5B14" w:rsidRDefault="00BA2C10" w:rsidP="00022CD8">
          <w:pPr>
            <w:pStyle w:val="Footer"/>
            <w:jc w:val="right"/>
            <w:rPr>
              <w:rFonts w:cs="Arial"/>
            </w:rPr>
          </w:pPr>
          <w:r w:rsidRPr="00BA2C10">
            <w:rPr>
              <w:rFonts w:cs="Arial"/>
            </w:rPr>
            <w:t>Trade and Assistance Review user guide</w:t>
          </w:r>
        </w:p>
      </w:tc>
      <w:tc>
        <w:tcPr>
          <w:tcW w:w="510" w:type="dxa"/>
        </w:tcPr>
        <w:p w14:paraId="17B2ACE4" w14:textId="77777777" w:rsidR="00EE323B" w:rsidRPr="00A24443" w:rsidRDefault="00EE323B" w:rsidP="00022CD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06C32">
            <w:rPr>
              <w:rStyle w:val="PageNumber"/>
              <w:caps w:val="0"/>
              <w:noProof/>
            </w:rPr>
            <w:t>19</w:t>
          </w:r>
          <w:r w:rsidRPr="00A24443">
            <w:rPr>
              <w:rStyle w:val="PageNumber"/>
              <w:caps w:val="0"/>
            </w:rPr>
            <w:fldChar w:fldCharType="end"/>
          </w:r>
        </w:p>
      </w:tc>
    </w:tr>
  </w:tbl>
  <w:p w14:paraId="4738C0F1" w14:textId="77777777" w:rsidR="00EE323B" w:rsidRDefault="00EE323B">
    <w:pPr>
      <w:pStyle w:val="FooterEnd"/>
    </w:pPr>
  </w:p>
  <w:p w14:paraId="674EAD0C" w14:textId="77777777" w:rsidR="00EE323B" w:rsidRDefault="00EE32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DAF96" w14:textId="77777777" w:rsidR="00EE323B" w:rsidRDefault="00EE323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5775D">
      <w:rPr>
        <w:rStyle w:val="PageNumber"/>
        <w:noProof/>
      </w:rPr>
      <w:t>20</w:t>
    </w:r>
    <w:r>
      <w:rPr>
        <w:rStyle w:val="PageNumber"/>
      </w:rPr>
      <w:fldChar w:fldCharType="end"/>
    </w:r>
  </w:p>
  <w:p w14:paraId="70DDAF97" w14:textId="77777777" w:rsidR="00EE323B" w:rsidRDefault="00EE323B">
    <w:pPr>
      <w:pStyle w:val="FooterEn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DAF98" w14:textId="77777777" w:rsidR="00EE323B" w:rsidRDefault="00EE323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06C32">
      <w:rPr>
        <w:rStyle w:val="PageNumber"/>
        <w:noProof/>
      </w:rPr>
      <w:t>21</w:t>
    </w:r>
    <w:r>
      <w:rPr>
        <w:rStyle w:val="PageNumber"/>
      </w:rPr>
      <w:fldChar w:fldCharType="end"/>
    </w:r>
  </w:p>
  <w:p w14:paraId="70DDAF99" w14:textId="77777777" w:rsidR="00EE323B" w:rsidRDefault="00EE323B">
    <w:pPr>
      <w:pStyle w:val="Footer"/>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323B" w14:paraId="70DDAFA5" w14:textId="77777777" w:rsidTr="005F48ED">
      <w:trPr>
        <w:trHeight w:hRule="exact" w:val="567"/>
      </w:trPr>
      <w:tc>
        <w:tcPr>
          <w:tcW w:w="510" w:type="dxa"/>
        </w:tcPr>
        <w:p w14:paraId="70DDAFA2" w14:textId="77777777" w:rsidR="00EE323B" w:rsidRPr="00A24443" w:rsidRDefault="00EE323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06C32">
            <w:rPr>
              <w:rStyle w:val="PageNumber"/>
              <w:caps w:val="0"/>
              <w:noProof/>
            </w:rPr>
            <w:t>34</w:t>
          </w:r>
          <w:r w:rsidRPr="00A24443">
            <w:rPr>
              <w:rStyle w:val="PageNumber"/>
              <w:caps w:val="0"/>
            </w:rPr>
            <w:fldChar w:fldCharType="end"/>
          </w:r>
        </w:p>
      </w:tc>
      <w:tc>
        <w:tcPr>
          <w:tcW w:w="7767" w:type="dxa"/>
        </w:tcPr>
        <w:p w14:paraId="70DDAFA3" w14:textId="71D8EBE6" w:rsidR="00EE323B" w:rsidRPr="0013739A" w:rsidRDefault="00EE323B" w:rsidP="0013739A">
          <w:pPr>
            <w:pStyle w:val="Footer"/>
            <w:rPr>
              <w:rFonts w:cs="Arial"/>
            </w:rPr>
          </w:pPr>
          <w:r>
            <w:rPr>
              <w:rFonts w:cs="Arial"/>
            </w:rPr>
            <w:t>TAR Process documentation</w:t>
          </w:r>
        </w:p>
      </w:tc>
      <w:tc>
        <w:tcPr>
          <w:tcW w:w="510" w:type="dxa"/>
        </w:tcPr>
        <w:p w14:paraId="70DDAFA4" w14:textId="77777777" w:rsidR="00EE323B" w:rsidRDefault="00EE323B" w:rsidP="0019293B">
          <w:pPr>
            <w:pStyle w:val="Footer"/>
          </w:pPr>
        </w:p>
      </w:tc>
    </w:tr>
  </w:tbl>
  <w:p w14:paraId="70DDAFA6" w14:textId="77777777" w:rsidR="00EE323B" w:rsidRDefault="00EE323B" w:rsidP="0019293B">
    <w:pPr>
      <w:pStyle w:val="FooterEnd"/>
    </w:pPr>
  </w:p>
  <w:p w14:paraId="70DDAFA7" w14:textId="77777777" w:rsidR="00EE323B" w:rsidRDefault="00EE323B">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E323B" w14:paraId="70DDAFAB" w14:textId="77777777" w:rsidTr="005F48ED">
      <w:trPr>
        <w:trHeight w:hRule="exact" w:val="567"/>
      </w:trPr>
      <w:tc>
        <w:tcPr>
          <w:tcW w:w="510" w:type="dxa"/>
        </w:tcPr>
        <w:p w14:paraId="70DDAFA8" w14:textId="77777777" w:rsidR="00EE323B" w:rsidRDefault="00EE323B">
          <w:pPr>
            <w:pStyle w:val="Footer"/>
            <w:ind w:right="360" w:firstLine="360"/>
          </w:pPr>
        </w:p>
      </w:tc>
      <w:tc>
        <w:tcPr>
          <w:tcW w:w="7767" w:type="dxa"/>
        </w:tcPr>
        <w:p w14:paraId="70DDAFA9" w14:textId="61D2C4F2" w:rsidR="00EE323B" w:rsidRPr="00BA5B14" w:rsidRDefault="00BA2C10" w:rsidP="0013739A">
          <w:pPr>
            <w:pStyle w:val="Footer"/>
            <w:jc w:val="right"/>
            <w:rPr>
              <w:rFonts w:cs="Arial"/>
            </w:rPr>
          </w:pPr>
          <w:r w:rsidRPr="00BA2C10">
            <w:rPr>
              <w:rFonts w:cs="Arial"/>
            </w:rPr>
            <w:t>Trade and Assistance Review user guide</w:t>
          </w:r>
        </w:p>
      </w:tc>
      <w:tc>
        <w:tcPr>
          <w:tcW w:w="510" w:type="dxa"/>
        </w:tcPr>
        <w:p w14:paraId="70DDAFAA" w14:textId="77777777" w:rsidR="00EE323B" w:rsidRPr="00A24443" w:rsidRDefault="00EE323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06C32">
            <w:rPr>
              <w:rStyle w:val="PageNumber"/>
              <w:caps w:val="0"/>
              <w:noProof/>
            </w:rPr>
            <w:t>31</w:t>
          </w:r>
          <w:r w:rsidRPr="00A24443">
            <w:rPr>
              <w:rStyle w:val="PageNumber"/>
              <w:caps w:val="0"/>
            </w:rPr>
            <w:fldChar w:fldCharType="end"/>
          </w:r>
        </w:p>
      </w:tc>
    </w:tr>
  </w:tbl>
  <w:p w14:paraId="70DDAFAC" w14:textId="77777777" w:rsidR="00EE323B" w:rsidRDefault="00EE323B">
    <w:pPr>
      <w:pStyle w:val="FooterEnd"/>
    </w:pPr>
  </w:p>
  <w:p w14:paraId="70DDAFAD" w14:textId="77777777" w:rsidR="00EE323B" w:rsidRDefault="00EE323B">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DAFB0" w14:textId="77777777" w:rsidR="00EE323B" w:rsidRDefault="00EE323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06C32">
      <w:rPr>
        <w:rStyle w:val="PageNumber"/>
        <w:noProof/>
      </w:rPr>
      <w:t>36</w:t>
    </w:r>
    <w:r>
      <w:rPr>
        <w:rStyle w:val="PageNumber"/>
      </w:rPr>
      <w:fldChar w:fldCharType="end"/>
    </w:r>
  </w:p>
  <w:p w14:paraId="70DDAFB1" w14:textId="77777777" w:rsidR="00EE323B" w:rsidRDefault="00EE323B">
    <w:pPr>
      <w:pStyle w:val="FooterEn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48C59" w14:textId="77777777" w:rsidR="00EE323B" w:rsidRDefault="00EE323B">
      <w:r>
        <w:separator/>
      </w:r>
    </w:p>
  </w:footnote>
  <w:footnote w:type="continuationSeparator" w:id="0">
    <w:p w14:paraId="1FD90A1D" w14:textId="77777777" w:rsidR="00EE323B" w:rsidRDefault="00EE323B">
      <w:r>
        <w:continuationSeparator/>
      </w:r>
    </w:p>
  </w:footnote>
  <w:footnote w:id="1">
    <w:p w14:paraId="70DDAFC6" w14:textId="77777777" w:rsidR="00EE323B" w:rsidRDefault="00EE323B">
      <w:pPr>
        <w:pStyle w:val="FootnoteText"/>
      </w:pPr>
      <w:r>
        <w:rPr>
          <w:rStyle w:val="FootnoteReference"/>
        </w:rPr>
        <w:footnoteRef/>
      </w:r>
      <w:r>
        <w:tab/>
        <w:t xml:space="preserve">Re-benchmarking is performed periodically to account for changes in the structure of trade and of the economy. It is covered in a forthcoming document. The principles are discussed below. </w:t>
      </w:r>
    </w:p>
  </w:footnote>
  <w:footnote w:id="2">
    <w:p w14:paraId="70DDAFC7" w14:textId="44C7593A" w:rsidR="00EE323B" w:rsidRDefault="00EE323B" w:rsidP="005E1DBE">
      <w:pPr>
        <w:pStyle w:val="FootnoteText"/>
      </w:pPr>
      <w:r>
        <w:rPr>
          <w:rStyle w:val="FootnoteReference"/>
        </w:rPr>
        <w:footnoteRef/>
      </w:r>
      <w:r>
        <w:tab/>
        <w:t>Agricultural and marketing assistance, as defined by the Commission, has been steadily reduced over time, and is now negligible; it has not been calculated for several years. For further information, see chapter 3 of the 2011-12 Methodological Annex </w:t>
      </w:r>
      <w:r w:rsidRPr="002349CD">
        <w:rPr>
          <w:szCs w:val="24"/>
        </w:rPr>
        <w:t>(PC 2014)</w:t>
      </w:r>
      <w:r>
        <w:t>.</w:t>
      </w:r>
    </w:p>
  </w:footnote>
  <w:footnote w:id="3">
    <w:p w14:paraId="70DDAFC8" w14:textId="77777777" w:rsidR="00EE323B" w:rsidRDefault="00EE323B">
      <w:pPr>
        <w:pStyle w:val="FootnoteText"/>
      </w:pPr>
      <w:r>
        <w:rPr>
          <w:rStyle w:val="FootnoteReference"/>
        </w:rPr>
        <w:footnoteRef/>
      </w:r>
      <w:r>
        <w:tab/>
      </w:r>
      <w:r w:rsidRPr="00967E5A">
        <w:t>Note that Australian tariffs are levied on the value of imports in the foreign port (that is, the ‘free-on-board’ (fob) value), as opposed to the landed value of imports (that is, the ‘cost, insurance and freight’ (cif) value).</w:t>
      </w:r>
    </w:p>
  </w:footnote>
  <w:footnote w:id="4">
    <w:p w14:paraId="70DDAFC9" w14:textId="77777777" w:rsidR="00EE323B" w:rsidRDefault="00EE323B" w:rsidP="004E5D4F">
      <w:pPr>
        <w:pStyle w:val="FootnoteText"/>
      </w:pPr>
      <w:r>
        <w:rPr>
          <w:rStyle w:val="FootnoteReference"/>
        </w:rPr>
        <w:footnoteRef/>
      </w:r>
      <w:r>
        <w:tab/>
        <w:t>It is intended to re</w:t>
      </w:r>
      <w:r>
        <w:noBreakHyphen/>
        <w:t>benchmark to the 2013</w:t>
      </w:r>
      <w:r>
        <w:noBreakHyphen/>
        <w:t>14 Input</w:t>
      </w:r>
      <w:r>
        <w:noBreakHyphen/>
        <w:t>Output data for the 2015</w:t>
      </w:r>
      <w:r>
        <w:noBreakHyphen/>
        <w:t>16 TAR. This will provide an opportunity to test the sensitivity of estimates to the assumptions around the IO and import mix benchmarks.</w:t>
      </w:r>
    </w:p>
  </w:footnote>
  <w:footnote w:id="5">
    <w:p w14:paraId="70DDAFCA" w14:textId="77777777" w:rsidR="00EE323B" w:rsidRDefault="00EE323B" w:rsidP="004C5477">
      <w:pPr>
        <w:pStyle w:val="FootnoteText"/>
      </w:pPr>
      <w:r>
        <w:rPr>
          <w:rStyle w:val="FootnoteReference"/>
        </w:rPr>
        <w:footnoteRef/>
      </w:r>
      <w:r>
        <w:tab/>
        <w:t xml:space="preserve">Expected tariff rates for 2013-14 are applied to the 2008-09 trade values. </w:t>
      </w:r>
    </w:p>
  </w:footnote>
  <w:footnote w:id="6">
    <w:p w14:paraId="70DDAFCB" w14:textId="77777777" w:rsidR="00EE323B" w:rsidRDefault="00EE323B" w:rsidP="004C5477">
      <w:pPr>
        <w:pStyle w:val="FootnoteText"/>
      </w:pPr>
      <w:r>
        <w:rPr>
          <w:rStyle w:val="FootnoteReference"/>
        </w:rPr>
        <w:footnoteRef/>
      </w:r>
      <w:r>
        <w:tab/>
        <w:t xml:space="preserve">See appendix A for the concordances. </w:t>
      </w:r>
    </w:p>
  </w:footnote>
  <w:footnote w:id="7">
    <w:p w14:paraId="70DDAFCC" w14:textId="77777777" w:rsidR="00EE323B" w:rsidRDefault="00EE323B" w:rsidP="00B03505">
      <w:pPr>
        <w:pStyle w:val="FootnoteText"/>
      </w:pPr>
      <w:r w:rsidRPr="00443B7F">
        <w:rPr>
          <w:rStyle w:val="FootnoteReference"/>
        </w:rPr>
        <w:footnoteRef/>
      </w:r>
      <w:r>
        <w:tab/>
        <w:t>The full Australian Government appropriation for CSIRO is not included in budgetary assistance estimates — research programs of a general benefit to the public are not considered as industry assistance.</w:t>
      </w:r>
    </w:p>
  </w:footnote>
  <w:footnote w:id="8">
    <w:p w14:paraId="70DDAFCD" w14:textId="77777777" w:rsidR="00EE323B" w:rsidRDefault="00EE323B" w:rsidP="00B03505">
      <w:pPr>
        <w:pStyle w:val="FootnoteText"/>
      </w:pPr>
      <w:r>
        <w:rPr>
          <w:rStyle w:val="FootnoteReference"/>
        </w:rPr>
        <w:footnoteRef/>
      </w:r>
      <w:r>
        <w:tab/>
        <w:t>This is a particularly labour intensive part of the process that requires judgment and experience. Maintaining the integrity of the series requires that the same criteria are applied over time. A decision tool for determining which measures are to be included in the budgetary assistance estimates needs to be developed to ensure consistency over time.</w:t>
      </w:r>
    </w:p>
  </w:footnote>
  <w:footnote w:id="9">
    <w:p w14:paraId="70DDAFCE" w14:textId="77777777" w:rsidR="00EE323B" w:rsidRDefault="00EE323B">
      <w:pPr>
        <w:pStyle w:val="FootnoteText"/>
      </w:pPr>
      <w:r>
        <w:rPr>
          <w:rStyle w:val="FootnoteReference"/>
        </w:rPr>
        <w:footnoteRef/>
      </w:r>
      <w:r>
        <w:tab/>
        <w:t>Contacts are likely to change from year to year, and so this list is likely to just be a starting point.</w:t>
      </w:r>
    </w:p>
  </w:footnote>
  <w:footnote w:id="10">
    <w:p w14:paraId="70DDAFCF" w14:textId="77777777" w:rsidR="00EE323B" w:rsidRPr="00D85C25" w:rsidRDefault="00EE323B" w:rsidP="00B03505">
      <w:pPr>
        <w:pStyle w:val="FootnoteText"/>
        <w:rPr>
          <w:spacing w:val="-4"/>
        </w:rPr>
      </w:pPr>
      <w:r w:rsidRPr="00443B7F">
        <w:rPr>
          <w:rStyle w:val="FootnoteReference"/>
        </w:rPr>
        <w:footnoteRef/>
      </w:r>
      <w:r>
        <w:tab/>
      </w:r>
      <w:r w:rsidRPr="00D85C25">
        <w:rPr>
          <w:spacing w:val="-4"/>
        </w:rPr>
        <w:t>The workbook used to compile and categorise budgetary assistance for the 2012-13 TAR was named ‘</w:t>
      </w:r>
      <w:r w:rsidRPr="00D85C25">
        <w:rPr>
          <w:i/>
          <w:spacing w:val="-4"/>
        </w:rPr>
        <w:t>T</w:t>
      </w:r>
      <w:r w:rsidRPr="00D85C25">
        <w:rPr>
          <w:i/>
          <w:spacing w:val="-4"/>
        </w:rPr>
        <w:noBreakHyphen/>
        <w:t xml:space="preserve">1213 - BA Work Book_Current.xlsx’. </w:t>
      </w:r>
      <w:r w:rsidRPr="00D85C25">
        <w:rPr>
          <w:spacing w:val="-4"/>
        </w:rPr>
        <w:t>The 2013-14 TAR was labelled</w:t>
      </w:r>
      <w:r w:rsidRPr="00D85C25">
        <w:rPr>
          <w:i/>
          <w:spacing w:val="-4"/>
        </w:rPr>
        <w:t xml:space="preserve"> </w:t>
      </w:r>
      <w:r w:rsidRPr="00D85C25">
        <w:rPr>
          <w:spacing w:val="-4"/>
        </w:rPr>
        <w:t>‘</w:t>
      </w:r>
      <w:r w:rsidRPr="00D85C25">
        <w:rPr>
          <w:i/>
          <w:spacing w:val="-4"/>
        </w:rPr>
        <w:t>T</w:t>
      </w:r>
      <w:r w:rsidRPr="00D85C25">
        <w:rPr>
          <w:i/>
          <w:spacing w:val="-4"/>
        </w:rPr>
        <w:noBreakHyphen/>
        <w:t>1213 - BA Work Book_Current.xlsx’.</w:t>
      </w:r>
    </w:p>
  </w:footnote>
  <w:footnote w:id="11">
    <w:p w14:paraId="70DDAFD0" w14:textId="21C93594" w:rsidR="00EE323B" w:rsidRDefault="00EE323B" w:rsidP="00B03505">
      <w:pPr>
        <w:pStyle w:val="FootnoteText"/>
      </w:pPr>
      <w:r>
        <w:rPr>
          <w:rStyle w:val="FootnoteReference"/>
        </w:rPr>
        <w:footnoteRef/>
      </w:r>
      <w:r>
        <w:tab/>
        <w:t>A</w:t>
      </w:r>
      <w:r w:rsidRPr="00DA74C2">
        <w:t>gricultural pricing and marketing assistance</w:t>
      </w:r>
      <w:r>
        <w:t xml:space="preserve">, as defined by the Commission, has reached zero over time; it is therefore no longer included in the estimation process. For further information on this, see chapter 3 of the 2011-12 Methodological Annex </w:t>
      </w:r>
      <w:r w:rsidRPr="002349CD">
        <w:rPr>
          <w:szCs w:val="24"/>
        </w:rPr>
        <w:t>(PC 2014)</w:t>
      </w:r>
      <w:r>
        <w:t>.</w:t>
      </w:r>
    </w:p>
  </w:footnote>
  <w:footnote w:id="12">
    <w:p w14:paraId="70DDAFD1" w14:textId="77777777" w:rsidR="00EE323B" w:rsidRPr="000C5F8A" w:rsidRDefault="00EE323B" w:rsidP="00756CCB">
      <w:pPr>
        <w:pStyle w:val="FootnoteText"/>
      </w:pPr>
      <w:r>
        <w:rPr>
          <w:rStyle w:val="FootnoteReference"/>
        </w:rPr>
        <w:footnoteRef/>
      </w:r>
      <w:r>
        <w:tab/>
        <w:t xml:space="preserve">As discussed in section 2, assisted value added figures — as published by the ABS — for the current year are required to produce the adjustment </w:t>
      </w:r>
      <w:r w:rsidRPr="000C5F8A">
        <w:t>factors.</w:t>
      </w:r>
    </w:p>
  </w:footnote>
  <w:footnote w:id="13">
    <w:p w14:paraId="70DDAFD3" w14:textId="77777777" w:rsidR="00EE323B" w:rsidRPr="009A2945" w:rsidRDefault="00EE323B" w:rsidP="00B03505">
      <w:pPr>
        <w:pStyle w:val="FootnoteText"/>
        <w:rPr>
          <w:b/>
          <w:vertAlign w:val="superscript"/>
        </w:rPr>
      </w:pPr>
      <w:r>
        <w:rPr>
          <w:rStyle w:val="FootnoteReference"/>
        </w:rPr>
        <w:footnoteRef/>
      </w:r>
      <w:r>
        <w:tab/>
        <w:t xml:space="preserve">This contrasts with the </w:t>
      </w:r>
      <w:r w:rsidRPr="005A0ED4">
        <w:t xml:space="preserve">‘Balassa method’ </w:t>
      </w:r>
      <w:r>
        <w:t xml:space="preserve">which </w:t>
      </w:r>
      <w:r w:rsidRPr="005A0ED4">
        <w:t xml:space="preserve">treats service inputs </w:t>
      </w:r>
      <w:r>
        <w:t xml:space="preserve">the same as intermediate, </w:t>
      </w:r>
      <w:r w:rsidRPr="005A0ED4">
        <w:t>‘traded’ inputs</w:t>
      </w:r>
      <w:r>
        <w:t xml:space="preserve"> (chapter 3, 2011-12 Methodological Annex).</w:t>
      </w:r>
    </w:p>
  </w:footnote>
  <w:footnote w:id="14">
    <w:p w14:paraId="70DDAFD4" w14:textId="77777777" w:rsidR="00EE323B" w:rsidRDefault="00EE323B" w:rsidP="00B03505">
      <w:pPr>
        <w:pStyle w:val="FootnoteText"/>
      </w:pPr>
      <w:r>
        <w:rPr>
          <w:rStyle w:val="FootnoteReference"/>
        </w:rPr>
        <w:footnoteRef/>
      </w:r>
      <w:r>
        <w:tab/>
      </w:r>
      <w:r w:rsidRPr="00891924">
        <w:t xml:space="preserve">For the 2013-14 TAR, the </w:t>
      </w:r>
      <w:r>
        <w:t>workbook</w:t>
      </w:r>
      <w:r w:rsidRPr="00891924">
        <w:t xml:space="preserve"> is </w:t>
      </w:r>
      <w:r>
        <w:t xml:space="preserve">named </w:t>
      </w:r>
      <w:r w:rsidRPr="00A91221">
        <w:rPr>
          <w:i/>
        </w:rPr>
        <w:t>T</w:t>
      </w:r>
      <w:r w:rsidRPr="00A91221">
        <w:rPr>
          <w:i/>
        </w:rPr>
        <w:noBreakHyphen/>
        <w:t>1314 (0809) - CombinedAssistance - ERA- ABS</w:t>
      </w:r>
      <w:r>
        <w:rPr>
          <w:i/>
        </w:rPr>
        <w:t xml:space="preserve"> tariff estimates (Current.xlsx)</w:t>
      </w:r>
      <w:r w:rsidRPr="00891924">
        <w:t xml:space="preserve">. </w:t>
      </w:r>
      <w:r>
        <w:t>T</w:t>
      </w:r>
      <w:r w:rsidRPr="00891924">
        <w:t>he file name indicates that it includes the combined assistance estimates for 2013-14 that are benchmarked using the 2008-09 IO tables.</w:t>
      </w:r>
    </w:p>
  </w:footnote>
  <w:footnote w:id="15">
    <w:p w14:paraId="70DDAFD5" w14:textId="77777777" w:rsidR="00EE323B" w:rsidRPr="00EE323B" w:rsidRDefault="00EE323B" w:rsidP="00B03505">
      <w:pPr>
        <w:pStyle w:val="FootnoteText"/>
        <w:rPr>
          <w:spacing w:val="-4"/>
        </w:rPr>
      </w:pPr>
      <w:r>
        <w:rPr>
          <w:rStyle w:val="FootnoteReference"/>
        </w:rPr>
        <w:footnoteRef/>
      </w:r>
      <w:r>
        <w:tab/>
      </w:r>
      <w:r w:rsidRPr="00EE323B">
        <w:rPr>
          <w:spacing w:val="-4"/>
        </w:rPr>
        <w:t>Assistance that is ‘unallocated’ is categorised as either Primary Production, Manufacturing, Services, or Other.</w:t>
      </w:r>
    </w:p>
  </w:footnote>
  <w:footnote w:id="16">
    <w:p w14:paraId="70DDAFD6" w14:textId="77777777" w:rsidR="00EE323B" w:rsidRDefault="00EE323B" w:rsidP="00B03505">
      <w:pPr>
        <w:pStyle w:val="FootnoteText"/>
      </w:pPr>
      <w:r>
        <w:rPr>
          <w:rStyle w:val="FootnoteReference"/>
        </w:rPr>
        <w:footnoteRef/>
      </w:r>
      <w:r>
        <w:tab/>
        <w:t xml:space="preserve">The base tariff assistance values are found in the </w:t>
      </w:r>
      <w:r w:rsidRPr="008617A3">
        <w:rPr>
          <w:i/>
        </w:rPr>
        <w:t>T-1314 - Concordance - IOIG to PC-ANZSIC_IO200809.xlsm</w:t>
      </w:r>
      <w:r>
        <w:t xml:space="preserve"> workbook.</w:t>
      </w:r>
    </w:p>
  </w:footnote>
  <w:footnote w:id="17">
    <w:p w14:paraId="70DDAFD7" w14:textId="77777777" w:rsidR="00EE323B" w:rsidRPr="009916CB" w:rsidRDefault="00EE323B" w:rsidP="00B03505">
      <w:pPr>
        <w:pStyle w:val="FootnoteText"/>
        <w:rPr>
          <w:i/>
        </w:rPr>
      </w:pPr>
      <w:r>
        <w:rPr>
          <w:rStyle w:val="FootnoteReference"/>
        </w:rPr>
        <w:footnoteRef/>
      </w:r>
      <w:r>
        <w:tab/>
        <w:t xml:space="preserve">See section 2 for calculation of the adjustment factors. The adjustment factors are sourced from </w:t>
      </w:r>
      <w:r w:rsidRPr="009916CB">
        <w:rPr>
          <w:i/>
        </w:rPr>
        <w:t>T-1314 - Adjustment Factor.xlsm</w:t>
      </w:r>
      <w:r>
        <w:t>.</w:t>
      </w:r>
    </w:p>
  </w:footnote>
  <w:footnote w:id="18">
    <w:p w14:paraId="70DDAFD8" w14:textId="77777777" w:rsidR="00EE323B" w:rsidRDefault="00EE323B" w:rsidP="00B03505">
      <w:pPr>
        <w:pStyle w:val="FootnoteText"/>
      </w:pPr>
      <w:r>
        <w:rPr>
          <w:rStyle w:val="FootnoteReference"/>
        </w:rPr>
        <w:footnoteRef/>
      </w:r>
      <w:r>
        <w:tab/>
        <w:t xml:space="preserve">Budgetary assistance estimates are from </w:t>
      </w:r>
      <w:r w:rsidRPr="009916CB">
        <w:rPr>
          <w:i/>
        </w:rPr>
        <w:t>T-1314 - BA Work Book_Current.xlsx</w:t>
      </w:r>
      <w:r>
        <w:rPr>
          <w:i/>
        </w:rPr>
        <w:t>.</w:t>
      </w:r>
    </w:p>
  </w:footnote>
  <w:footnote w:id="19">
    <w:p w14:paraId="70DDAFD9" w14:textId="77777777" w:rsidR="00EE323B" w:rsidRDefault="00EE323B" w:rsidP="00603604">
      <w:pPr>
        <w:pStyle w:val="FootnoteText"/>
      </w:pPr>
      <w:r>
        <w:rPr>
          <w:rStyle w:val="FootnoteReference"/>
        </w:rPr>
        <w:footnoteRef/>
      </w:r>
      <w:r>
        <w:tab/>
        <w:t xml:space="preserve">The APEC tariff database is no longer available. </w:t>
      </w:r>
    </w:p>
  </w:footnote>
  <w:footnote w:id="20">
    <w:p w14:paraId="70DDAFDA" w14:textId="77777777" w:rsidR="00EE323B" w:rsidRDefault="00EE323B" w:rsidP="00603604">
      <w:pPr>
        <w:pStyle w:val="FootnoteText"/>
      </w:pPr>
      <w:r>
        <w:rPr>
          <w:rStyle w:val="FootnoteReference"/>
        </w:rPr>
        <w:footnoteRef/>
      </w:r>
      <w:r>
        <w:tab/>
        <w:t xml:space="preserve">The Commission’s combined assistance estimates are derived for 50 ANZSIC-based ‘industry groupings’ including four ‘unallocated’ groupings. For presentation in the </w:t>
      </w:r>
      <w:r w:rsidRPr="00EB3168">
        <w:rPr>
          <w:i/>
        </w:rPr>
        <w:t>Trade &amp; Assistance Review</w:t>
      </w:r>
      <w:r>
        <w:t xml:space="preserve"> these groupings are aggregated to the 38 industry groupings level.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E323B" w14:paraId="70DDAF86" w14:textId="77777777">
      <w:tc>
        <w:tcPr>
          <w:tcW w:w="2155" w:type="dxa"/>
          <w:tcBorders>
            <w:top w:val="single" w:sz="24" w:space="0" w:color="auto"/>
          </w:tcBorders>
        </w:tcPr>
        <w:p w14:paraId="70DDAF84" w14:textId="77777777" w:rsidR="00EE323B" w:rsidRDefault="00EE323B">
          <w:pPr>
            <w:pStyle w:val="HeaderEven"/>
          </w:pPr>
        </w:p>
      </w:tc>
      <w:tc>
        <w:tcPr>
          <w:tcW w:w="6634" w:type="dxa"/>
          <w:tcBorders>
            <w:top w:val="single" w:sz="6" w:space="0" w:color="auto"/>
          </w:tcBorders>
        </w:tcPr>
        <w:p w14:paraId="70DDAF85" w14:textId="77777777" w:rsidR="00EE323B" w:rsidRDefault="00EE323B">
          <w:pPr>
            <w:pStyle w:val="HeaderEven"/>
          </w:pPr>
        </w:p>
      </w:tc>
    </w:tr>
  </w:tbl>
  <w:p w14:paraId="70DDAF87" w14:textId="77777777" w:rsidR="00EE323B" w:rsidRDefault="00EE323B">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E323B" w14:paraId="70DDAFB6" w14:textId="77777777">
      <w:tc>
        <w:tcPr>
          <w:tcW w:w="2155" w:type="dxa"/>
          <w:tcBorders>
            <w:top w:val="single" w:sz="24" w:space="0" w:color="auto"/>
          </w:tcBorders>
        </w:tcPr>
        <w:p w14:paraId="70DDAFB4" w14:textId="77777777" w:rsidR="00EE323B" w:rsidRDefault="00EE323B" w:rsidP="0019293B">
          <w:pPr>
            <w:pStyle w:val="HeaderEven"/>
          </w:pPr>
        </w:p>
      </w:tc>
      <w:tc>
        <w:tcPr>
          <w:tcW w:w="6634" w:type="dxa"/>
          <w:tcBorders>
            <w:top w:val="single" w:sz="6" w:space="0" w:color="auto"/>
          </w:tcBorders>
        </w:tcPr>
        <w:p w14:paraId="70DDAFB5" w14:textId="77777777" w:rsidR="00EE323B" w:rsidRDefault="00EE323B" w:rsidP="0019293B">
          <w:pPr>
            <w:pStyle w:val="HeaderEven"/>
          </w:pPr>
        </w:p>
      </w:tc>
    </w:tr>
  </w:tbl>
  <w:p w14:paraId="70DDAFB7" w14:textId="77777777" w:rsidR="00EE323B" w:rsidRDefault="00EE323B" w:rsidP="0019293B">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E323B" w14:paraId="70DDAFBA" w14:textId="77777777">
      <w:tc>
        <w:tcPr>
          <w:tcW w:w="6634" w:type="dxa"/>
          <w:tcBorders>
            <w:top w:val="single" w:sz="6" w:space="0" w:color="auto"/>
          </w:tcBorders>
        </w:tcPr>
        <w:p w14:paraId="70DDAFB8" w14:textId="77777777" w:rsidR="00EE323B" w:rsidRDefault="00EE323B" w:rsidP="00E669E2">
          <w:pPr>
            <w:pStyle w:val="HeaderOdd"/>
          </w:pPr>
        </w:p>
      </w:tc>
      <w:tc>
        <w:tcPr>
          <w:tcW w:w="2155" w:type="dxa"/>
          <w:tcBorders>
            <w:top w:val="single" w:sz="24" w:space="0" w:color="auto"/>
          </w:tcBorders>
        </w:tcPr>
        <w:p w14:paraId="70DDAFB9" w14:textId="77777777" w:rsidR="00EE323B" w:rsidRDefault="00EE323B" w:rsidP="00E669E2">
          <w:pPr>
            <w:pStyle w:val="HeaderOdd"/>
          </w:pPr>
        </w:p>
      </w:tc>
    </w:tr>
  </w:tbl>
  <w:p w14:paraId="70DDAFBB" w14:textId="77777777" w:rsidR="00EE323B" w:rsidRDefault="00EE323B"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E323B" w14:paraId="7CE8A69C" w14:textId="77777777">
      <w:tc>
        <w:tcPr>
          <w:tcW w:w="2155" w:type="dxa"/>
          <w:tcBorders>
            <w:top w:val="single" w:sz="24" w:space="0" w:color="auto"/>
          </w:tcBorders>
        </w:tcPr>
        <w:p w14:paraId="2C6C9D14" w14:textId="77777777" w:rsidR="00EE323B" w:rsidRDefault="00EE323B">
          <w:pPr>
            <w:pStyle w:val="HeaderEven"/>
          </w:pPr>
        </w:p>
      </w:tc>
      <w:tc>
        <w:tcPr>
          <w:tcW w:w="6634" w:type="dxa"/>
          <w:tcBorders>
            <w:top w:val="single" w:sz="6" w:space="0" w:color="auto"/>
          </w:tcBorders>
        </w:tcPr>
        <w:p w14:paraId="5DD2D956" w14:textId="77777777" w:rsidR="00EE323B" w:rsidRDefault="00EE323B">
          <w:pPr>
            <w:pStyle w:val="HeaderEven"/>
          </w:pPr>
        </w:p>
      </w:tc>
    </w:tr>
  </w:tbl>
  <w:p w14:paraId="044C9DDF" w14:textId="77777777" w:rsidR="00EE323B" w:rsidRDefault="00EE32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E323B" w14:paraId="3ABAEAAB" w14:textId="77777777" w:rsidTr="00EE323B">
      <w:tc>
        <w:tcPr>
          <w:tcW w:w="6634" w:type="dxa"/>
          <w:tcBorders>
            <w:top w:val="single" w:sz="6" w:space="0" w:color="auto"/>
          </w:tcBorders>
        </w:tcPr>
        <w:p w14:paraId="0E5AC1FB" w14:textId="77777777" w:rsidR="00EE323B" w:rsidRDefault="00EE323B" w:rsidP="00EE323B">
          <w:pPr>
            <w:pStyle w:val="HeaderOdd"/>
          </w:pPr>
        </w:p>
      </w:tc>
      <w:tc>
        <w:tcPr>
          <w:tcW w:w="2155" w:type="dxa"/>
          <w:tcBorders>
            <w:top w:val="single" w:sz="24" w:space="0" w:color="auto"/>
          </w:tcBorders>
        </w:tcPr>
        <w:p w14:paraId="4AD078E6" w14:textId="77777777" w:rsidR="00EE323B" w:rsidRDefault="00EE323B" w:rsidP="00EE323B">
          <w:pPr>
            <w:pStyle w:val="HeaderOdd"/>
          </w:pPr>
        </w:p>
      </w:tc>
    </w:tr>
  </w:tbl>
  <w:p w14:paraId="2FC9772B" w14:textId="77777777" w:rsidR="00EE323B" w:rsidRDefault="00EE323B" w:rsidP="00EE32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DAF94" w14:textId="77777777" w:rsidR="00EE323B" w:rsidRDefault="00EE32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DAF95" w14:textId="77777777" w:rsidR="00EE323B" w:rsidRDefault="00EE32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EE323B" w14:paraId="70DDAF9C" w14:textId="77777777">
      <w:tc>
        <w:tcPr>
          <w:tcW w:w="2155" w:type="dxa"/>
          <w:tcBorders>
            <w:top w:val="single" w:sz="24" w:space="0" w:color="auto"/>
          </w:tcBorders>
        </w:tcPr>
        <w:p w14:paraId="70DDAF9A" w14:textId="77777777" w:rsidR="00EE323B" w:rsidRDefault="00EE323B">
          <w:pPr>
            <w:pStyle w:val="HeaderEven"/>
          </w:pPr>
        </w:p>
      </w:tc>
      <w:tc>
        <w:tcPr>
          <w:tcW w:w="6634" w:type="dxa"/>
          <w:tcBorders>
            <w:top w:val="single" w:sz="6" w:space="0" w:color="auto"/>
          </w:tcBorders>
        </w:tcPr>
        <w:p w14:paraId="70DDAF9B" w14:textId="77777777" w:rsidR="00EE323B" w:rsidRDefault="00EE323B">
          <w:pPr>
            <w:pStyle w:val="HeaderEven"/>
          </w:pPr>
        </w:p>
      </w:tc>
    </w:tr>
  </w:tbl>
  <w:p w14:paraId="70DDAF9D" w14:textId="77777777" w:rsidR="00EE323B" w:rsidRDefault="00EE32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E323B" w14:paraId="70DDAFA0" w14:textId="77777777">
      <w:tc>
        <w:tcPr>
          <w:tcW w:w="6634" w:type="dxa"/>
          <w:tcBorders>
            <w:top w:val="single" w:sz="6" w:space="0" w:color="auto"/>
          </w:tcBorders>
        </w:tcPr>
        <w:p w14:paraId="70DDAF9E" w14:textId="77777777" w:rsidR="00EE323B" w:rsidRDefault="00EE323B">
          <w:pPr>
            <w:pStyle w:val="HeaderOdd"/>
          </w:pPr>
        </w:p>
      </w:tc>
      <w:tc>
        <w:tcPr>
          <w:tcW w:w="2155" w:type="dxa"/>
          <w:tcBorders>
            <w:top w:val="single" w:sz="24" w:space="0" w:color="auto"/>
          </w:tcBorders>
        </w:tcPr>
        <w:p w14:paraId="70DDAF9F" w14:textId="77777777" w:rsidR="00EE323B" w:rsidRDefault="00EE323B">
          <w:pPr>
            <w:pStyle w:val="HeaderOdd"/>
          </w:pPr>
        </w:p>
      </w:tc>
    </w:tr>
  </w:tbl>
  <w:p w14:paraId="70DDAFA1" w14:textId="77777777" w:rsidR="00EE323B" w:rsidRDefault="00EE323B">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DAFAE" w14:textId="77777777" w:rsidR="00EE323B" w:rsidRDefault="00EE323B">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DAFAF" w14:textId="77777777" w:rsidR="00EE323B" w:rsidRDefault="00EE323B">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D146298"/>
    <w:multiLevelType w:val="hybridMultilevel"/>
    <w:tmpl w:val="594E5DBC"/>
    <w:lvl w:ilvl="0" w:tplc="C096C2B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3612BA"/>
    <w:multiLevelType w:val="hybridMultilevel"/>
    <w:tmpl w:val="A8E61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7632FA7"/>
    <w:multiLevelType w:val="hybridMultilevel"/>
    <w:tmpl w:val="657CDB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F737ABF"/>
    <w:multiLevelType w:val="hybridMultilevel"/>
    <w:tmpl w:val="E062C312"/>
    <w:lvl w:ilvl="0" w:tplc="6A92F11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48E366AA"/>
    <w:multiLevelType w:val="hybridMultilevel"/>
    <w:tmpl w:val="44944E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67E215B5"/>
    <w:multiLevelType w:val="hybridMultilevel"/>
    <w:tmpl w:val="E4260956"/>
    <w:lvl w:ilvl="0" w:tplc="0D3874F8">
      <w:start w:val="1"/>
      <w:numFmt w:val="decimal"/>
      <w:pStyle w:val="TableNumber"/>
      <w:lvlText w:val="%1."/>
      <w:lvlJc w:val="left"/>
      <w:pPr>
        <w:ind w:left="360" w:hanging="360"/>
      </w:pPr>
      <w:rPr>
        <w:rFonts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3"/>
  </w:num>
  <w:num w:numId="3">
    <w:abstractNumId w:val="19"/>
  </w:num>
  <w:num w:numId="4">
    <w:abstractNumId w:val="4"/>
  </w:num>
  <w:num w:numId="5">
    <w:abstractNumId w:val="24"/>
  </w:num>
  <w:num w:numId="6">
    <w:abstractNumId w:val="21"/>
  </w:num>
  <w:num w:numId="7">
    <w:abstractNumId w:val="9"/>
  </w:num>
  <w:num w:numId="8">
    <w:abstractNumId w:val="20"/>
  </w:num>
  <w:num w:numId="9">
    <w:abstractNumId w:val="8"/>
  </w:num>
  <w:num w:numId="10">
    <w:abstractNumId w:val="7"/>
  </w:num>
  <w:num w:numId="11">
    <w:abstractNumId w:val="12"/>
  </w:num>
  <w:num w:numId="12">
    <w:abstractNumId w:val="14"/>
  </w:num>
  <w:num w:numId="13">
    <w:abstractNumId w:val="5"/>
  </w:num>
  <w:num w:numId="14">
    <w:abstractNumId w:val="22"/>
  </w:num>
  <w:num w:numId="15">
    <w:abstractNumId w:val="26"/>
  </w:num>
  <w:num w:numId="16">
    <w:abstractNumId w:val="18"/>
  </w:num>
  <w:num w:numId="17">
    <w:abstractNumId w:val="27"/>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3"/>
  </w:num>
  <w:num w:numId="21">
    <w:abstractNumId w:val="10"/>
  </w:num>
  <w:num w:numId="22">
    <w:abstractNumId w:val="13"/>
  </w:num>
  <w:num w:numId="23">
    <w:abstractNumId w:val="25"/>
  </w:num>
  <w:num w:numId="24">
    <w:abstractNumId w:val="25"/>
    <w:lvlOverride w:ilvl="0">
      <w:startOverride w:val="1"/>
    </w:lvlOverride>
  </w:num>
  <w:num w:numId="25">
    <w:abstractNumId w:val="1"/>
  </w:num>
  <w:num w:numId="26">
    <w:abstractNumId w:val="17"/>
  </w:num>
  <w:num w:numId="27">
    <w:abstractNumId w:val="11"/>
  </w:num>
  <w:num w:numId="28">
    <w:abstractNumId w:val="15"/>
  </w:num>
  <w:num w:numId="2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TAR Process documentation"/>
    <w:docVar w:name="ShortReportTitle" w:val="TAR Process documentation"/>
  </w:docVars>
  <w:rsids>
    <w:rsidRoot w:val="00B03505"/>
    <w:rsid w:val="00006C32"/>
    <w:rsid w:val="0001333A"/>
    <w:rsid w:val="000227D5"/>
    <w:rsid w:val="00022CD8"/>
    <w:rsid w:val="000245AA"/>
    <w:rsid w:val="000340A7"/>
    <w:rsid w:val="0003664B"/>
    <w:rsid w:val="0004111F"/>
    <w:rsid w:val="00055077"/>
    <w:rsid w:val="000565B3"/>
    <w:rsid w:val="00063679"/>
    <w:rsid w:val="00064395"/>
    <w:rsid w:val="000655AD"/>
    <w:rsid w:val="0007033B"/>
    <w:rsid w:val="0007150B"/>
    <w:rsid w:val="000771C8"/>
    <w:rsid w:val="000836AD"/>
    <w:rsid w:val="00090C29"/>
    <w:rsid w:val="00090C3D"/>
    <w:rsid w:val="000938F5"/>
    <w:rsid w:val="00094B40"/>
    <w:rsid w:val="00095663"/>
    <w:rsid w:val="00096024"/>
    <w:rsid w:val="00096E55"/>
    <w:rsid w:val="0009783E"/>
    <w:rsid w:val="000A6361"/>
    <w:rsid w:val="000B1022"/>
    <w:rsid w:val="000B601B"/>
    <w:rsid w:val="000B778B"/>
    <w:rsid w:val="000B7FAF"/>
    <w:rsid w:val="000C207E"/>
    <w:rsid w:val="000C5F8A"/>
    <w:rsid w:val="000D41E9"/>
    <w:rsid w:val="000D466A"/>
    <w:rsid w:val="000F0035"/>
    <w:rsid w:val="000F04E7"/>
    <w:rsid w:val="000F060A"/>
    <w:rsid w:val="000F420B"/>
    <w:rsid w:val="000F539C"/>
    <w:rsid w:val="00100D2E"/>
    <w:rsid w:val="00105ACF"/>
    <w:rsid w:val="00110116"/>
    <w:rsid w:val="00113ED3"/>
    <w:rsid w:val="00120072"/>
    <w:rsid w:val="00126EB8"/>
    <w:rsid w:val="001274D4"/>
    <w:rsid w:val="001363AA"/>
    <w:rsid w:val="0013739A"/>
    <w:rsid w:val="00142165"/>
    <w:rsid w:val="00160B73"/>
    <w:rsid w:val="00162434"/>
    <w:rsid w:val="001821E1"/>
    <w:rsid w:val="00183E82"/>
    <w:rsid w:val="001878BB"/>
    <w:rsid w:val="00191AE0"/>
    <w:rsid w:val="0019293B"/>
    <w:rsid w:val="00192FF8"/>
    <w:rsid w:val="0019426B"/>
    <w:rsid w:val="001A6A4B"/>
    <w:rsid w:val="001B3D08"/>
    <w:rsid w:val="001C0865"/>
    <w:rsid w:val="001C0AED"/>
    <w:rsid w:val="001C3ABA"/>
    <w:rsid w:val="001C5111"/>
    <w:rsid w:val="001D18A1"/>
    <w:rsid w:val="001E2E15"/>
    <w:rsid w:val="001E7BE8"/>
    <w:rsid w:val="001F0248"/>
    <w:rsid w:val="001F3EB3"/>
    <w:rsid w:val="001F4F86"/>
    <w:rsid w:val="00202C2C"/>
    <w:rsid w:val="00203050"/>
    <w:rsid w:val="00204285"/>
    <w:rsid w:val="002135AB"/>
    <w:rsid w:val="002144BE"/>
    <w:rsid w:val="002409D7"/>
    <w:rsid w:val="00242279"/>
    <w:rsid w:val="00243997"/>
    <w:rsid w:val="0024516C"/>
    <w:rsid w:val="00245C82"/>
    <w:rsid w:val="00251886"/>
    <w:rsid w:val="00253F65"/>
    <w:rsid w:val="002724BA"/>
    <w:rsid w:val="00274EF2"/>
    <w:rsid w:val="002831F7"/>
    <w:rsid w:val="00291B40"/>
    <w:rsid w:val="00292341"/>
    <w:rsid w:val="002B4008"/>
    <w:rsid w:val="002B77A8"/>
    <w:rsid w:val="002C439F"/>
    <w:rsid w:val="002D0C42"/>
    <w:rsid w:val="002D0E8E"/>
    <w:rsid w:val="002E0CD5"/>
    <w:rsid w:val="002E20B3"/>
    <w:rsid w:val="00301189"/>
    <w:rsid w:val="0030124B"/>
    <w:rsid w:val="00301E4A"/>
    <w:rsid w:val="003168B8"/>
    <w:rsid w:val="00322D64"/>
    <w:rsid w:val="0032395A"/>
    <w:rsid w:val="00323E09"/>
    <w:rsid w:val="00333932"/>
    <w:rsid w:val="0033667E"/>
    <w:rsid w:val="003518AA"/>
    <w:rsid w:val="00352165"/>
    <w:rsid w:val="00353182"/>
    <w:rsid w:val="003565D9"/>
    <w:rsid w:val="003602E1"/>
    <w:rsid w:val="0037026F"/>
    <w:rsid w:val="00371240"/>
    <w:rsid w:val="00374731"/>
    <w:rsid w:val="00376E59"/>
    <w:rsid w:val="00377EC1"/>
    <w:rsid w:val="00380340"/>
    <w:rsid w:val="00387A68"/>
    <w:rsid w:val="003919F9"/>
    <w:rsid w:val="003920CF"/>
    <w:rsid w:val="003A7AE3"/>
    <w:rsid w:val="003B0ADF"/>
    <w:rsid w:val="003B23C2"/>
    <w:rsid w:val="003B32BF"/>
    <w:rsid w:val="003B53A5"/>
    <w:rsid w:val="003C38B5"/>
    <w:rsid w:val="003C5D99"/>
    <w:rsid w:val="003D1087"/>
    <w:rsid w:val="003E2F59"/>
    <w:rsid w:val="003E67CB"/>
    <w:rsid w:val="003E746B"/>
    <w:rsid w:val="003F0789"/>
    <w:rsid w:val="00401882"/>
    <w:rsid w:val="004100C8"/>
    <w:rsid w:val="00411DBD"/>
    <w:rsid w:val="00412ACE"/>
    <w:rsid w:val="004145D2"/>
    <w:rsid w:val="00426CB4"/>
    <w:rsid w:val="00431249"/>
    <w:rsid w:val="00433A51"/>
    <w:rsid w:val="00434BD9"/>
    <w:rsid w:val="00434C19"/>
    <w:rsid w:val="00437799"/>
    <w:rsid w:val="00437DEF"/>
    <w:rsid w:val="00444512"/>
    <w:rsid w:val="004448AA"/>
    <w:rsid w:val="00450810"/>
    <w:rsid w:val="00460F20"/>
    <w:rsid w:val="00461707"/>
    <w:rsid w:val="00462C59"/>
    <w:rsid w:val="00470737"/>
    <w:rsid w:val="00470AC4"/>
    <w:rsid w:val="00477144"/>
    <w:rsid w:val="00491380"/>
    <w:rsid w:val="0049459F"/>
    <w:rsid w:val="00496DB6"/>
    <w:rsid w:val="004A38DD"/>
    <w:rsid w:val="004A6F31"/>
    <w:rsid w:val="004B43AE"/>
    <w:rsid w:val="004B772E"/>
    <w:rsid w:val="004C30ED"/>
    <w:rsid w:val="004C5477"/>
    <w:rsid w:val="004D5675"/>
    <w:rsid w:val="004D7379"/>
    <w:rsid w:val="004E5D4F"/>
    <w:rsid w:val="004F387D"/>
    <w:rsid w:val="00503959"/>
    <w:rsid w:val="00517795"/>
    <w:rsid w:val="00523639"/>
    <w:rsid w:val="00525D8D"/>
    <w:rsid w:val="00531FE5"/>
    <w:rsid w:val="00532C7C"/>
    <w:rsid w:val="0053684D"/>
    <w:rsid w:val="005402FA"/>
    <w:rsid w:val="00546367"/>
    <w:rsid w:val="005729BD"/>
    <w:rsid w:val="00573437"/>
    <w:rsid w:val="00573BE3"/>
    <w:rsid w:val="00580154"/>
    <w:rsid w:val="00583C39"/>
    <w:rsid w:val="00586A90"/>
    <w:rsid w:val="00587F28"/>
    <w:rsid w:val="005909CF"/>
    <w:rsid w:val="00591E71"/>
    <w:rsid w:val="005A0BD3"/>
    <w:rsid w:val="005A0D41"/>
    <w:rsid w:val="005B2956"/>
    <w:rsid w:val="005D329F"/>
    <w:rsid w:val="005E1DBE"/>
    <w:rsid w:val="005F48ED"/>
    <w:rsid w:val="00603604"/>
    <w:rsid w:val="00606E78"/>
    <w:rsid w:val="00607BF1"/>
    <w:rsid w:val="00627FA4"/>
    <w:rsid w:val="00630D4D"/>
    <w:rsid w:val="00632A74"/>
    <w:rsid w:val="00654D42"/>
    <w:rsid w:val="00666E02"/>
    <w:rsid w:val="00685FD6"/>
    <w:rsid w:val="006A2BCC"/>
    <w:rsid w:val="006A4655"/>
    <w:rsid w:val="006B2B3C"/>
    <w:rsid w:val="006C1C71"/>
    <w:rsid w:val="006C1D81"/>
    <w:rsid w:val="006C7038"/>
    <w:rsid w:val="006D20ED"/>
    <w:rsid w:val="006E3205"/>
    <w:rsid w:val="006E5DE0"/>
    <w:rsid w:val="006E73EF"/>
    <w:rsid w:val="006F4117"/>
    <w:rsid w:val="007037D8"/>
    <w:rsid w:val="007079C9"/>
    <w:rsid w:val="00710F29"/>
    <w:rsid w:val="00714D4D"/>
    <w:rsid w:val="007153EA"/>
    <w:rsid w:val="007213B5"/>
    <w:rsid w:val="007266D3"/>
    <w:rsid w:val="00732029"/>
    <w:rsid w:val="00736A11"/>
    <w:rsid w:val="007456B9"/>
    <w:rsid w:val="00756CCB"/>
    <w:rsid w:val="007604BB"/>
    <w:rsid w:val="00772909"/>
    <w:rsid w:val="00785232"/>
    <w:rsid w:val="0079701E"/>
    <w:rsid w:val="007A21EB"/>
    <w:rsid w:val="007A3E45"/>
    <w:rsid w:val="007A42FB"/>
    <w:rsid w:val="007B1A93"/>
    <w:rsid w:val="007B6B10"/>
    <w:rsid w:val="007C36C9"/>
    <w:rsid w:val="007C5997"/>
    <w:rsid w:val="007C7C37"/>
    <w:rsid w:val="007D6401"/>
    <w:rsid w:val="007E01E4"/>
    <w:rsid w:val="007E748A"/>
    <w:rsid w:val="007E7A12"/>
    <w:rsid w:val="007F7107"/>
    <w:rsid w:val="00800D4C"/>
    <w:rsid w:val="0080291E"/>
    <w:rsid w:val="0081030F"/>
    <w:rsid w:val="00812F4A"/>
    <w:rsid w:val="0082087D"/>
    <w:rsid w:val="00835771"/>
    <w:rsid w:val="00842933"/>
    <w:rsid w:val="0086082C"/>
    <w:rsid w:val="00864ADC"/>
    <w:rsid w:val="00880153"/>
    <w:rsid w:val="00880F97"/>
    <w:rsid w:val="0088133A"/>
    <w:rsid w:val="00884236"/>
    <w:rsid w:val="0089285E"/>
    <w:rsid w:val="0089436C"/>
    <w:rsid w:val="008A347F"/>
    <w:rsid w:val="008A5657"/>
    <w:rsid w:val="008A7B7E"/>
    <w:rsid w:val="008C264E"/>
    <w:rsid w:val="008D365C"/>
    <w:rsid w:val="008D7622"/>
    <w:rsid w:val="008E6CAF"/>
    <w:rsid w:val="008F64F2"/>
    <w:rsid w:val="009021A6"/>
    <w:rsid w:val="009030BF"/>
    <w:rsid w:val="00903B52"/>
    <w:rsid w:val="0091032F"/>
    <w:rsid w:val="00914368"/>
    <w:rsid w:val="0093102F"/>
    <w:rsid w:val="00931076"/>
    <w:rsid w:val="0093171E"/>
    <w:rsid w:val="009345D9"/>
    <w:rsid w:val="00934B15"/>
    <w:rsid w:val="00940C87"/>
    <w:rsid w:val="00942B62"/>
    <w:rsid w:val="0095323B"/>
    <w:rsid w:val="00956A0C"/>
    <w:rsid w:val="00956BD9"/>
    <w:rsid w:val="00962489"/>
    <w:rsid w:val="00967CD3"/>
    <w:rsid w:val="00967E5A"/>
    <w:rsid w:val="00990C2C"/>
    <w:rsid w:val="009924D1"/>
    <w:rsid w:val="009A5171"/>
    <w:rsid w:val="009A7FDF"/>
    <w:rsid w:val="009C39F8"/>
    <w:rsid w:val="009E1844"/>
    <w:rsid w:val="009F0D1B"/>
    <w:rsid w:val="009F234C"/>
    <w:rsid w:val="009F5BBD"/>
    <w:rsid w:val="009F696D"/>
    <w:rsid w:val="009F6BC6"/>
    <w:rsid w:val="009F74EF"/>
    <w:rsid w:val="00A02826"/>
    <w:rsid w:val="00A116E5"/>
    <w:rsid w:val="00A15D5A"/>
    <w:rsid w:val="00A17328"/>
    <w:rsid w:val="00A22DAB"/>
    <w:rsid w:val="00A23A20"/>
    <w:rsid w:val="00A24443"/>
    <w:rsid w:val="00A268B9"/>
    <w:rsid w:val="00A2703A"/>
    <w:rsid w:val="00A33DFF"/>
    <w:rsid w:val="00A35115"/>
    <w:rsid w:val="00A36D9A"/>
    <w:rsid w:val="00A451DC"/>
    <w:rsid w:val="00A554AB"/>
    <w:rsid w:val="00A57062"/>
    <w:rsid w:val="00A616ED"/>
    <w:rsid w:val="00A67781"/>
    <w:rsid w:val="00A71F1E"/>
    <w:rsid w:val="00A761F9"/>
    <w:rsid w:val="00A92B53"/>
    <w:rsid w:val="00A94FA6"/>
    <w:rsid w:val="00A95116"/>
    <w:rsid w:val="00AA38F5"/>
    <w:rsid w:val="00AA49A0"/>
    <w:rsid w:val="00AA6710"/>
    <w:rsid w:val="00AB0681"/>
    <w:rsid w:val="00AC3A15"/>
    <w:rsid w:val="00AD520B"/>
    <w:rsid w:val="00AD7348"/>
    <w:rsid w:val="00AE3BCC"/>
    <w:rsid w:val="00AF4A6B"/>
    <w:rsid w:val="00B03505"/>
    <w:rsid w:val="00B0718B"/>
    <w:rsid w:val="00B131E8"/>
    <w:rsid w:val="00B20EB5"/>
    <w:rsid w:val="00B425C3"/>
    <w:rsid w:val="00B4373D"/>
    <w:rsid w:val="00B440AD"/>
    <w:rsid w:val="00B44695"/>
    <w:rsid w:val="00B479BB"/>
    <w:rsid w:val="00B53E7E"/>
    <w:rsid w:val="00B6342E"/>
    <w:rsid w:val="00B7113F"/>
    <w:rsid w:val="00B750FD"/>
    <w:rsid w:val="00B95D5F"/>
    <w:rsid w:val="00B9600B"/>
    <w:rsid w:val="00BA2BCF"/>
    <w:rsid w:val="00BA2C10"/>
    <w:rsid w:val="00BA449B"/>
    <w:rsid w:val="00BA5B14"/>
    <w:rsid w:val="00BA73B6"/>
    <w:rsid w:val="00BA7E27"/>
    <w:rsid w:val="00BB2603"/>
    <w:rsid w:val="00BB4FCD"/>
    <w:rsid w:val="00BC04E9"/>
    <w:rsid w:val="00BD13EA"/>
    <w:rsid w:val="00BE3808"/>
    <w:rsid w:val="00BE489E"/>
    <w:rsid w:val="00BF148F"/>
    <w:rsid w:val="00BF54B8"/>
    <w:rsid w:val="00BF67AC"/>
    <w:rsid w:val="00C03B88"/>
    <w:rsid w:val="00C062E9"/>
    <w:rsid w:val="00C07B64"/>
    <w:rsid w:val="00C13721"/>
    <w:rsid w:val="00C139BE"/>
    <w:rsid w:val="00C14FE4"/>
    <w:rsid w:val="00C16694"/>
    <w:rsid w:val="00C25086"/>
    <w:rsid w:val="00C3066D"/>
    <w:rsid w:val="00C4597D"/>
    <w:rsid w:val="00C52416"/>
    <w:rsid w:val="00C543F4"/>
    <w:rsid w:val="00C6291C"/>
    <w:rsid w:val="00C633CB"/>
    <w:rsid w:val="00C664CD"/>
    <w:rsid w:val="00C736B7"/>
    <w:rsid w:val="00C81D4A"/>
    <w:rsid w:val="00C8762C"/>
    <w:rsid w:val="00C938BA"/>
    <w:rsid w:val="00CA00F9"/>
    <w:rsid w:val="00CA2961"/>
    <w:rsid w:val="00CA3AEA"/>
    <w:rsid w:val="00CB50D7"/>
    <w:rsid w:val="00CB7177"/>
    <w:rsid w:val="00CB7CED"/>
    <w:rsid w:val="00CC070F"/>
    <w:rsid w:val="00CC09DA"/>
    <w:rsid w:val="00CC1998"/>
    <w:rsid w:val="00CC4946"/>
    <w:rsid w:val="00CC64A1"/>
    <w:rsid w:val="00CE4B47"/>
    <w:rsid w:val="00CF3B11"/>
    <w:rsid w:val="00CF47F6"/>
    <w:rsid w:val="00D270A4"/>
    <w:rsid w:val="00D31FE9"/>
    <w:rsid w:val="00D34E1B"/>
    <w:rsid w:val="00D376BA"/>
    <w:rsid w:val="00D434A0"/>
    <w:rsid w:val="00D450C5"/>
    <w:rsid w:val="00D45634"/>
    <w:rsid w:val="00D45F78"/>
    <w:rsid w:val="00D5568A"/>
    <w:rsid w:val="00D63D73"/>
    <w:rsid w:val="00D64452"/>
    <w:rsid w:val="00D66E1E"/>
    <w:rsid w:val="00D70696"/>
    <w:rsid w:val="00D75722"/>
    <w:rsid w:val="00D80CF5"/>
    <w:rsid w:val="00D84387"/>
    <w:rsid w:val="00D85C25"/>
    <w:rsid w:val="00DA5BBA"/>
    <w:rsid w:val="00DB26D2"/>
    <w:rsid w:val="00DB67C9"/>
    <w:rsid w:val="00DC0C95"/>
    <w:rsid w:val="00DC4F0B"/>
    <w:rsid w:val="00DD6580"/>
    <w:rsid w:val="00E01D7F"/>
    <w:rsid w:val="00E05C03"/>
    <w:rsid w:val="00E149B4"/>
    <w:rsid w:val="00E16BC0"/>
    <w:rsid w:val="00E17C72"/>
    <w:rsid w:val="00E2115D"/>
    <w:rsid w:val="00E21FC6"/>
    <w:rsid w:val="00E23241"/>
    <w:rsid w:val="00E23D3B"/>
    <w:rsid w:val="00E278AE"/>
    <w:rsid w:val="00E40BD6"/>
    <w:rsid w:val="00E431A9"/>
    <w:rsid w:val="00E45EDC"/>
    <w:rsid w:val="00E669E2"/>
    <w:rsid w:val="00E70B43"/>
    <w:rsid w:val="00E76135"/>
    <w:rsid w:val="00E82F4F"/>
    <w:rsid w:val="00E84CA3"/>
    <w:rsid w:val="00E864DF"/>
    <w:rsid w:val="00EB0D7C"/>
    <w:rsid w:val="00EB2CC3"/>
    <w:rsid w:val="00EB7B8C"/>
    <w:rsid w:val="00EC2844"/>
    <w:rsid w:val="00EC5500"/>
    <w:rsid w:val="00ED18F8"/>
    <w:rsid w:val="00ED41EE"/>
    <w:rsid w:val="00EE323B"/>
    <w:rsid w:val="00EE6EDA"/>
    <w:rsid w:val="00EE778E"/>
    <w:rsid w:val="00EF189E"/>
    <w:rsid w:val="00EF6719"/>
    <w:rsid w:val="00EF6C6C"/>
    <w:rsid w:val="00F056FC"/>
    <w:rsid w:val="00F0632F"/>
    <w:rsid w:val="00F069AE"/>
    <w:rsid w:val="00F10476"/>
    <w:rsid w:val="00F12718"/>
    <w:rsid w:val="00F135D8"/>
    <w:rsid w:val="00F138BA"/>
    <w:rsid w:val="00F31299"/>
    <w:rsid w:val="00F322C6"/>
    <w:rsid w:val="00F3421C"/>
    <w:rsid w:val="00F3534A"/>
    <w:rsid w:val="00F35BFB"/>
    <w:rsid w:val="00F36ACC"/>
    <w:rsid w:val="00F50C82"/>
    <w:rsid w:val="00F51609"/>
    <w:rsid w:val="00F55C25"/>
    <w:rsid w:val="00F5681B"/>
    <w:rsid w:val="00F5775D"/>
    <w:rsid w:val="00F65AD2"/>
    <w:rsid w:val="00F73727"/>
    <w:rsid w:val="00F764D3"/>
    <w:rsid w:val="00F766A7"/>
    <w:rsid w:val="00F81006"/>
    <w:rsid w:val="00F85325"/>
    <w:rsid w:val="00F93A2A"/>
    <w:rsid w:val="00FB125C"/>
    <w:rsid w:val="00FC6DAF"/>
    <w:rsid w:val="00FD0A03"/>
    <w:rsid w:val="00FD22B1"/>
    <w:rsid w:val="00FD33F1"/>
    <w:rsid w:val="00FD3566"/>
    <w:rsid w:val="00FE179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DDA9C3"/>
  <w15:docId w15:val="{32BA51AF-7F2F-4411-B5B4-4353B871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3505"/>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semiHidden/>
    <w:rsid w:val="00B03505"/>
    <w:rPr>
      <w:szCs w:val="24"/>
    </w:rPr>
  </w:style>
  <w:style w:type="character" w:customStyle="1" w:styleId="Heading3Char">
    <w:name w:val="Heading 3 Char"/>
    <w:basedOn w:val="DefaultParagraphFont"/>
    <w:link w:val="Heading3"/>
    <w:rsid w:val="00B03505"/>
    <w:rPr>
      <w:rFonts w:ascii="Arial" w:hAnsi="Arial"/>
      <w:b/>
      <w:sz w:val="26"/>
    </w:rPr>
  </w:style>
  <w:style w:type="paragraph" w:styleId="Bibliography">
    <w:name w:val="Bibliography"/>
    <w:basedOn w:val="Normal"/>
    <w:next w:val="Normal"/>
    <w:uiPriority w:val="37"/>
    <w:unhideWhenUsed/>
    <w:rsid w:val="00525D8D"/>
    <w:pPr>
      <w:spacing w:after="240"/>
      <w:ind w:left="720" w:hanging="720"/>
    </w:pPr>
  </w:style>
  <w:style w:type="paragraph" w:customStyle="1" w:styleId="TableNumber">
    <w:name w:val="Table Number"/>
    <w:basedOn w:val="TableBodyText"/>
    <w:rsid w:val="00437799"/>
    <w:pPr>
      <w:numPr>
        <w:numId w:val="23"/>
      </w:numPr>
      <w:jc w:val="left"/>
    </w:pPr>
  </w:style>
  <w:style w:type="character" w:styleId="Hyperlink">
    <w:name w:val="Hyperlink"/>
    <w:basedOn w:val="DefaultParagraphFont"/>
    <w:rsid w:val="00603604"/>
    <w:rPr>
      <w:color w:val="78A22F" w:themeColor="hyperlink"/>
      <w:u w:val="single"/>
    </w:rPr>
  </w:style>
  <w:style w:type="character" w:customStyle="1" w:styleId="ReferenceChar">
    <w:name w:val="Reference Char"/>
    <w:basedOn w:val="DefaultParagraphFont"/>
    <w:link w:val="Reference"/>
    <w:locked/>
    <w:rsid w:val="00603604"/>
    <w:rPr>
      <w:sz w:val="24"/>
    </w:rPr>
  </w:style>
  <w:style w:type="character" w:styleId="FollowedHyperlink">
    <w:name w:val="FollowedHyperlink"/>
    <w:basedOn w:val="DefaultParagraphFont"/>
    <w:rsid w:val="00603604"/>
    <w:rPr>
      <w:color w:val="387DD2" w:themeColor="followedHyperlink"/>
      <w:u w:val="single"/>
    </w:rPr>
  </w:style>
  <w:style w:type="paragraph" w:styleId="CommentSubject">
    <w:name w:val="annotation subject"/>
    <w:basedOn w:val="CommentText"/>
    <w:next w:val="CommentText"/>
    <w:link w:val="CommentSubjectChar"/>
    <w:rsid w:val="00603604"/>
    <w:pPr>
      <w:spacing w:before="0" w:line="240" w:lineRule="auto"/>
      <w:ind w:left="0" w:firstLine="0"/>
    </w:pPr>
    <w:rPr>
      <w:b/>
      <w:bCs/>
      <w:szCs w:val="20"/>
    </w:rPr>
  </w:style>
  <w:style w:type="character" w:customStyle="1" w:styleId="CommentSubjectChar">
    <w:name w:val="Comment Subject Char"/>
    <w:basedOn w:val="CommentTextChar"/>
    <w:link w:val="CommentSubject"/>
    <w:rsid w:val="00603604"/>
    <w:rPr>
      <w:b/>
      <w:bCs/>
      <w:szCs w:val="24"/>
    </w:rPr>
  </w:style>
  <w:style w:type="paragraph" w:styleId="Revision">
    <w:name w:val="Revision"/>
    <w:hidden/>
    <w:uiPriority w:val="99"/>
    <w:semiHidden/>
    <w:rsid w:val="00603604"/>
    <w:rPr>
      <w:sz w:val="24"/>
      <w:szCs w:val="24"/>
    </w:rPr>
  </w:style>
  <w:style w:type="paragraph" w:customStyle="1" w:styleId="quo">
    <w:name w:val="quo"/>
    <w:basedOn w:val="BodyText"/>
    <w:rsid w:val="000B778B"/>
  </w:style>
  <w:style w:type="character" w:customStyle="1" w:styleId="apple-converted-space">
    <w:name w:val="apple-converted-space"/>
    <w:basedOn w:val="DefaultParagraphFont"/>
    <w:rsid w:val="00AF4A6B"/>
  </w:style>
  <w:style w:type="paragraph" w:styleId="ListParagraph">
    <w:name w:val="List Paragraph"/>
    <w:basedOn w:val="Normal"/>
    <w:uiPriority w:val="34"/>
    <w:qFormat/>
    <w:rsid w:val="008A7B7E"/>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2055">
      <w:bodyDiv w:val="1"/>
      <w:marLeft w:val="0"/>
      <w:marRight w:val="0"/>
      <w:marTop w:val="0"/>
      <w:marBottom w:val="0"/>
      <w:divBdr>
        <w:top w:val="none" w:sz="0" w:space="0" w:color="auto"/>
        <w:left w:val="none" w:sz="0" w:space="0" w:color="auto"/>
        <w:bottom w:val="none" w:sz="0" w:space="0" w:color="auto"/>
        <w:right w:val="none" w:sz="0" w:space="0" w:color="auto"/>
      </w:divBdr>
    </w:div>
    <w:div w:id="895579494">
      <w:bodyDiv w:val="1"/>
      <w:marLeft w:val="0"/>
      <w:marRight w:val="0"/>
      <w:marTop w:val="0"/>
      <w:marBottom w:val="0"/>
      <w:divBdr>
        <w:top w:val="none" w:sz="0" w:space="0" w:color="auto"/>
        <w:left w:val="none" w:sz="0" w:space="0" w:color="auto"/>
        <w:bottom w:val="none" w:sz="0" w:space="0" w:color="auto"/>
        <w:right w:val="none" w:sz="0" w:space="0" w:color="auto"/>
      </w:divBdr>
    </w:div>
    <w:div w:id="1643461694">
      <w:bodyDiv w:val="1"/>
      <w:marLeft w:val="0"/>
      <w:marRight w:val="0"/>
      <w:marTop w:val="0"/>
      <w:marBottom w:val="0"/>
      <w:divBdr>
        <w:top w:val="none" w:sz="0" w:space="0" w:color="auto"/>
        <w:left w:val="none" w:sz="0" w:space="0" w:color="auto"/>
        <w:bottom w:val="none" w:sz="0" w:space="0" w:color="auto"/>
        <w:right w:val="none" w:sz="0" w:space="0" w:color="auto"/>
      </w:divBdr>
    </w:div>
    <w:div w:id="187985421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D32D2-901E-4A31-A22F-2C30AF5E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BCFB0B63.dotm</Template>
  <TotalTime>1</TotalTime>
  <Pages>41</Pages>
  <Words>10145</Words>
  <Characters>61558</Characters>
  <Application>Microsoft Office Word</Application>
  <DocSecurity>0</DocSecurity>
  <Lines>512</Lines>
  <Paragraphs>143</Paragraphs>
  <ScaleCrop>false</ScaleCrop>
  <HeadingPairs>
    <vt:vector size="2" baseType="variant">
      <vt:variant>
        <vt:lpstr>Title</vt:lpstr>
      </vt:variant>
      <vt:variant>
        <vt:i4>1</vt:i4>
      </vt:variant>
    </vt:vector>
  </HeadingPairs>
  <TitlesOfParts>
    <vt:vector size="1" baseType="lpstr">
      <vt:lpstr>Trade and Assistance Review Estimates User Guide</vt:lpstr>
    </vt:vector>
  </TitlesOfParts>
  <Manager/>
  <Company>Productivity Commission</Company>
  <LinksUpToDate>false</LinksUpToDate>
  <CharactersWithSpaces>71560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and Assistance Review Estimates User Guide</dc:title>
  <dc:subject/>
  <dc:creator>Productivity Commission</dc:creator>
  <cp:keywords/>
  <cp:lastModifiedBy>Productivity Commission</cp:lastModifiedBy>
  <cp:revision>2</cp:revision>
  <dcterms:created xsi:type="dcterms:W3CDTF">2020-05-07T01:23:00Z</dcterms:created>
  <dcterms:modified xsi:type="dcterms:W3CDTF">2020-05-07T04:17:00Z</dcterms:modified>
</cp:coreProperties>
</file>