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0EE48" w14:textId="349CBD49" w:rsidR="00A55C3A" w:rsidRDefault="00A55C3A" w:rsidP="00A55C3A">
      <w:pPr>
        <w:pStyle w:val="Heading1"/>
        <w:tabs>
          <w:tab w:val="left" w:pos="6317"/>
        </w:tabs>
        <w:ind w:left="0" w:firstLine="0"/>
      </w:pPr>
      <w:bookmarkStart w:id="0" w:name="begin"/>
      <w:bookmarkEnd w:id="0"/>
      <w:r>
        <w:tab/>
      </w:r>
      <w:bookmarkStart w:id="1" w:name="_GoBack"/>
      <w:bookmarkEnd w:id="1"/>
      <w:r>
        <w:rPr>
          <w:noProof/>
        </w:rPr>
        <w:drawing>
          <wp:anchor distT="0" distB="0" distL="114300" distR="114300" simplePos="0" relativeHeight="251658240" behindDoc="0" locked="0" layoutInCell="1" allowOverlap="1" wp14:anchorId="48B6DE97" wp14:editId="1F4C0244">
            <wp:simplePos x="1155700" y="-5796915"/>
            <wp:positionH relativeFrom="page">
              <wp:align>center</wp:align>
            </wp:positionH>
            <wp:positionV relativeFrom="page">
              <wp:align>center</wp:align>
            </wp:positionV>
            <wp:extent cx="7560000" cy="10692000"/>
            <wp:effectExtent l="0" t="0" r="3175" b="0"/>
            <wp:wrapNone/>
            <wp:docPr id="2" name="Picture 2" descr="Cover of the TAR User Guide: re-venchmarking tariff assistance estimates in 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research-note-cover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4E388EA" w14:textId="2808339B" w:rsidR="00A55C3A" w:rsidRPr="00A55C3A" w:rsidRDefault="00A55C3A" w:rsidP="00A55C3A">
      <w:pPr>
        <w:pStyle w:val="BodyText"/>
        <w:tabs>
          <w:tab w:val="left" w:pos="6317"/>
        </w:tabs>
        <w:sectPr w:rsidR="00A55C3A" w:rsidRPr="00A55C3A" w:rsidSect="006D7F1C">
          <w:headerReference w:type="even" r:id="rId9"/>
          <w:headerReference w:type="default" r:id="rId10"/>
          <w:footerReference w:type="even" r:id="rId11"/>
          <w:footerReference w:type="default" r:id="rId12"/>
          <w:headerReference w:type="first" r:id="rId13"/>
          <w:footerReference w:type="first" r:id="rId14"/>
          <w:pgSz w:w="11907" w:h="16840" w:code="9"/>
          <w:pgMar w:top="1985" w:right="1304" w:bottom="1418" w:left="1814" w:header="1701" w:footer="567" w:gutter="0"/>
          <w:pgNumType w:chapSep="period"/>
          <w:cols w:space="720"/>
        </w:sectPr>
      </w:pPr>
      <w:r>
        <w:tab/>
      </w:r>
    </w:p>
    <w:p w14:paraId="05772A9A" w14:textId="77B8F160" w:rsidR="006A2BCC" w:rsidRPr="001B3D08" w:rsidRDefault="00F93F0C" w:rsidP="00F26CAF">
      <w:pPr>
        <w:pStyle w:val="Heading1"/>
        <w:ind w:left="0" w:firstLine="0"/>
      </w:pPr>
      <w:r>
        <w:lastRenderedPageBreak/>
        <w:t>TAR</w:t>
      </w:r>
      <w:r w:rsidR="006A2BCC" w:rsidRPr="001B3D08">
        <w:t xml:space="preserve"> </w:t>
      </w:r>
      <w:r w:rsidR="006D7F1C">
        <w:t>U</w:t>
      </w:r>
      <w:r w:rsidR="006A2BCC" w:rsidRPr="001B3D08">
        <w:t xml:space="preserve">ser </w:t>
      </w:r>
      <w:r w:rsidR="006D7F1C">
        <w:t>G</w:t>
      </w:r>
      <w:r w:rsidR="006A2BCC" w:rsidRPr="001B3D08">
        <w:t>uide</w:t>
      </w:r>
      <w:r w:rsidR="003B27C7">
        <w:t>:</w:t>
      </w:r>
      <w:r>
        <w:t xml:space="preserve"> re</w:t>
      </w:r>
      <w:r>
        <w:noBreakHyphen/>
        <w:t xml:space="preserve">benchmarking </w:t>
      </w:r>
      <w:r w:rsidR="007D1F8B">
        <w:t>tariff assistance</w:t>
      </w:r>
      <w:r w:rsidR="00D73306">
        <w:t xml:space="preserve"> estimates</w:t>
      </w:r>
      <w:r w:rsidR="007D1F8B">
        <w:t xml:space="preserve"> in </w:t>
      </w:r>
      <w:r w:rsidR="007D1F8B" w:rsidRPr="007D1F8B">
        <w:t>T</w:t>
      </w:r>
      <w:r w:rsidR="007D1F8B">
        <w:t>AR</w:t>
      </w:r>
    </w:p>
    <w:p w14:paraId="5A996DB2" w14:textId="21600FC1" w:rsidR="00210572" w:rsidRDefault="00E8082B" w:rsidP="00210572">
      <w:pPr>
        <w:pStyle w:val="BodyText"/>
      </w:pPr>
      <w:r>
        <w:t>The</w:t>
      </w:r>
      <w:r w:rsidR="00210572">
        <w:t xml:space="preserve"> Productivity Commission is required </w:t>
      </w:r>
      <w:r>
        <w:t xml:space="preserve">under its Act </w:t>
      </w:r>
      <w:r w:rsidR="00210572">
        <w:t xml:space="preserve">to report annually on industry assistance and its effects on the economy. </w:t>
      </w:r>
      <w:r w:rsidR="00646CD8">
        <w:t>In</w:t>
      </w:r>
      <w:r w:rsidR="00210572">
        <w:t xml:space="preserve"> fulfilling this function, the Commission publishes estimates of assistance to Australian industry </w:t>
      </w:r>
      <w:r w:rsidR="00646CD8">
        <w:t>annually</w:t>
      </w:r>
      <w:r w:rsidR="00210572">
        <w:t xml:space="preserve"> in its </w:t>
      </w:r>
      <w:r w:rsidR="00210572" w:rsidRPr="00DE67A4">
        <w:rPr>
          <w:i/>
        </w:rPr>
        <w:t>Trade &amp; Assistance Review</w:t>
      </w:r>
      <w:r>
        <w:t xml:space="preserve"> (TAR).</w:t>
      </w:r>
      <w:r w:rsidR="00210572">
        <w:t xml:space="preserve"> </w:t>
      </w:r>
    </w:p>
    <w:p w14:paraId="4B123AC7" w14:textId="5AB9035F" w:rsidR="00210572" w:rsidRDefault="00210572" w:rsidP="00210572">
      <w:pPr>
        <w:pStyle w:val="BodyText"/>
      </w:pPr>
      <w:r>
        <w:t xml:space="preserve">The estimates focus on the main forms of support — tariffs, budgetary outlays and tax concessions — that </w:t>
      </w:r>
      <w:r w:rsidRPr="004F4B3E">
        <w:rPr>
          <w:i/>
        </w:rPr>
        <w:t>selectively</w:t>
      </w:r>
      <w:r>
        <w:t xml:space="preserve"> assist firms, activities or industries and that can be quantified on an annual basis</w:t>
      </w:r>
      <w:r w:rsidR="00646CD8">
        <w:t>, subject to</w:t>
      </w:r>
      <w:r>
        <w:t xml:space="preserve"> practical constraints in measurement and data availability. </w:t>
      </w:r>
    </w:p>
    <w:p w14:paraId="1565BA77" w14:textId="6CC58584" w:rsidR="00210572" w:rsidRDefault="00210572" w:rsidP="00210572">
      <w:pPr>
        <w:pStyle w:val="BodyText"/>
      </w:pPr>
      <w:r>
        <w:t xml:space="preserve">The calculation of assistance through budgetary </w:t>
      </w:r>
      <w:r w:rsidR="002C0F6D">
        <w:t>outlays and tax concessions</w:t>
      </w:r>
      <w:r>
        <w:t xml:space="preserve"> requires collecting and processing of data on Australian Government budgetary assistance programs, and allocating them to industry. The allocation follows </w:t>
      </w:r>
      <w:r w:rsidR="00646CD8">
        <w:t xml:space="preserve">the </w:t>
      </w:r>
      <w:r>
        <w:t>criteria and process</w:t>
      </w:r>
      <w:r w:rsidR="00646CD8">
        <w:t>es</w:t>
      </w:r>
      <w:r>
        <w:t xml:space="preserve"> described in details in </w:t>
      </w:r>
      <w:r w:rsidR="00646CD8">
        <w:t xml:space="preserve">the </w:t>
      </w:r>
      <w:r w:rsidRPr="007203E0">
        <w:rPr>
          <w:i/>
        </w:rPr>
        <w:t>TAR User Guide</w:t>
      </w:r>
      <w:r>
        <w:t xml:space="preserve"> (PC 2016). </w:t>
      </w:r>
    </w:p>
    <w:p w14:paraId="7AAF165B" w14:textId="62BE887E" w:rsidR="00210572" w:rsidRDefault="00210572" w:rsidP="00210572">
      <w:pPr>
        <w:pStyle w:val="BodyText"/>
      </w:pPr>
      <w:r>
        <w:t xml:space="preserve">The calculation of tariff assistance requires data on industry inputs, or cost structures. </w:t>
      </w:r>
      <w:r w:rsidR="00646CD8">
        <w:t>T</w:t>
      </w:r>
      <w:r w:rsidR="000F540F">
        <w:t>he</w:t>
      </w:r>
      <w:r>
        <w:t xml:space="preserve"> estimation </w:t>
      </w:r>
      <w:r w:rsidR="00646CD8">
        <w:t xml:space="preserve">calls upon the use of </w:t>
      </w:r>
      <w:r>
        <w:t>ABS input</w:t>
      </w:r>
      <w:r w:rsidR="00E8082B">
        <w:noBreakHyphen/>
      </w:r>
      <w:r>
        <w:t xml:space="preserve">output (IO) tables. </w:t>
      </w:r>
    </w:p>
    <w:p w14:paraId="6A1F2854" w14:textId="75E7C7B4" w:rsidR="00210572" w:rsidRDefault="00285E2E" w:rsidP="0092658B">
      <w:pPr>
        <w:pStyle w:val="BodyText"/>
      </w:pPr>
      <w:r>
        <w:t>T</w:t>
      </w:r>
      <w:r w:rsidR="000F540F">
        <w:t xml:space="preserve">he </w:t>
      </w:r>
      <w:r w:rsidR="00210572">
        <w:t xml:space="preserve">estimates are derived in </w:t>
      </w:r>
      <w:r w:rsidR="000F540F">
        <w:t xml:space="preserve">a </w:t>
      </w:r>
      <w:r w:rsidR="00210572">
        <w:t>‘series’</w:t>
      </w:r>
      <w:r w:rsidR="000F540F">
        <w:t>,</w:t>
      </w:r>
      <w:r w:rsidR="00210572">
        <w:t xml:space="preserve"> spanning a number of consecutive years</w:t>
      </w:r>
      <w:r w:rsidR="000F540F">
        <w:t xml:space="preserve"> </w:t>
      </w:r>
      <w:r w:rsidR="00646CD8">
        <w:t xml:space="preserve">that are </w:t>
      </w:r>
      <w:r w:rsidR="000F540F">
        <w:t>anchored to one IO structure</w:t>
      </w:r>
      <w:r w:rsidR="00210572">
        <w:t xml:space="preserve">. The estimates reflect changes in tariff rates, </w:t>
      </w:r>
      <w:r w:rsidR="00646CD8">
        <w:t xml:space="preserve">but assume that  </w:t>
      </w:r>
      <w:r w:rsidR="00210572">
        <w:t>the structure</w:t>
      </w:r>
      <w:r w:rsidR="00646CD8">
        <w:t>s</w:t>
      </w:r>
      <w:r w:rsidR="00210572">
        <w:t xml:space="preserve"> of trade and of the economy</w:t>
      </w:r>
      <w:r w:rsidR="00646CD8">
        <w:t xml:space="preserve"> do not change</w:t>
      </w:r>
      <w:r w:rsidR="00210572">
        <w:t xml:space="preserve">. </w:t>
      </w:r>
      <w:r w:rsidR="000F540F">
        <w:t>The</w:t>
      </w:r>
      <w:r>
        <w:t>y</w:t>
      </w:r>
      <w:r w:rsidR="000F540F">
        <w:t xml:space="preserve"> </w:t>
      </w:r>
      <w:r>
        <w:t xml:space="preserve">are calculated in </w:t>
      </w:r>
      <w:r w:rsidR="000D6C3B">
        <w:t>constant</w:t>
      </w:r>
      <w:r>
        <w:t xml:space="preserve"> base year</w:t>
      </w:r>
      <w:r w:rsidR="000D6C3B">
        <w:t xml:space="preserve"> values</w:t>
      </w:r>
      <w:r>
        <w:t>, and are</w:t>
      </w:r>
      <w:r w:rsidR="000F540F">
        <w:t xml:space="preserve"> </w:t>
      </w:r>
      <w:r w:rsidR="00285D16">
        <w:t xml:space="preserve">later </w:t>
      </w:r>
      <w:r w:rsidR="000F540F">
        <w:t xml:space="preserve">updated to current values. </w:t>
      </w:r>
      <w:r w:rsidR="00210572">
        <w:t xml:space="preserve">This updating process is described in details </w:t>
      </w:r>
      <w:r w:rsidR="00DC63C6">
        <w:t xml:space="preserve">in the </w:t>
      </w:r>
      <w:r w:rsidR="00210572" w:rsidRPr="007203E0">
        <w:rPr>
          <w:i/>
        </w:rPr>
        <w:t>TAR User Guide</w:t>
      </w:r>
      <w:r w:rsidR="00210572">
        <w:t xml:space="preserve"> (PC 2016). </w:t>
      </w:r>
    </w:p>
    <w:p w14:paraId="65B72410" w14:textId="4A117088" w:rsidR="00210572" w:rsidRDefault="00210572" w:rsidP="00210572">
      <w:pPr>
        <w:pStyle w:val="BodyText"/>
      </w:pPr>
      <w:r>
        <w:t>Periodically, the process is ‘re-benchmarked’ to align with the latest input-output and trade data.</w:t>
      </w:r>
      <w:r w:rsidR="00E47184">
        <w:t xml:space="preserve"> </w:t>
      </w:r>
      <w:r>
        <w:t>The latest re</w:t>
      </w:r>
      <w:r>
        <w:noBreakHyphen/>
        <w:t>benchmarking of tariff assistance was undertaken for TAR 2015</w:t>
      </w:r>
      <w:r>
        <w:noBreakHyphen/>
        <w:t>16, producing tariff assistance estimates re</w:t>
      </w:r>
      <w:r>
        <w:noBreakHyphen/>
        <w:t>benchmarked to 2013</w:t>
      </w:r>
      <w:r>
        <w:noBreakHyphen/>
        <w:t xml:space="preserve">14 IO data. </w:t>
      </w:r>
    </w:p>
    <w:p w14:paraId="3DEF71FF" w14:textId="7FD839F4" w:rsidR="00210572" w:rsidRDefault="00285E2E" w:rsidP="00210572">
      <w:pPr>
        <w:pStyle w:val="BodyText"/>
      </w:pPr>
      <w:r>
        <w:t>T</w:t>
      </w:r>
      <w:r w:rsidR="00210572">
        <w:t>he current paper documents the re</w:t>
      </w:r>
      <w:r w:rsidR="00210572">
        <w:noBreakHyphen/>
        <w:t xml:space="preserve">benchmarking process. </w:t>
      </w:r>
      <w:r>
        <w:t xml:space="preserve">Building on the </w:t>
      </w:r>
      <w:r w:rsidR="00DC63C6" w:rsidRPr="002E7E3B">
        <w:rPr>
          <w:i/>
        </w:rPr>
        <w:t>TAR User Guide</w:t>
      </w:r>
      <w:r>
        <w:t xml:space="preserve"> (</w:t>
      </w:r>
      <w:r w:rsidR="00181554">
        <w:t>PC </w:t>
      </w:r>
      <w:r>
        <w:t>2016), i</w:t>
      </w:r>
      <w:r w:rsidR="00210572" w:rsidRPr="008C00FE">
        <w:t>t provides a link between TAR framework documents and the procedure</w:t>
      </w:r>
      <w:r w:rsidR="00210572">
        <w:t>s</w:t>
      </w:r>
      <w:r w:rsidR="00210572" w:rsidRPr="008C00FE">
        <w:t xml:space="preserve"> by which the methodology is applied. </w:t>
      </w:r>
      <w:r w:rsidR="00210572">
        <w:t>The document</w:t>
      </w:r>
      <w:r w:rsidR="00210572" w:rsidRPr="00181156">
        <w:t xml:space="preserve"> </w:t>
      </w:r>
      <w:r w:rsidR="00210572">
        <w:t xml:space="preserve">explains the concepts and data used </w:t>
      </w:r>
      <w:r>
        <w:t>for re</w:t>
      </w:r>
      <w:r>
        <w:noBreakHyphen/>
        <w:t xml:space="preserve">benchmarking </w:t>
      </w:r>
      <w:r w:rsidR="00210572">
        <w:t xml:space="preserve">and the application of the two Commission models which are specifically designed for </w:t>
      </w:r>
      <w:r w:rsidR="00E8082B">
        <w:t xml:space="preserve">the </w:t>
      </w:r>
      <w:r w:rsidR="00210572">
        <w:t>re</w:t>
      </w:r>
      <w:r w:rsidR="00210572">
        <w:noBreakHyphen/>
        <w:t>benchmarking exercise.</w:t>
      </w:r>
    </w:p>
    <w:p w14:paraId="5FA2F78E" w14:textId="59003971" w:rsidR="00181554" w:rsidRDefault="00891AFD" w:rsidP="00210572">
      <w:pPr>
        <w:pStyle w:val="BodyText"/>
      </w:pPr>
      <w:r>
        <w:t>A</w:t>
      </w:r>
      <w:r w:rsidR="00181554">
        <w:t xml:space="preserve">ssistance estimates are prepared within the framework of the effective rates of assistance (ERA) model. </w:t>
      </w:r>
      <w:r>
        <w:t>In addition to</w:t>
      </w:r>
      <w:r w:rsidR="00181554">
        <w:t xml:space="preserve"> measures</w:t>
      </w:r>
      <w:r>
        <w:t xml:space="preserve"> of assistance</w:t>
      </w:r>
      <w:r w:rsidR="00181554">
        <w:t xml:space="preserve">, the ERA model </w:t>
      </w:r>
      <w:r>
        <w:t xml:space="preserve">requires a </w:t>
      </w:r>
      <w:r w:rsidR="003666F0">
        <w:t xml:space="preserve">measure of unassisted value added, </w:t>
      </w:r>
      <w:r>
        <w:t>which is</w:t>
      </w:r>
      <w:r w:rsidR="003666F0">
        <w:t xml:space="preserve"> described in the </w:t>
      </w:r>
      <w:r w:rsidR="003666F0" w:rsidRPr="007203E0">
        <w:rPr>
          <w:i/>
        </w:rPr>
        <w:t>TAR User Guide</w:t>
      </w:r>
      <w:r w:rsidR="003666F0">
        <w:t xml:space="preserve"> (PC 2016).</w:t>
      </w:r>
    </w:p>
    <w:p w14:paraId="25F52AF7" w14:textId="20B14C1B" w:rsidR="00210572" w:rsidRDefault="00210572" w:rsidP="00210572">
      <w:pPr>
        <w:pStyle w:val="BodyText"/>
      </w:pPr>
      <w:r>
        <w:lastRenderedPageBreak/>
        <w:t xml:space="preserve">The </w:t>
      </w:r>
      <w:r w:rsidR="00B8567A">
        <w:t xml:space="preserve">document </w:t>
      </w:r>
      <w:r>
        <w:t>does not describe</w:t>
      </w:r>
      <w:r w:rsidRPr="002213BE">
        <w:t xml:space="preserve"> the actual implementation of the estimation process </w:t>
      </w:r>
      <w:r w:rsidR="00E8082B">
        <w:t>which</w:t>
      </w:r>
      <w:r w:rsidRPr="002213BE">
        <w:t xml:space="preserve"> is already </w:t>
      </w:r>
      <w:r w:rsidR="00B8567A">
        <w:t>available</w:t>
      </w:r>
      <w:r w:rsidR="00B8567A" w:rsidRPr="002213BE">
        <w:t xml:space="preserve"> </w:t>
      </w:r>
      <w:r w:rsidRPr="002213BE">
        <w:t xml:space="preserve">in earlier TAR </w:t>
      </w:r>
      <w:r>
        <w:t>publications</w:t>
      </w:r>
      <w:r w:rsidRPr="002213BE">
        <w:t>.</w:t>
      </w:r>
      <w:r>
        <w:rPr>
          <w:rStyle w:val="FootnoteReference"/>
        </w:rPr>
        <w:footnoteReference w:id="2"/>
      </w:r>
    </w:p>
    <w:p w14:paraId="2689D991" w14:textId="7F643BA9" w:rsidR="00072FEE" w:rsidRPr="002213BE" w:rsidRDefault="00210572" w:rsidP="00072FEE">
      <w:pPr>
        <w:pStyle w:val="BodyText"/>
      </w:pPr>
      <w:r w:rsidRPr="002213BE">
        <w:t>The document start</w:t>
      </w:r>
      <w:r>
        <w:t>s with</w:t>
      </w:r>
      <w:r w:rsidRPr="002213BE">
        <w:t xml:space="preserve"> a short review of what constitutes tariff assistance in TAR. The next section provides a</w:t>
      </w:r>
      <w:r>
        <w:t>n overview of the</w:t>
      </w:r>
      <w:r w:rsidRPr="002213BE">
        <w:t xml:space="preserve"> re</w:t>
      </w:r>
      <w:r w:rsidRPr="002213BE">
        <w:noBreakHyphen/>
        <w:t xml:space="preserve">benchmarking process and the stages involved. Section 3 details </w:t>
      </w:r>
      <w:r w:rsidR="00DC63C6">
        <w:t>the</w:t>
      </w:r>
      <w:r w:rsidR="00DC63C6" w:rsidRPr="002213BE">
        <w:t xml:space="preserve"> </w:t>
      </w:r>
      <w:r w:rsidRPr="002213BE">
        <w:t>data used</w:t>
      </w:r>
      <w:r w:rsidR="00DC63C6">
        <w:t>,</w:t>
      </w:r>
      <w:r w:rsidRPr="002213BE">
        <w:t xml:space="preserve"> their processing and </w:t>
      </w:r>
      <w:r w:rsidR="00B8567A">
        <w:t xml:space="preserve">the derivation of </w:t>
      </w:r>
      <w:r w:rsidRPr="002213BE">
        <w:t>the price impact of tariffs, expressed as price distortion vectors</w:t>
      </w:r>
      <w:r w:rsidR="00B8567A">
        <w:t>. The</w:t>
      </w:r>
      <w:r w:rsidR="00DC63C6">
        <w:t>se</w:t>
      </w:r>
      <w:r w:rsidR="00B8567A">
        <w:t xml:space="preserve"> vectors are outputs from </w:t>
      </w:r>
      <w:r w:rsidR="00DC63C6">
        <w:t xml:space="preserve">the </w:t>
      </w:r>
      <w:r w:rsidR="00020B80" w:rsidRPr="00327B61">
        <w:t>Tariff and Import Database and Estimating System</w:t>
      </w:r>
      <w:r w:rsidR="00020B80">
        <w:t xml:space="preserve"> </w:t>
      </w:r>
      <w:r>
        <w:t>(TIDES) model</w:t>
      </w:r>
      <w:r w:rsidRPr="002213BE">
        <w:t xml:space="preserve">. </w:t>
      </w:r>
      <w:r w:rsidR="00DC63C6">
        <w:t xml:space="preserve">Section 4 documents how the </w:t>
      </w:r>
      <w:r w:rsidR="00072FEE">
        <w:t xml:space="preserve">price vectors, together with ABS IO tables are </w:t>
      </w:r>
      <w:r w:rsidR="007F0AFD">
        <w:t xml:space="preserve">used in </w:t>
      </w:r>
      <w:r w:rsidR="00DC63C6">
        <w:t xml:space="preserve">the </w:t>
      </w:r>
      <w:r w:rsidR="00072FEE">
        <w:t xml:space="preserve">Trade Assistance Model (TAM) to produce </w:t>
      </w:r>
      <w:r w:rsidR="007F0AFD">
        <w:t xml:space="preserve">the published estimates of </w:t>
      </w:r>
      <w:r w:rsidR="00072FEE" w:rsidRPr="002213BE">
        <w:t xml:space="preserve">output and input tariff assistance </w:t>
      </w:r>
      <w:r w:rsidR="00072FEE">
        <w:t>by industry.</w:t>
      </w:r>
    </w:p>
    <w:p w14:paraId="05772AA0" w14:textId="4948FF4E" w:rsidR="00981057" w:rsidRPr="00D90F9F" w:rsidRDefault="00F445AF" w:rsidP="00981057">
      <w:pPr>
        <w:pStyle w:val="Heading2"/>
      </w:pPr>
      <w:r>
        <w:t>1</w:t>
      </w:r>
      <w:r w:rsidR="00981057" w:rsidRPr="00526428">
        <w:tab/>
      </w:r>
      <w:r w:rsidR="00981057">
        <w:t xml:space="preserve">The concept of tariff assistance as used </w:t>
      </w:r>
      <w:r w:rsidR="00981057" w:rsidRPr="00E93B5D">
        <w:t>in TAR</w:t>
      </w:r>
    </w:p>
    <w:p w14:paraId="05772AA1" w14:textId="2B9C8328" w:rsidR="00981057" w:rsidRDefault="007F0AFD" w:rsidP="00981057">
      <w:pPr>
        <w:pStyle w:val="BodyText"/>
      </w:pPr>
      <w:r>
        <w:t>E</w:t>
      </w:r>
      <w:r w:rsidR="00981057">
        <w:t xml:space="preserve">stimates of tariff assistance are divided into two parts —assistance </w:t>
      </w:r>
      <w:r w:rsidR="00E47184">
        <w:t xml:space="preserve">on outputs </w:t>
      </w:r>
      <w:r w:rsidR="00981057">
        <w:t xml:space="preserve">and input assistance. </w:t>
      </w:r>
    </w:p>
    <w:p w14:paraId="05772AA2" w14:textId="77777777" w:rsidR="00981057" w:rsidRDefault="00981057" w:rsidP="00981057">
      <w:pPr>
        <w:pStyle w:val="BodyText"/>
      </w:pPr>
      <w:r>
        <w:t>Tariff assistance on outputs also has two parts:</w:t>
      </w:r>
    </w:p>
    <w:p w14:paraId="05772AA3" w14:textId="488C408B" w:rsidR="00981057" w:rsidRDefault="00981057" w:rsidP="00981057">
      <w:pPr>
        <w:pStyle w:val="ListBullet"/>
      </w:pPr>
      <w:r>
        <w:t>for imported goods, the increase in c</w:t>
      </w:r>
      <w:r w:rsidR="007F7C2F">
        <w:t xml:space="preserve">osts </w:t>
      </w:r>
      <w:r w:rsidR="00D73306">
        <w:t xml:space="preserve">that </w:t>
      </w:r>
      <w:r w:rsidR="007F7C2F">
        <w:t>is attributable to tariffs;</w:t>
      </w:r>
      <w:r w:rsidR="00A377C5">
        <w:t xml:space="preserve"> and</w:t>
      </w:r>
    </w:p>
    <w:p w14:paraId="05772AA4" w14:textId="3B346D8A" w:rsidR="00981057" w:rsidRDefault="00981057" w:rsidP="00981057">
      <w:pPr>
        <w:pStyle w:val="ListBullet"/>
      </w:pPr>
      <w:r>
        <w:t>recognising that tariff assistance enable</w:t>
      </w:r>
      <w:r w:rsidR="00E8082B">
        <w:t>s</w:t>
      </w:r>
      <w:r>
        <w:t xml:space="preserve"> domestic producers to increase the</w:t>
      </w:r>
      <w:r w:rsidR="00853EAD">
        <w:t>ir</w:t>
      </w:r>
      <w:r>
        <w:t xml:space="preserve"> prices, tariff assistance on domestic output is estimated </w:t>
      </w:r>
      <w:r w:rsidR="005C3382">
        <w:t>as</w:t>
      </w:r>
      <w:r>
        <w:t xml:space="preserve"> the notional subsidy equivalent </w:t>
      </w:r>
      <w:r w:rsidR="00853EAD">
        <w:t>of the</w:t>
      </w:r>
      <w:r>
        <w:t xml:space="preserve"> tariff</w:t>
      </w:r>
      <w:r w:rsidR="00853EAD">
        <w:t xml:space="preserve"> imposed on the competing import</w:t>
      </w:r>
      <w:r>
        <w:t>.</w:t>
      </w:r>
    </w:p>
    <w:p w14:paraId="05772AA5" w14:textId="6CFC605C" w:rsidR="00981057" w:rsidRDefault="00981057" w:rsidP="00981057">
      <w:pPr>
        <w:pStyle w:val="BodyText"/>
      </w:pPr>
      <w:r>
        <w:t xml:space="preserve">Input assistance is calculated in an analogous way. </w:t>
      </w:r>
      <w:r w:rsidR="00E47184">
        <w:t>A</w:t>
      </w:r>
      <w:r>
        <w:t xml:space="preserve">s </w:t>
      </w:r>
      <w:r w:rsidR="00D73306">
        <w:t xml:space="preserve">the </w:t>
      </w:r>
      <w:r>
        <w:t xml:space="preserve">tariff penalises local user industries by increasing the price of local and imported inputs, the assistance is negative and assessed as the tax equivalent imposed by tariffs (whether </w:t>
      </w:r>
      <w:r w:rsidR="00E47184">
        <w:t xml:space="preserve">the inputs are </w:t>
      </w:r>
      <w:r>
        <w:t xml:space="preserve">locally produced or imported). </w:t>
      </w:r>
    </w:p>
    <w:p w14:paraId="05772AA6" w14:textId="77777777" w:rsidR="00981057" w:rsidRPr="0079523C" w:rsidRDefault="00F445AF" w:rsidP="00981057">
      <w:pPr>
        <w:pStyle w:val="Heading2"/>
      </w:pPr>
      <w:r>
        <w:t>2</w:t>
      </w:r>
      <w:r w:rsidR="00981057" w:rsidRPr="0079523C">
        <w:tab/>
      </w:r>
      <w:r w:rsidR="00981057">
        <w:t>The re</w:t>
      </w:r>
      <w:r w:rsidR="00981057">
        <w:noBreakHyphen/>
        <w:t>benchmarking process</w:t>
      </w:r>
    </w:p>
    <w:p w14:paraId="0F6487D1" w14:textId="0771D1A6" w:rsidR="00B3125C" w:rsidRDefault="00E8082B" w:rsidP="008525E4">
      <w:pPr>
        <w:pStyle w:val="BodyText"/>
      </w:pPr>
      <w:r>
        <w:t>As tariff assistance operates through its impact on output</w:t>
      </w:r>
      <w:r w:rsidR="005C3382">
        <w:t>s produced domestically</w:t>
      </w:r>
      <w:r>
        <w:t xml:space="preserve"> and on inputs used in the production of that output, </w:t>
      </w:r>
      <w:r w:rsidR="00DE7193">
        <w:t>its</w:t>
      </w:r>
      <w:r w:rsidR="008F24FE">
        <w:t xml:space="preserve"> </w:t>
      </w:r>
      <w:r w:rsidR="008468DA">
        <w:t xml:space="preserve">estimation </w:t>
      </w:r>
      <w:r w:rsidR="00AB1B2F">
        <w:t xml:space="preserve">requires </w:t>
      </w:r>
      <w:r>
        <w:t>data on industry cost structure</w:t>
      </w:r>
      <w:r w:rsidR="005C3382">
        <w:t>s as</w:t>
      </w:r>
      <w:r>
        <w:t xml:space="preserve"> represented </w:t>
      </w:r>
      <w:r w:rsidR="005C3382">
        <w:t>in</w:t>
      </w:r>
      <w:r>
        <w:t xml:space="preserve"> </w:t>
      </w:r>
      <w:r w:rsidR="00AB1B2F">
        <w:t>IO</w:t>
      </w:r>
      <w:r>
        <w:t xml:space="preserve"> tables</w:t>
      </w:r>
      <w:r w:rsidR="00AB1B2F">
        <w:t xml:space="preserve">, </w:t>
      </w:r>
      <w:r>
        <w:t xml:space="preserve">data on </w:t>
      </w:r>
      <w:r w:rsidR="00AB1B2F">
        <w:t xml:space="preserve">imports and tariff </w:t>
      </w:r>
      <w:r>
        <w:t>schedule</w:t>
      </w:r>
      <w:r w:rsidR="00AB1B2F">
        <w:t xml:space="preserve">. </w:t>
      </w:r>
    </w:p>
    <w:p w14:paraId="2F88713E" w14:textId="1E3EEE99" w:rsidR="00B3125C" w:rsidRDefault="0080069A" w:rsidP="008525E4">
      <w:pPr>
        <w:pStyle w:val="BodyText"/>
      </w:pPr>
      <w:r>
        <w:t>Since</w:t>
      </w:r>
      <w:r w:rsidR="00AB1B2F">
        <w:t xml:space="preserve"> IO data </w:t>
      </w:r>
      <w:r>
        <w:t xml:space="preserve">are </w:t>
      </w:r>
      <w:r w:rsidR="00FB4D02">
        <w:t>not</w:t>
      </w:r>
      <w:r>
        <w:t xml:space="preserve"> </w:t>
      </w:r>
      <w:r w:rsidR="00FB4D02">
        <w:t>published</w:t>
      </w:r>
      <w:r>
        <w:t xml:space="preserve"> </w:t>
      </w:r>
      <w:r w:rsidR="00FB4D02">
        <w:t>annually</w:t>
      </w:r>
      <w:r w:rsidR="00AB1B2F">
        <w:t xml:space="preserve">, </w:t>
      </w:r>
      <w:r w:rsidR="005C3382">
        <w:t xml:space="preserve">a series of </w:t>
      </w:r>
      <w:r w:rsidR="00B3125C">
        <w:t xml:space="preserve">estimates </w:t>
      </w:r>
      <w:r w:rsidR="005C3382">
        <w:t xml:space="preserve">are </w:t>
      </w:r>
      <w:r w:rsidR="00B3125C">
        <w:t xml:space="preserve">made, </w:t>
      </w:r>
      <w:r w:rsidR="005C3382">
        <w:t xml:space="preserve">based </w:t>
      </w:r>
      <w:r w:rsidR="00B3125C">
        <w:t xml:space="preserve">on IO and trade data for one year. </w:t>
      </w:r>
    </w:p>
    <w:p w14:paraId="05772AA8" w14:textId="118EB882" w:rsidR="002679F6" w:rsidRDefault="00285D16" w:rsidP="008525E4">
      <w:pPr>
        <w:pStyle w:val="BodyText"/>
      </w:pPr>
      <w:r w:rsidRPr="00243EF0">
        <w:t xml:space="preserve">The </w:t>
      </w:r>
      <w:r w:rsidR="005C3382">
        <w:t xml:space="preserve">series of </w:t>
      </w:r>
      <w:r w:rsidRPr="00243EF0">
        <w:t xml:space="preserve">estimates are calculated in base year values, and </w:t>
      </w:r>
      <w:r w:rsidR="005C3382">
        <w:t>subsequently</w:t>
      </w:r>
      <w:r w:rsidRPr="00243EF0">
        <w:t xml:space="preserve"> updated to current </w:t>
      </w:r>
      <w:r w:rsidR="00983119" w:rsidRPr="00243EF0">
        <w:t>values</w:t>
      </w:r>
      <w:r w:rsidR="005C3382">
        <w:t xml:space="preserve"> with</w:t>
      </w:r>
      <w:r w:rsidR="00151723" w:rsidRPr="0092658B">
        <w:t xml:space="preserve"> scaling factor</w:t>
      </w:r>
      <w:r w:rsidR="005C3382">
        <w:t>s</w:t>
      </w:r>
      <w:r w:rsidR="00983119" w:rsidRPr="00243EF0">
        <w:t xml:space="preserve">. The scaling factor for an industry is </w:t>
      </w:r>
      <w:r w:rsidR="000D6C3B">
        <w:t xml:space="preserve">the </w:t>
      </w:r>
      <w:r w:rsidR="00712F9D">
        <w:t xml:space="preserve">growth in </w:t>
      </w:r>
      <w:r w:rsidR="00151723" w:rsidRPr="0092658B">
        <w:t xml:space="preserve">value </w:t>
      </w:r>
      <w:r w:rsidR="00712F9D">
        <w:t>added of the corresponding industry</w:t>
      </w:r>
      <w:r w:rsidR="00712F9D" w:rsidRPr="0092658B" w:rsidDel="00712F9D">
        <w:t xml:space="preserve"> </w:t>
      </w:r>
      <w:r w:rsidR="00712F9D">
        <w:t xml:space="preserve">division as recorded in </w:t>
      </w:r>
      <w:r w:rsidR="00983119" w:rsidRPr="00243EF0">
        <w:t xml:space="preserve">the </w:t>
      </w:r>
      <w:r w:rsidR="000D6C3B">
        <w:t>national accounts</w:t>
      </w:r>
      <w:r w:rsidR="007A2EF9" w:rsidRPr="0092658B">
        <w:t xml:space="preserve">. </w:t>
      </w:r>
      <w:r w:rsidR="008328C3" w:rsidRPr="0092658B">
        <w:t>As mentioned, t</w:t>
      </w:r>
      <w:r w:rsidR="00CD3080" w:rsidRPr="0092658B">
        <w:t>he updating process is detailed in TAR User Guide (PC 2016).</w:t>
      </w:r>
    </w:p>
    <w:p w14:paraId="05772AA9" w14:textId="2EA7ED94" w:rsidR="00CD3080" w:rsidRDefault="00DE7193" w:rsidP="00CD3080">
      <w:pPr>
        <w:pStyle w:val="BodyText"/>
      </w:pPr>
      <w:r>
        <w:lastRenderedPageBreak/>
        <w:t xml:space="preserve">Periodically </w:t>
      </w:r>
      <w:r w:rsidR="002679F6">
        <w:t>the Commission re</w:t>
      </w:r>
      <w:r w:rsidR="002679F6">
        <w:noBreakHyphen/>
        <w:t>benchmarks the estimates</w:t>
      </w:r>
      <w:r w:rsidR="00CD3080">
        <w:t xml:space="preserve"> </w:t>
      </w:r>
      <w:r w:rsidR="00020B80">
        <w:t xml:space="preserve">to </w:t>
      </w:r>
      <w:r w:rsidR="00285D16">
        <w:t xml:space="preserve">align with the latest ABS IO </w:t>
      </w:r>
      <w:r w:rsidR="00983119">
        <w:t xml:space="preserve">and trade </w:t>
      </w:r>
      <w:r w:rsidR="00285D16">
        <w:t xml:space="preserve">data. </w:t>
      </w:r>
      <w:r w:rsidR="00EE61EF">
        <w:t xml:space="preserve">This </w:t>
      </w:r>
      <w:r w:rsidR="00CD3080">
        <w:t xml:space="preserve">involves revising the </w:t>
      </w:r>
      <w:r w:rsidR="00BF09DA">
        <w:t xml:space="preserve">IO </w:t>
      </w:r>
      <w:r w:rsidR="00CD3080">
        <w:t xml:space="preserve">relationships </w:t>
      </w:r>
      <w:r w:rsidR="00BF09DA">
        <w:t xml:space="preserve">according to </w:t>
      </w:r>
      <w:r w:rsidR="00CD3080">
        <w:t xml:space="preserve">the </w:t>
      </w:r>
      <w:r w:rsidR="00BF09DA">
        <w:t xml:space="preserve">new </w:t>
      </w:r>
      <w:r w:rsidR="00CD3080">
        <w:t>benchmarked year</w:t>
      </w:r>
      <w:r w:rsidR="00020B80">
        <w:t xml:space="preserve"> (decided by the availability of the latest IO tables)</w:t>
      </w:r>
      <w:r w:rsidR="00BF09DA">
        <w:t>, specifically</w:t>
      </w:r>
      <w:r w:rsidR="00CD3080">
        <w:t xml:space="preserve">: </w:t>
      </w:r>
    </w:p>
    <w:p w14:paraId="05772AAA" w14:textId="3CA612A4" w:rsidR="00CD3080" w:rsidRDefault="00BF09DA" w:rsidP="00CD3080">
      <w:pPr>
        <w:pStyle w:val="ListBullet"/>
      </w:pPr>
      <w:r>
        <w:t xml:space="preserve">the </w:t>
      </w:r>
      <w:r w:rsidR="00CD3080">
        <w:t xml:space="preserve">input </w:t>
      </w:r>
      <w:r w:rsidR="004C5B04">
        <w:t xml:space="preserve">structure </w:t>
      </w:r>
      <w:r w:rsidR="00CD3080">
        <w:t>used in production — from the domestic production and intermediate input usage; and</w:t>
      </w:r>
    </w:p>
    <w:p w14:paraId="05772AAB" w14:textId="6489F8C3" w:rsidR="00CD3080" w:rsidRDefault="00614F72" w:rsidP="00CD3080">
      <w:pPr>
        <w:pStyle w:val="ListBullet"/>
      </w:pPr>
      <w:r>
        <w:t xml:space="preserve">the </w:t>
      </w:r>
      <w:r w:rsidR="00CD3080">
        <w:t xml:space="preserve">import </w:t>
      </w:r>
      <w:r w:rsidR="004C5B04">
        <w:t xml:space="preserve">structure </w:t>
      </w:r>
      <w:r w:rsidR="00CD3080">
        <w:t>used for both intermediate inputs and consumption — from the import data</w:t>
      </w:r>
      <w:r w:rsidR="004C5B04">
        <w:t>.</w:t>
      </w:r>
      <w:r w:rsidR="00CD3080">
        <w:t xml:space="preserve"> </w:t>
      </w:r>
    </w:p>
    <w:p w14:paraId="05772AAC" w14:textId="4E7BF69F" w:rsidR="00CD3080" w:rsidRDefault="00CD3080" w:rsidP="006428FC">
      <w:pPr>
        <w:pStyle w:val="BodyText"/>
      </w:pPr>
      <w:r>
        <w:t>Once re</w:t>
      </w:r>
      <w:r>
        <w:noBreakHyphen/>
        <w:t xml:space="preserve">benchmarking takes place, </w:t>
      </w:r>
      <w:r w:rsidR="00127559">
        <w:t>future years for which tariff policies are known are added to the time</w:t>
      </w:r>
      <w:r w:rsidR="00127559">
        <w:noBreakHyphen/>
        <w:t>series of assistance estimates. For the period earlier than the new base year, t</w:t>
      </w:r>
      <w:r w:rsidR="00B1269F">
        <w:t xml:space="preserve">here may be some </w:t>
      </w:r>
      <w:r w:rsidR="00127559">
        <w:t xml:space="preserve">years with </w:t>
      </w:r>
      <w:r w:rsidR="00B1269F">
        <w:t>overlapping constant value estimates</w:t>
      </w:r>
      <w:r w:rsidR="00712F9D">
        <w:t>:</w:t>
      </w:r>
      <w:r w:rsidR="00B1269F">
        <w:t xml:space="preserve"> one based on the earlier IO and the other based on the latest IO.</w:t>
      </w:r>
      <w:r w:rsidR="00020B80">
        <w:t xml:space="preserve"> </w:t>
      </w:r>
      <w:r w:rsidR="001075C8">
        <w:t xml:space="preserve">The difference between two overlapping estimates indicate </w:t>
      </w:r>
      <w:r w:rsidR="00712F9D">
        <w:t xml:space="preserve">the effects of </w:t>
      </w:r>
      <w:r w:rsidR="001075C8">
        <w:t>changes in industry and trade structure.</w:t>
      </w:r>
    </w:p>
    <w:p w14:paraId="05772AAD" w14:textId="02AFEFF4" w:rsidR="004128A0" w:rsidRDefault="004C5B04" w:rsidP="008525E4">
      <w:pPr>
        <w:pStyle w:val="BodyText"/>
      </w:pPr>
      <w:r>
        <w:t>A</w:t>
      </w:r>
      <w:r w:rsidR="00626461">
        <w:t>nnual</w:t>
      </w:r>
      <w:r w:rsidR="006428FC">
        <w:t xml:space="preserve"> </w:t>
      </w:r>
      <w:r>
        <w:t xml:space="preserve">estimates of </w:t>
      </w:r>
      <w:r w:rsidR="00626461">
        <w:t>tariff assistance, covering the period between 2010</w:t>
      </w:r>
      <w:r w:rsidR="00626461">
        <w:noBreakHyphen/>
        <w:t>11 to 2015</w:t>
      </w:r>
      <w:r w:rsidR="00626461">
        <w:noBreakHyphen/>
        <w:t xml:space="preserve">16, </w:t>
      </w:r>
      <w:r>
        <w:t xml:space="preserve">were </w:t>
      </w:r>
      <w:r w:rsidR="00626461">
        <w:t>produced</w:t>
      </w:r>
      <w:r w:rsidR="006428FC">
        <w:t xml:space="preserve"> </w:t>
      </w:r>
      <w:r w:rsidR="00B62E18">
        <w:t>at 2013</w:t>
      </w:r>
      <w:r w:rsidR="00B62E18">
        <w:noBreakHyphen/>
        <w:t xml:space="preserve">14 constant values, </w:t>
      </w:r>
      <w:r w:rsidR="00063329">
        <w:t xml:space="preserve">using </w:t>
      </w:r>
      <w:r>
        <w:t xml:space="preserve">the structure of </w:t>
      </w:r>
      <w:r w:rsidR="00063329">
        <w:t xml:space="preserve">imports </w:t>
      </w:r>
      <w:r w:rsidR="006428FC">
        <w:t>and IO data</w:t>
      </w:r>
      <w:r w:rsidR="00B62E18">
        <w:t xml:space="preserve"> </w:t>
      </w:r>
      <w:r>
        <w:t xml:space="preserve">for </w:t>
      </w:r>
      <w:r w:rsidR="00B62E18">
        <w:t>2013</w:t>
      </w:r>
      <w:r w:rsidR="00B62E18">
        <w:noBreakHyphen/>
        <w:t>14</w:t>
      </w:r>
      <w:r w:rsidR="00063329">
        <w:t xml:space="preserve"> </w:t>
      </w:r>
      <w:r>
        <w:t xml:space="preserve">and </w:t>
      </w:r>
      <w:r w:rsidR="00063329">
        <w:t>the respective years’ tariff schedules</w:t>
      </w:r>
      <w:r w:rsidR="006428FC">
        <w:t xml:space="preserve">. </w:t>
      </w:r>
      <w:r w:rsidR="003108DF">
        <w:t xml:space="preserve">An overview of the </w:t>
      </w:r>
      <w:r w:rsidR="004128A0">
        <w:t>process</w:t>
      </w:r>
      <w:r w:rsidR="004C69D7">
        <w:t xml:space="preserve"> </w:t>
      </w:r>
      <w:r w:rsidR="003108DF">
        <w:t>is presented</w:t>
      </w:r>
      <w:r w:rsidR="00E933F8">
        <w:t xml:space="preserve"> in box 1</w:t>
      </w:r>
      <w:r w:rsidR="003108DF">
        <w:t xml:space="preserve">. </w:t>
      </w:r>
    </w:p>
    <w:p w14:paraId="05772AAE" w14:textId="53DB8321" w:rsidR="00A923DD" w:rsidRDefault="00A923DD" w:rsidP="00A923D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75"/>
      </w:tblGrid>
      <w:tr w:rsidR="00A923DD" w14:paraId="05772AB0" w14:textId="77777777" w:rsidTr="00FE21A0">
        <w:trPr>
          <w:trHeight w:val="514"/>
        </w:trPr>
        <w:tc>
          <w:tcPr>
            <w:tcW w:w="0" w:type="auto"/>
            <w:tcBorders>
              <w:top w:val="single" w:sz="6" w:space="0" w:color="78A22F"/>
              <w:left w:val="nil"/>
              <w:bottom w:val="nil"/>
              <w:right w:val="nil"/>
            </w:tcBorders>
            <w:shd w:val="clear" w:color="auto" w:fill="F2F2F2"/>
          </w:tcPr>
          <w:p w14:paraId="05772AAF" w14:textId="52A941D0" w:rsidR="00A923DD" w:rsidRDefault="00A923DD" w:rsidP="00C41BDE">
            <w:pPr>
              <w:pStyle w:val="BoxTitle"/>
            </w:pPr>
            <w:r>
              <w:rPr>
                <w:b w:val="0"/>
              </w:rPr>
              <w:t xml:space="preserve">Box </w:t>
            </w:r>
            <w:r w:rsidR="002357FE">
              <w:rPr>
                <w:b w:val="0"/>
                <w:noProof/>
              </w:rPr>
              <w:t>1</w:t>
            </w:r>
            <w:r>
              <w:tab/>
            </w:r>
            <w:r w:rsidR="00CA6708">
              <w:t>The r</w:t>
            </w:r>
            <w:r>
              <w:t>e</w:t>
            </w:r>
            <w:r>
              <w:noBreakHyphen/>
              <w:t>benchmarking</w:t>
            </w:r>
            <w:r w:rsidR="00CA6708">
              <w:t xml:space="preserve"> of</w:t>
            </w:r>
            <w:r>
              <w:t xml:space="preserve"> </w:t>
            </w:r>
            <w:r w:rsidR="00CA6708">
              <w:t>tariff assistance</w:t>
            </w:r>
            <w:r w:rsidR="00C41BDE">
              <w:t xml:space="preserve"> in TAR 2015</w:t>
            </w:r>
            <w:r w:rsidR="00C41BDE">
              <w:noBreakHyphen/>
              <w:t>16</w:t>
            </w:r>
          </w:p>
        </w:tc>
      </w:tr>
      <w:tr w:rsidR="00A923DD" w14:paraId="05772AB2" w14:textId="77777777" w:rsidTr="00C86079">
        <w:trPr>
          <w:trHeight w:val="8529"/>
        </w:trPr>
        <w:tc>
          <w:tcPr>
            <w:tcW w:w="0" w:type="auto"/>
            <w:tcBorders>
              <w:top w:val="nil"/>
              <w:left w:val="nil"/>
              <w:bottom w:val="nil"/>
              <w:right w:val="nil"/>
            </w:tcBorders>
            <w:shd w:val="clear" w:color="auto" w:fill="F2F2F2"/>
          </w:tcPr>
          <w:p w14:paraId="05772AB1" w14:textId="4944C023" w:rsidR="006D7F1C" w:rsidRPr="006D7F1C" w:rsidRDefault="00826F4A" w:rsidP="006D7F1C">
            <w:pPr>
              <w:pStyle w:val="Box"/>
            </w:pPr>
            <w:r w:rsidRPr="00826F4A">
              <w:rPr>
                <w:noProof/>
              </w:rPr>
              <w:drawing>
                <wp:inline distT="0" distB="0" distL="0" distR="0" wp14:anchorId="7D16C5DD" wp14:editId="2FE397D6">
                  <wp:extent cx="5265184" cy="5127172"/>
                  <wp:effectExtent l="0" t="0" r="0" b="0"/>
                  <wp:docPr id="3" name="Picture 3" descr="Box 1 The re benchmarking of tariff assistance in TAR 2015 16&#10;&#10;This figure is a flow diagram showing the two steps undertaken in re benchmarking of tariff assistance estimates. &#10;The first stage involves estimating impact of tariffs on domestic output and input prices by using the Commission’s TIDES model. The steps taken are: estimate imputed duty for each HS 8 digit tariff item import (5 525 items); map HS 8 digit to IOPC commodities (1267 commodities); estimate tariff price vectors for output and input for IOPC commodities.  &#10;The second step uses the Commission’s TAM model where these price vectors are applied to an unpublished input output data at IOPC level. The produced estimates of output assistance and input penalties due to tariffs at IOPC level are then aggregated to 114 input output commodity/industry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9718" b="13991"/>
                          <a:stretch/>
                        </pic:blipFill>
                        <pic:spPr bwMode="auto">
                          <a:xfrm>
                            <a:off x="0" y="0"/>
                            <a:ext cx="5265420" cy="5127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23DD" w14:paraId="05772AB4" w14:textId="77777777" w:rsidTr="00FE21A0">
        <w:trPr>
          <w:trHeight w:val="147"/>
        </w:trPr>
        <w:tc>
          <w:tcPr>
            <w:tcW w:w="0" w:type="auto"/>
            <w:tcBorders>
              <w:top w:val="nil"/>
              <w:left w:val="nil"/>
              <w:bottom w:val="single" w:sz="6" w:space="0" w:color="78A22F"/>
              <w:right w:val="nil"/>
            </w:tcBorders>
            <w:shd w:val="clear" w:color="auto" w:fill="F2F2F2"/>
          </w:tcPr>
          <w:p w14:paraId="05772AB3" w14:textId="77777777" w:rsidR="00A923DD" w:rsidRDefault="00A923DD" w:rsidP="00AD7000">
            <w:pPr>
              <w:pStyle w:val="Box"/>
              <w:spacing w:before="0" w:line="120" w:lineRule="exact"/>
            </w:pPr>
          </w:p>
        </w:tc>
      </w:tr>
      <w:tr w:rsidR="00A923DD" w:rsidRPr="000863A5" w14:paraId="05772AB6" w14:textId="77777777" w:rsidTr="00FE21A0">
        <w:trPr>
          <w:trHeight w:val="258"/>
        </w:trPr>
        <w:tc>
          <w:tcPr>
            <w:tcW w:w="0" w:type="auto"/>
            <w:tcBorders>
              <w:top w:val="single" w:sz="6" w:space="0" w:color="78A22F"/>
              <w:left w:val="nil"/>
              <w:bottom w:val="nil"/>
              <w:right w:val="nil"/>
            </w:tcBorders>
          </w:tcPr>
          <w:p w14:paraId="05772AB5" w14:textId="2742624E" w:rsidR="00A923DD" w:rsidRPr="00626D32" w:rsidRDefault="00A923DD" w:rsidP="00AD7000">
            <w:pPr>
              <w:pStyle w:val="BoxSpaceBelow"/>
            </w:pPr>
          </w:p>
        </w:tc>
      </w:tr>
    </w:tbl>
    <w:p w14:paraId="359C45D0" w14:textId="77777777" w:rsidR="00366E4F" w:rsidRDefault="00366E4F">
      <w:pPr>
        <w:rPr>
          <w:szCs w:val="20"/>
        </w:rPr>
      </w:pPr>
      <w:r>
        <w:br w:type="page"/>
      </w:r>
    </w:p>
    <w:p w14:paraId="31DFD1C6" w14:textId="1BDE2E20" w:rsidR="00DC58F2" w:rsidRDefault="00A923DD" w:rsidP="00DC58F2">
      <w:pPr>
        <w:pStyle w:val="BodyText"/>
      </w:pPr>
      <w:r>
        <w:lastRenderedPageBreak/>
        <w:t xml:space="preserve">As the box illustrates, </w:t>
      </w:r>
      <w:r w:rsidR="00DC58F2">
        <w:t>estimates of tariff assistance for outputs and tariff cost penalty for inputs are derived in two stages. These involve:</w:t>
      </w:r>
    </w:p>
    <w:p w14:paraId="36112BCD" w14:textId="6166EFD6" w:rsidR="00DC58F2" w:rsidRDefault="00DC58F2" w:rsidP="009536ED">
      <w:pPr>
        <w:pStyle w:val="ListBullet"/>
        <w:spacing w:line="320" w:lineRule="atLeast"/>
      </w:pPr>
      <w:r>
        <w:t>using the Tariff and Import Database and Estimating System (TIDES) model to provide estimates of the ‘price impacts’ of tariffs for both output and input goods</w:t>
      </w:r>
      <w:r w:rsidR="00366E4F">
        <w:t xml:space="preserve"> by producing</w:t>
      </w:r>
      <w:r w:rsidR="006426D6">
        <w:t xml:space="preserve"> a </w:t>
      </w:r>
      <w:r w:rsidR="00366E4F">
        <w:t>two column matrix of rows representing the imputed duty rate on outputs and on inputs of a tariff item.</w:t>
      </w:r>
      <w:r w:rsidR="00366E4F">
        <w:rPr>
          <w:rStyle w:val="FootnoteReference"/>
        </w:rPr>
        <w:footnoteReference w:id="3"/>
      </w:r>
      <w:r w:rsidR="00366E4F">
        <w:t xml:space="preserve"> The number of rows equal</w:t>
      </w:r>
      <w:r w:rsidR="006426D6">
        <w:t>s</w:t>
      </w:r>
      <w:r w:rsidR="00366E4F">
        <w:t xml:space="preserve"> the number of items at </w:t>
      </w:r>
      <w:r w:rsidR="006426D6">
        <w:t xml:space="preserve">the </w:t>
      </w:r>
      <w:r w:rsidR="00366E4F" w:rsidRPr="00667745">
        <w:t>20</w:t>
      </w:r>
      <w:r w:rsidR="00366E4F">
        <w:t>13</w:t>
      </w:r>
      <w:r w:rsidR="00366E4F">
        <w:noBreakHyphen/>
        <w:t xml:space="preserve">14 </w:t>
      </w:r>
      <w:r w:rsidR="00366E4F" w:rsidRPr="00667745">
        <w:t>Input-Output Product Classification (IOPC)</w:t>
      </w:r>
      <w:r w:rsidR="00366E4F">
        <w:t xml:space="preserve"> level (</w:t>
      </w:r>
      <w:r w:rsidR="00366E4F" w:rsidRPr="00667745">
        <w:t>1</w:t>
      </w:r>
      <w:r w:rsidR="00366E4F">
        <w:t xml:space="preserve">267 </w:t>
      </w:r>
      <w:r w:rsidR="00366E4F" w:rsidRPr="00667745">
        <w:t>products</w:t>
      </w:r>
      <w:r w:rsidR="00366E4F">
        <w:t>)</w:t>
      </w:r>
      <w:r>
        <w:t xml:space="preserve"> </w:t>
      </w:r>
    </w:p>
    <w:p w14:paraId="49B30D3D" w14:textId="437F637E" w:rsidR="00366E4F" w:rsidRDefault="00CC1DFA" w:rsidP="0078247D">
      <w:pPr>
        <w:pStyle w:val="ListBullet"/>
      </w:pPr>
      <w:r>
        <w:t xml:space="preserve">using the Trade Assistance model (TAM) to </w:t>
      </w:r>
      <w:r w:rsidR="00DC58F2">
        <w:t>combin</w:t>
      </w:r>
      <w:r>
        <w:t>e</w:t>
      </w:r>
      <w:r w:rsidR="00DC58F2">
        <w:t xml:space="preserve"> the</w:t>
      </w:r>
      <w:r>
        <w:t xml:space="preserve"> TIDES </w:t>
      </w:r>
      <w:r w:rsidR="00DC58F2">
        <w:t>results with ABS input-output data to derive estimates of gross and net subsidy equivalents</w:t>
      </w:r>
      <w:r w:rsidR="00366E4F">
        <w:t>.</w:t>
      </w:r>
    </w:p>
    <w:p w14:paraId="05772AB8" w14:textId="77777777" w:rsidR="00F445AF" w:rsidRPr="0079523C" w:rsidRDefault="00F445AF" w:rsidP="00F445AF">
      <w:pPr>
        <w:pStyle w:val="Heading2"/>
      </w:pPr>
      <w:r>
        <w:t>3</w:t>
      </w:r>
      <w:r w:rsidRPr="0079523C">
        <w:tab/>
      </w:r>
      <w:r>
        <w:t>Calculating price distortions using TIDES</w:t>
      </w:r>
    </w:p>
    <w:p w14:paraId="05772AB9" w14:textId="73E1C415" w:rsidR="004A633F" w:rsidRDefault="007D5F76" w:rsidP="004A633F">
      <w:pPr>
        <w:pStyle w:val="BodyText"/>
      </w:pPr>
      <w:r>
        <w:t xml:space="preserve">The Commission uses </w:t>
      </w:r>
      <w:r w:rsidR="006426D6">
        <w:t xml:space="preserve">the </w:t>
      </w:r>
      <w:r w:rsidR="009E1244" w:rsidRPr="00327B61">
        <w:t>Tariff and Import Database and Estimating System</w:t>
      </w:r>
      <w:r w:rsidR="009E1244">
        <w:t xml:space="preserve"> (</w:t>
      </w:r>
      <w:r w:rsidR="009E1244" w:rsidRPr="007233F1">
        <w:t xml:space="preserve">TIDES) </w:t>
      </w:r>
      <w:r w:rsidR="009E1244">
        <w:t>model</w:t>
      </w:r>
      <w:r w:rsidR="009E1244" w:rsidRPr="00667745">
        <w:t xml:space="preserve"> </w:t>
      </w:r>
      <w:r>
        <w:t xml:space="preserve">to derive the price distortion vector </w:t>
      </w:r>
      <w:r w:rsidR="004128A0" w:rsidRPr="00667745">
        <w:t>of tariffs on both domestic and imported goods. The price impacts represent the increase in domestic prices caused by tariffs on imports.</w:t>
      </w:r>
      <w:r w:rsidR="004128A0">
        <w:t xml:space="preserve"> </w:t>
      </w:r>
    </w:p>
    <w:p w14:paraId="05772AC5" w14:textId="468F70F7" w:rsidR="004A633F" w:rsidRPr="0092658B" w:rsidRDefault="004A633F" w:rsidP="00C41BDE">
      <w:pPr>
        <w:pStyle w:val="Heading3"/>
      </w:pPr>
      <w:r w:rsidRPr="0092658B">
        <w:t>Data processing</w:t>
      </w:r>
    </w:p>
    <w:p w14:paraId="05772AC7" w14:textId="7D04A596" w:rsidR="004A633F" w:rsidRDefault="004A633F" w:rsidP="0092658B">
      <w:pPr>
        <w:pStyle w:val="BodyText"/>
      </w:pPr>
      <w:r>
        <w:t>A</w:t>
      </w:r>
      <w:r w:rsidRPr="00A0528C">
        <w:t xml:space="preserve"> number of adjustments and preparatory tasks </w:t>
      </w:r>
      <w:r>
        <w:t>are</w:t>
      </w:r>
      <w:r w:rsidRPr="00A0528C">
        <w:t xml:space="preserve"> carried out</w:t>
      </w:r>
      <w:r>
        <w:t xml:space="preserve"> b</w:t>
      </w:r>
      <w:r w:rsidRPr="00A0528C">
        <w:t xml:space="preserve">efore the import </w:t>
      </w:r>
      <w:r w:rsidR="00357ECE">
        <w:t xml:space="preserve">data </w:t>
      </w:r>
      <w:r w:rsidRPr="00A0528C">
        <w:t xml:space="preserve">and tariff </w:t>
      </w:r>
      <w:r w:rsidR="00A377C5">
        <w:t>schedules</w:t>
      </w:r>
      <w:r w:rsidRPr="00A0528C">
        <w:t xml:space="preserve"> </w:t>
      </w:r>
      <w:r w:rsidR="004C631C">
        <w:t>can</w:t>
      </w:r>
      <w:r w:rsidR="004C631C" w:rsidRPr="00A0528C">
        <w:t xml:space="preserve"> </w:t>
      </w:r>
      <w:r w:rsidRPr="00A0528C">
        <w:t>be used in TIDES</w:t>
      </w:r>
      <w:r>
        <w:t xml:space="preserve">. </w:t>
      </w:r>
      <w:r w:rsidR="004C631C">
        <w:t>These,</w:t>
      </w:r>
      <w:r w:rsidR="003B30FC">
        <w:t xml:space="preserve"> along with the </w:t>
      </w:r>
      <w:r w:rsidR="00D56000">
        <w:t>computer</w:t>
      </w:r>
      <w:r w:rsidR="003B30FC">
        <w:t xml:space="preserve"> code used, </w:t>
      </w:r>
      <w:r w:rsidR="004C631C">
        <w:t>are</w:t>
      </w:r>
      <w:r w:rsidRPr="00A0528C">
        <w:t xml:space="preserve"> presented in appendix C.1 </w:t>
      </w:r>
      <w:r w:rsidR="0031003A">
        <w:t xml:space="preserve">in </w:t>
      </w:r>
      <w:proofErr w:type="spellStart"/>
      <w:r w:rsidR="002F70F6">
        <w:t>Cobau</w:t>
      </w:r>
      <w:proofErr w:type="spellEnd"/>
      <w:r w:rsidR="002F70F6">
        <w:t xml:space="preserve"> and Wells </w:t>
      </w:r>
      <w:r w:rsidR="0031003A">
        <w:t>(</w:t>
      </w:r>
      <w:r w:rsidR="002F70F6">
        <w:t>2002</w:t>
      </w:r>
      <w:r w:rsidRPr="00A0528C">
        <w:t>).</w:t>
      </w:r>
      <w:r>
        <w:t xml:space="preserve"> </w:t>
      </w:r>
      <w:r w:rsidR="00A12FA5">
        <w:t xml:space="preserve">In the main, they </w:t>
      </w:r>
      <w:r>
        <w:t>involve the following</w:t>
      </w:r>
      <w:r w:rsidR="0031003A">
        <w:t xml:space="preserve"> steps</w:t>
      </w:r>
      <w:r>
        <w:t>:</w:t>
      </w:r>
    </w:p>
    <w:p w14:paraId="05772AC8" w14:textId="1FB89B17" w:rsidR="004A633F" w:rsidRDefault="004A633F" w:rsidP="004A633F">
      <w:pPr>
        <w:pStyle w:val="ListBullet"/>
      </w:pPr>
      <w:r>
        <w:t xml:space="preserve">aggregate monthly data to </w:t>
      </w:r>
      <w:r w:rsidR="00D56000">
        <w:t xml:space="preserve">financial </w:t>
      </w:r>
      <w:r w:rsidR="0031003A">
        <w:t>year</w:t>
      </w:r>
      <w:r>
        <w:t>;</w:t>
      </w:r>
    </w:p>
    <w:p w14:paraId="05772AC9" w14:textId="59930D09" w:rsidR="004A633F" w:rsidRDefault="004A633F" w:rsidP="004A633F">
      <w:pPr>
        <w:pStyle w:val="ListBullet"/>
      </w:pPr>
      <w:r>
        <w:t xml:space="preserve">aggregate </w:t>
      </w:r>
      <w:r w:rsidR="00A12FA5">
        <w:t xml:space="preserve">imports data from </w:t>
      </w:r>
      <w:r>
        <w:t>10</w:t>
      </w:r>
      <w:r>
        <w:noBreakHyphen/>
        <w:t xml:space="preserve">digit </w:t>
      </w:r>
      <w:r w:rsidR="00A97630">
        <w:t xml:space="preserve">HS </w:t>
      </w:r>
      <w:r>
        <w:t>to 8</w:t>
      </w:r>
      <w:r>
        <w:noBreakHyphen/>
        <w:t xml:space="preserve">digit </w:t>
      </w:r>
      <w:r w:rsidR="00A97630">
        <w:t xml:space="preserve">HS </w:t>
      </w:r>
      <w:r>
        <w:t xml:space="preserve">to match </w:t>
      </w:r>
      <w:r w:rsidR="00A12FA5">
        <w:t xml:space="preserve">the </w:t>
      </w:r>
      <w:r w:rsidR="006540F1">
        <w:t>classification level</w:t>
      </w:r>
      <w:r w:rsidR="00D56000">
        <w:t xml:space="preserve"> in the </w:t>
      </w:r>
      <w:r w:rsidR="006540F1">
        <w:t xml:space="preserve">Australian Customs </w:t>
      </w:r>
      <w:r w:rsidR="00D56000">
        <w:t>tariff schedule</w:t>
      </w:r>
      <w:r>
        <w:t>;</w:t>
      </w:r>
      <w:r w:rsidR="0016202E">
        <w:t xml:space="preserve"> </w:t>
      </w:r>
    </w:p>
    <w:p w14:paraId="05772ACA" w14:textId="2211DEA6" w:rsidR="0025145C" w:rsidRDefault="00D56000" w:rsidP="004A633F">
      <w:pPr>
        <w:pStyle w:val="ListBullet"/>
      </w:pPr>
      <w:r>
        <w:t xml:space="preserve">modify the </w:t>
      </w:r>
      <w:r w:rsidR="006540F1">
        <w:t xml:space="preserve">constructed </w:t>
      </w:r>
      <w:r>
        <w:t xml:space="preserve">tariff schedule to </w:t>
      </w:r>
      <w:r w:rsidR="005569DA">
        <w:t xml:space="preserve">add </w:t>
      </w:r>
      <w:r w:rsidR="00A12FA5">
        <w:t xml:space="preserve">any missing </w:t>
      </w:r>
      <w:r w:rsidR="005569DA">
        <w:t xml:space="preserve">tariff items </w:t>
      </w:r>
      <w:r w:rsidR="0025145C">
        <w:t>and associated tariff rates</w:t>
      </w:r>
      <w:r w:rsidR="001C1825">
        <w:t>.</w:t>
      </w:r>
    </w:p>
    <w:p w14:paraId="05772ACC" w14:textId="4EEF033B" w:rsidR="004A633F" w:rsidRPr="005569DA" w:rsidRDefault="004A633F" w:rsidP="004A633F">
      <w:pPr>
        <w:pStyle w:val="BodyText"/>
      </w:pPr>
      <w:r w:rsidRPr="005569DA">
        <w:t xml:space="preserve">Once the tariff and import data have been </w:t>
      </w:r>
      <w:r w:rsidR="00A12FA5">
        <w:t>adjusted</w:t>
      </w:r>
      <w:r w:rsidRPr="005569DA">
        <w:t>, they are ready to be incorporated into the TIDES data set</w:t>
      </w:r>
      <w:r w:rsidR="008D3AB0">
        <w:t>.</w:t>
      </w:r>
    </w:p>
    <w:p w14:paraId="1F087EF6" w14:textId="77777777" w:rsidR="000F22D6" w:rsidRDefault="000F22D6" w:rsidP="000F22D6">
      <w:pPr>
        <w:pStyle w:val="Heading3"/>
      </w:pPr>
      <w:r>
        <w:t>Data sources</w:t>
      </w:r>
    </w:p>
    <w:p w14:paraId="23FB7677" w14:textId="77777777" w:rsidR="000F22D6" w:rsidRDefault="000F22D6" w:rsidP="000F22D6">
      <w:pPr>
        <w:pStyle w:val="BodyText"/>
      </w:pPr>
      <w:r>
        <w:t>The two main data sources used to create the price distortion vectors are obtained from:</w:t>
      </w:r>
    </w:p>
    <w:p w14:paraId="00FC7792" w14:textId="77777777" w:rsidR="000F22D6" w:rsidRDefault="000F22D6" w:rsidP="000F22D6">
      <w:pPr>
        <w:pStyle w:val="ListBullet"/>
      </w:pPr>
      <w:r>
        <w:lastRenderedPageBreak/>
        <w:t xml:space="preserve">ABS merchandise trade imports (various years); and </w:t>
      </w:r>
    </w:p>
    <w:p w14:paraId="7083C253" w14:textId="77777777" w:rsidR="000F22D6" w:rsidRDefault="000F22D6" w:rsidP="000F22D6">
      <w:pPr>
        <w:pStyle w:val="ListBullet"/>
      </w:pPr>
      <w:r>
        <w:t>the Australian Customs tariff schedules (various years).</w:t>
      </w:r>
    </w:p>
    <w:p w14:paraId="09C2E364" w14:textId="77777777" w:rsidR="000F22D6" w:rsidRPr="006D2A56" w:rsidRDefault="000F22D6" w:rsidP="000F22D6">
      <w:pPr>
        <w:pStyle w:val="Heading4"/>
      </w:pPr>
      <w:r w:rsidRPr="006D2A56">
        <w:t>ABS merchandise trade imports</w:t>
      </w:r>
    </w:p>
    <w:p w14:paraId="149A2E4D" w14:textId="22DE8EDF" w:rsidR="000F22D6" w:rsidRDefault="000F22D6" w:rsidP="000F22D6">
      <w:pPr>
        <w:pStyle w:val="BodyText"/>
      </w:pPr>
      <w:r w:rsidRPr="00364DFB">
        <w:t>The ABS merchandise trade import</w:t>
      </w:r>
      <w:r>
        <w:t>s</w:t>
      </w:r>
      <w:r w:rsidRPr="00364DFB">
        <w:t xml:space="preserve"> </w:t>
      </w:r>
      <w:r>
        <w:t xml:space="preserve">and clearances </w:t>
      </w:r>
      <w:r w:rsidRPr="00364DFB">
        <w:t xml:space="preserve">data </w:t>
      </w:r>
      <w:r>
        <w:t>(</w:t>
      </w:r>
      <w:r>
        <w:rPr>
          <w:i/>
        </w:rPr>
        <w:t>Merchandise Trade Imports (various years)</w:t>
      </w:r>
      <w:r>
        <w:t>, Cat. no. 5422.0), is</w:t>
      </w:r>
      <w:r w:rsidRPr="00364DFB">
        <w:t xml:space="preserve"> obtained electronically from the ABS </w:t>
      </w:r>
      <w:r>
        <w:t>in a csv file. The file contains monthly data on a range of variables classified at the 10</w:t>
      </w:r>
      <w:r>
        <w:noBreakHyphen/>
        <w:t>digit harmonised system (HS) code, not all of which are necessary for running TIDES. Data on import values, quantities and duty payments are extracted. Imports are valued on fob basis and termed as Australian Customs Value in the file, and flows so valued are referred to as VFD value of imports in TIDES.</w:t>
      </w:r>
      <w:r>
        <w:rPr>
          <w:rStyle w:val="FootnoteReference"/>
        </w:rPr>
        <w:footnoteReference w:id="4"/>
      </w:r>
      <w:r>
        <w:t xml:space="preserve"> An additional variable termed as treatment code is also extracted. A treatment code is assigned to each tariff item on entry to Australia which shows if it is granted any special considerations such as some type of duty concessions. </w:t>
      </w:r>
    </w:p>
    <w:p w14:paraId="79EEF192" w14:textId="77777777" w:rsidR="000F22D6" w:rsidRDefault="000F22D6" w:rsidP="000F22D6">
      <w:pPr>
        <w:pStyle w:val="Heading4"/>
      </w:pPr>
      <w:r>
        <w:t>Tariff schedules</w:t>
      </w:r>
    </w:p>
    <w:p w14:paraId="5EB677AE" w14:textId="77777777" w:rsidR="000F22D6" w:rsidRDefault="000F22D6" w:rsidP="000F22D6">
      <w:pPr>
        <w:pStyle w:val="BodyText"/>
      </w:pPr>
      <w:r w:rsidRPr="0092658B">
        <w:t>TIDES for TAR 2015</w:t>
      </w:r>
      <w:r w:rsidRPr="0092658B">
        <w:noBreakHyphen/>
        <w:t xml:space="preserve">16 used tariff schedules </w:t>
      </w:r>
      <w:r>
        <w:t>by 8</w:t>
      </w:r>
      <w:r>
        <w:noBreakHyphen/>
        <w:t xml:space="preserve">digit HS tariff item, </w:t>
      </w:r>
      <w:r w:rsidRPr="0092658B">
        <w:t>covering the period 2011</w:t>
      </w:r>
      <w:r w:rsidRPr="0092658B">
        <w:noBreakHyphen/>
        <w:t>12 to 2015</w:t>
      </w:r>
      <w:r w:rsidRPr="0092658B">
        <w:noBreakHyphen/>
        <w:t xml:space="preserve">16. </w:t>
      </w:r>
    </w:p>
    <w:p w14:paraId="191A41FA" w14:textId="699755F8" w:rsidR="000F22D6" w:rsidRDefault="000F22D6" w:rsidP="000F22D6">
      <w:pPr>
        <w:pStyle w:val="BodyText"/>
      </w:pPr>
      <w:r w:rsidRPr="0092658B">
        <w:t>These sche</w:t>
      </w:r>
      <w:r>
        <w:t>dules are based on schedules constructed for earlier TARs, which were originally downloaded from the APEC tariff database web site.</w:t>
      </w:r>
      <w:r>
        <w:rPr>
          <w:rStyle w:val="FootnoteReference"/>
        </w:rPr>
        <w:footnoteReference w:id="5"/>
      </w:r>
      <w:r>
        <w:t xml:space="preserve"> </w:t>
      </w:r>
    </w:p>
    <w:p w14:paraId="1F61DFA6" w14:textId="77777777" w:rsidR="000F22D6" w:rsidRDefault="000F22D6" w:rsidP="000F22D6">
      <w:pPr>
        <w:pStyle w:val="BodyText"/>
      </w:pPr>
      <w:r>
        <w:t>The original file contained annual data on tariff rates from 1996</w:t>
      </w:r>
      <w:r>
        <w:noBreakHyphen/>
        <w:t>97 to 2000</w:t>
      </w:r>
      <w:r>
        <w:noBreakHyphen/>
        <w:t xml:space="preserve">01. Specific rates and excise items were added to the schedule as obtained from the Australian Customs tariff schedules. Information on concessional tariff items, held by the Commission and available online from the Department of Immigration and Border Security were also added. </w:t>
      </w:r>
    </w:p>
    <w:p w14:paraId="08CDB641" w14:textId="77777777" w:rsidR="000F22D6" w:rsidRDefault="000F22D6" w:rsidP="000F22D6">
      <w:pPr>
        <w:pStyle w:val="BodyText"/>
      </w:pPr>
      <w:r w:rsidRPr="0092658B">
        <w:t xml:space="preserve">The tariff schedules </w:t>
      </w:r>
      <w:r>
        <w:t xml:space="preserve">used for later TARs were </w:t>
      </w:r>
      <w:r w:rsidRPr="0092658B">
        <w:t xml:space="preserve">updated to reflect changes in tariff items and tariff rates that </w:t>
      </w:r>
      <w:r>
        <w:t xml:space="preserve">have </w:t>
      </w:r>
      <w:r w:rsidRPr="0092658B">
        <w:t xml:space="preserve">happened since then. </w:t>
      </w:r>
      <w:r>
        <w:t>If there is any tariff item in the import data but not in the constructed tariff schedule, the schedule is extended to include the new tariff item. The Department of Foreign Affairs and Trade maintains a current version of the Australian tariff schedule and the Commission accesses it occasionally to supplement its constructed tariff schedules.</w:t>
      </w:r>
    </w:p>
    <w:p w14:paraId="56D59203" w14:textId="40D9EAA0" w:rsidR="000F22D6" w:rsidRPr="0092658B" w:rsidRDefault="000F22D6" w:rsidP="000F22D6">
      <w:pPr>
        <w:pStyle w:val="BodyText"/>
      </w:pPr>
      <w:r w:rsidRPr="0092658B">
        <w:t xml:space="preserve">Steps involved in updating the tariff schedule are detailed in appendix C.1 </w:t>
      </w:r>
      <w:r>
        <w:t xml:space="preserve">in </w:t>
      </w:r>
      <w:proofErr w:type="spellStart"/>
      <w:r w:rsidRPr="0092658B">
        <w:t>Cobau</w:t>
      </w:r>
      <w:proofErr w:type="spellEnd"/>
      <w:r w:rsidRPr="0092658B">
        <w:t xml:space="preserve"> and Wells </w:t>
      </w:r>
      <w:r>
        <w:t>(</w:t>
      </w:r>
      <w:r w:rsidRPr="0092658B">
        <w:t>2002).</w:t>
      </w:r>
    </w:p>
    <w:p w14:paraId="05772ACD" w14:textId="3772248E" w:rsidR="004A633F" w:rsidRDefault="00B35338" w:rsidP="00C41BDE">
      <w:pPr>
        <w:pStyle w:val="Heading3"/>
      </w:pPr>
      <w:r>
        <w:lastRenderedPageBreak/>
        <w:t>Stage 1: Calculating tariff price impacts using TIDES</w:t>
      </w:r>
    </w:p>
    <w:p w14:paraId="30ABC0F8" w14:textId="55B82246" w:rsidR="001C1825" w:rsidRPr="009D5D76" w:rsidRDefault="009B52E2" w:rsidP="009D5D76">
      <w:pPr>
        <w:pStyle w:val="BodyText"/>
      </w:pPr>
      <w:r>
        <w:t>The key task of TIDES is to estimate the price distortion effects of tariffs on domestic and imported products. As is shown in box 1, the operation is undertaken in three steps.</w:t>
      </w:r>
    </w:p>
    <w:p w14:paraId="05772ACF" w14:textId="77777777" w:rsidR="004A633F" w:rsidRDefault="006C0796" w:rsidP="00C41BDE">
      <w:pPr>
        <w:pStyle w:val="Heading4"/>
      </w:pPr>
      <w:r>
        <w:t xml:space="preserve">Step 1 in stage 1: </w:t>
      </w:r>
      <w:r w:rsidR="00190D1A">
        <w:t>c</w:t>
      </w:r>
      <w:r w:rsidR="004A633F">
        <w:t>alculat</w:t>
      </w:r>
      <w:r w:rsidR="00063329">
        <w:t>e</w:t>
      </w:r>
      <w:r w:rsidR="004A633F">
        <w:t xml:space="preserve"> imputed duty</w:t>
      </w:r>
      <w:r w:rsidR="00063329">
        <w:t xml:space="preserve"> for 8</w:t>
      </w:r>
      <w:r w:rsidR="00063329">
        <w:noBreakHyphen/>
        <w:t>digit HS classification</w:t>
      </w:r>
    </w:p>
    <w:p w14:paraId="5CCFFB8B" w14:textId="613294A0" w:rsidR="00B35338" w:rsidRDefault="00B35338" w:rsidP="006C0796">
      <w:pPr>
        <w:pStyle w:val="BodyText"/>
      </w:pPr>
      <w:r>
        <w:t>As a first step, TIDES derives an estimate of ‘imputed duty’ for each import item – that is, the notional duty payable for each tariff item, given its value of imports and operative tariff rate. The calculations are made at the 8</w:t>
      </w:r>
      <w:r>
        <w:noBreakHyphen/>
        <w:t xml:space="preserve">digit tariff line item level, the classification level at which tariffs are </w:t>
      </w:r>
      <w:r w:rsidR="006540F1">
        <w:t>levi</w:t>
      </w:r>
      <w:r>
        <w:t>ed.</w:t>
      </w:r>
    </w:p>
    <w:p w14:paraId="1D49751C" w14:textId="19A68FFE" w:rsidR="00B35338" w:rsidRDefault="00B35338" w:rsidP="006C0796">
      <w:pPr>
        <w:pStyle w:val="BodyText"/>
      </w:pPr>
      <w:r>
        <w:t>To take into account the effects of relevant tariff concessions and duty exemptions on imported good</w:t>
      </w:r>
      <w:r w:rsidR="003422C9">
        <w:t>s, TIDES separates the import d</w:t>
      </w:r>
      <w:r>
        <w:t xml:space="preserve">ata into </w:t>
      </w:r>
      <w:r w:rsidR="004935E4">
        <w:t>four</w:t>
      </w:r>
      <w:r>
        <w:t xml:space="preserve"> </w:t>
      </w:r>
      <w:r w:rsidR="00830C2F">
        <w:t xml:space="preserve">treatment </w:t>
      </w:r>
      <w:r>
        <w:t>groups and then estimates imputed duty separately for each group.</w:t>
      </w:r>
    </w:p>
    <w:p w14:paraId="4CFC0F65" w14:textId="753FB675" w:rsidR="003D1E0C" w:rsidRDefault="00E6699C" w:rsidP="00B80F7E">
      <w:pPr>
        <w:pStyle w:val="BodyText"/>
      </w:pPr>
      <w:r>
        <w:t xml:space="preserve">There are around 250 treatment </w:t>
      </w:r>
      <w:r w:rsidRPr="009C5010">
        <w:rPr>
          <w:i/>
        </w:rPr>
        <w:t>codes</w:t>
      </w:r>
      <w:r>
        <w:t xml:space="preserve"> for imports in 2013</w:t>
      </w:r>
      <w:r>
        <w:noBreakHyphen/>
        <w:t>14, and t</w:t>
      </w:r>
      <w:r w:rsidR="00F01983">
        <w:t xml:space="preserve">he </w:t>
      </w:r>
      <w:r>
        <w:t>placement</w:t>
      </w:r>
      <w:r w:rsidR="00F01983">
        <w:t xml:space="preserve"> of a tariff item to </w:t>
      </w:r>
      <w:r w:rsidR="009C5010">
        <w:t>one of the four</w:t>
      </w:r>
      <w:r>
        <w:t xml:space="preserve"> </w:t>
      </w:r>
      <w:r w:rsidR="009D5D76">
        <w:t xml:space="preserve">treatment </w:t>
      </w:r>
      <w:r w:rsidR="009D5D76" w:rsidRPr="009C5010">
        <w:rPr>
          <w:i/>
        </w:rPr>
        <w:t>group</w:t>
      </w:r>
      <w:r w:rsidR="009C5010" w:rsidRPr="009C5010">
        <w:rPr>
          <w:i/>
        </w:rPr>
        <w:t>s</w:t>
      </w:r>
      <w:r w:rsidR="009D5D76">
        <w:t xml:space="preserve"> is primarily determined by </w:t>
      </w:r>
      <w:r w:rsidR="003D1E0C">
        <w:t>assumptions made about the extent of the price raising effects of th</w:t>
      </w:r>
      <w:r w:rsidR="00313A0D">
        <w:t xml:space="preserve">e tariff levied </w:t>
      </w:r>
      <w:r w:rsidR="003D1E0C">
        <w:t>on the item.</w:t>
      </w:r>
    </w:p>
    <w:p w14:paraId="36254898" w14:textId="26FCCC7A" w:rsidR="00FD1B63" w:rsidRDefault="009D5D76" w:rsidP="00B80F7E">
      <w:pPr>
        <w:pStyle w:val="BodyText"/>
      </w:pPr>
      <w:r>
        <w:t>F</w:t>
      </w:r>
      <w:r w:rsidR="003D1E0C">
        <w:t xml:space="preserve">or </w:t>
      </w:r>
      <w:r>
        <w:t xml:space="preserve">the </w:t>
      </w:r>
      <w:r w:rsidRPr="00555C76">
        <w:rPr>
          <w:i/>
        </w:rPr>
        <w:t>general</w:t>
      </w:r>
      <w:r>
        <w:t xml:space="preserve"> entry items </w:t>
      </w:r>
      <w:r w:rsidR="006540F1">
        <w:t xml:space="preserve">which are assigned a </w:t>
      </w:r>
      <w:r w:rsidR="000F22D6">
        <w:t>‘</w:t>
      </w:r>
      <w:r w:rsidR="006540F1">
        <w:t>zero’</w:t>
      </w:r>
      <w:r w:rsidR="003D1E0C">
        <w:t xml:space="preserve"> treatment code (approximately 50 per cent of all merchandise imports </w:t>
      </w:r>
      <w:r w:rsidR="00FE7DC7">
        <w:t xml:space="preserve">value </w:t>
      </w:r>
      <w:r w:rsidR="003D1E0C">
        <w:t>in 2013</w:t>
      </w:r>
      <w:r w:rsidR="003D1E0C">
        <w:noBreakHyphen/>
        <w:t xml:space="preserve">14), </w:t>
      </w:r>
      <w:r>
        <w:t xml:space="preserve">it is assumed that the landed price of imports is increased by the full amount of the tariff. </w:t>
      </w:r>
      <w:r w:rsidR="00E6699C">
        <w:t xml:space="preserve">These </w:t>
      </w:r>
      <w:r w:rsidR="000F22D6">
        <w:t xml:space="preserve">import </w:t>
      </w:r>
      <w:r w:rsidR="00E6699C">
        <w:t xml:space="preserve">items </w:t>
      </w:r>
      <w:r w:rsidR="000F22D6">
        <w:t>are grouped</w:t>
      </w:r>
      <w:r w:rsidR="00E6699C">
        <w:t xml:space="preserve"> into treatment group 1</w:t>
      </w:r>
      <w:r w:rsidR="003D1E0C">
        <w:t>. Judging by the nature of the items from the treatment code</w:t>
      </w:r>
      <w:r w:rsidR="00F01983">
        <w:t xml:space="preserve"> description, </w:t>
      </w:r>
      <w:r w:rsidR="009C5010">
        <w:t xml:space="preserve">a </w:t>
      </w:r>
      <w:r w:rsidR="003D1E0C">
        <w:t xml:space="preserve">similar </w:t>
      </w:r>
      <w:r w:rsidR="00F01983">
        <w:t xml:space="preserve">assumption </w:t>
      </w:r>
      <w:r w:rsidR="000F22D6">
        <w:t xml:space="preserve">about their price raising effect </w:t>
      </w:r>
      <w:r w:rsidR="00F01983">
        <w:t xml:space="preserve">is made about another </w:t>
      </w:r>
      <w:r w:rsidR="005C064D">
        <w:t>3</w:t>
      </w:r>
      <w:r>
        <w:t>0 per cent</w:t>
      </w:r>
      <w:r w:rsidR="003D1E0C">
        <w:t xml:space="preserve">, and they </w:t>
      </w:r>
      <w:r w:rsidR="000F22D6">
        <w:t xml:space="preserve">are </w:t>
      </w:r>
      <w:r w:rsidR="009C5010">
        <w:t>added</w:t>
      </w:r>
      <w:r>
        <w:t xml:space="preserve"> to </w:t>
      </w:r>
      <w:r w:rsidR="000F22D6">
        <w:t>treatment group 1</w:t>
      </w:r>
      <w:r>
        <w:t xml:space="preserve">. </w:t>
      </w:r>
    </w:p>
    <w:p w14:paraId="522D1B7D" w14:textId="031E17B6" w:rsidR="00E6699C" w:rsidRDefault="00FE7DC7" w:rsidP="00B80F7E">
      <w:pPr>
        <w:pStyle w:val="BodyText"/>
      </w:pPr>
      <w:r w:rsidRPr="005B1951">
        <w:rPr>
          <w:i/>
        </w:rPr>
        <w:t>Government</w:t>
      </w:r>
      <w:r>
        <w:t xml:space="preserve"> entry items fall into t</w:t>
      </w:r>
      <w:r w:rsidR="009D5D76">
        <w:t>reatment group 2</w:t>
      </w:r>
      <w:r>
        <w:t xml:space="preserve">. </w:t>
      </w:r>
      <w:r w:rsidR="004C251C" w:rsidRPr="009C5010">
        <w:t>These</w:t>
      </w:r>
      <w:r>
        <w:t xml:space="preserve"> items comprise goods imported by the government such as defence goods and goods for general </w:t>
      </w:r>
      <w:r w:rsidR="004C251C">
        <w:t xml:space="preserve">government use. </w:t>
      </w:r>
      <w:r w:rsidR="000F22D6">
        <w:t>I</w:t>
      </w:r>
      <w:r w:rsidR="005C064D">
        <w:t xml:space="preserve">mports under this group </w:t>
      </w:r>
      <w:r w:rsidR="004C251C">
        <w:t xml:space="preserve">are usually </w:t>
      </w:r>
      <w:r w:rsidR="005C064D">
        <w:t>negligible</w:t>
      </w:r>
      <w:r w:rsidR="000F22D6">
        <w:t xml:space="preserve"> and </w:t>
      </w:r>
      <w:r w:rsidR="009C5010">
        <w:t>are</w:t>
      </w:r>
      <w:r w:rsidR="000F22D6">
        <w:t xml:space="preserve"> duty free</w:t>
      </w:r>
      <w:r w:rsidR="00E6699C">
        <w:t>.</w:t>
      </w:r>
      <w:r w:rsidR="009D5D76">
        <w:t xml:space="preserve"> </w:t>
      </w:r>
    </w:p>
    <w:p w14:paraId="5F4DC7C2" w14:textId="77777777" w:rsidR="006E4FA7" w:rsidRDefault="004C251C" w:rsidP="006E4FA7">
      <w:pPr>
        <w:pStyle w:val="BodyText"/>
      </w:pPr>
      <w:r>
        <w:t>T</w:t>
      </w:r>
      <w:r w:rsidR="00FD1B63">
        <w:t>he remaining 20 per cent of merchandise import</w:t>
      </w:r>
      <w:r>
        <w:t>s</w:t>
      </w:r>
      <w:r w:rsidR="00313A0D">
        <w:t xml:space="preserve"> are</w:t>
      </w:r>
      <w:r w:rsidR="00C17F41">
        <w:t xml:space="preserve"> </w:t>
      </w:r>
      <w:r w:rsidR="003D1E0C">
        <w:rPr>
          <w:i/>
        </w:rPr>
        <w:t>c</w:t>
      </w:r>
      <w:r w:rsidR="00313A0D" w:rsidRPr="005B1951">
        <w:rPr>
          <w:i/>
        </w:rPr>
        <w:t>oncessional</w:t>
      </w:r>
      <w:r w:rsidR="00313A0D">
        <w:t xml:space="preserve"> entry items. </w:t>
      </w:r>
      <w:r w:rsidR="006E4FA7">
        <w:t>W</w:t>
      </w:r>
      <w:r w:rsidR="00C17F41">
        <w:t>ithin this group, t</w:t>
      </w:r>
      <w:r w:rsidR="00B71678">
        <w:t xml:space="preserve">here are two </w:t>
      </w:r>
      <w:r w:rsidR="004935E4">
        <w:t>type</w:t>
      </w:r>
      <w:r w:rsidR="00B71678">
        <w:t>s of items</w:t>
      </w:r>
      <w:r w:rsidR="006E4FA7">
        <w:t xml:space="preserve">: </w:t>
      </w:r>
    </w:p>
    <w:p w14:paraId="762F1B4A" w14:textId="77777777" w:rsidR="006E4FA7" w:rsidRDefault="00313A0D" w:rsidP="006E4FA7">
      <w:pPr>
        <w:pStyle w:val="ListBullet"/>
      </w:pPr>
      <w:r>
        <w:t>T</w:t>
      </w:r>
      <w:r w:rsidR="00B71678">
        <w:t>ariff items for which a concessional tariff rate is specified in schedule 4 of the Australian Customs tariff schedule</w:t>
      </w:r>
      <w:r>
        <w:t xml:space="preserve"> are </w:t>
      </w:r>
      <w:r w:rsidR="000F22D6">
        <w:t>classifi</w:t>
      </w:r>
      <w:r>
        <w:t>ed into treatment group </w:t>
      </w:r>
      <w:r w:rsidR="003D1E0C">
        <w:t>3</w:t>
      </w:r>
      <w:r w:rsidR="00B71678">
        <w:t xml:space="preserve">. </w:t>
      </w:r>
    </w:p>
    <w:p w14:paraId="225F0E5B" w14:textId="77777777" w:rsidR="006E4FA7" w:rsidRDefault="00B71678" w:rsidP="006E4FA7">
      <w:pPr>
        <w:pStyle w:val="ListBullet"/>
      </w:pPr>
      <w:r>
        <w:t xml:space="preserve">Tariff items </w:t>
      </w:r>
      <w:r w:rsidR="004935E4">
        <w:t xml:space="preserve">for which </w:t>
      </w:r>
      <w:r>
        <w:t xml:space="preserve">a concessional rate is not specified in schedule 4 </w:t>
      </w:r>
      <w:r w:rsidR="000015F3">
        <w:t xml:space="preserve">are in group 4. </w:t>
      </w:r>
    </w:p>
    <w:p w14:paraId="05772AD5" w14:textId="0F879112" w:rsidR="00B80F7E" w:rsidRDefault="006E4FA7" w:rsidP="006E4FA7">
      <w:pPr>
        <w:pStyle w:val="BodyText"/>
      </w:pPr>
      <w:r>
        <w:t>T</w:t>
      </w:r>
      <w:r w:rsidR="00B53AEB">
        <w:t xml:space="preserve">he price raising effects </w:t>
      </w:r>
      <w:r w:rsidR="000015F3">
        <w:t xml:space="preserve">of items in </w:t>
      </w:r>
      <w:r w:rsidR="00C17F41">
        <w:t xml:space="preserve">group 3 are </w:t>
      </w:r>
      <w:r>
        <w:t xml:space="preserve">calculated with </w:t>
      </w:r>
      <w:r w:rsidR="00C17F41">
        <w:t xml:space="preserve">the concessional rate levied on them, whereas for </w:t>
      </w:r>
      <w:r w:rsidR="000015F3">
        <w:t>group 4</w:t>
      </w:r>
      <w:r w:rsidR="00C17F41">
        <w:t>, the price raising effects</w:t>
      </w:r>
      <w:r w:rsidR="000015F3">
        <w:t xml:space="preserve"> </w:t>
      </w:r>
      <w:r w:rsidR="00B53AEB">
        <w:t xml:space="preserve">are </w:t>
      </w:r>
      <w:r>
        <w:t xml:space="preserve">calculated as </w:t>
      </w:r>
      <w:r w:rsidR="00B53AEB">
        <w:t>the actual duty paid</w:t>
      </w:r>
      <w:r w:rsidR="00E11D7D">
        <w:t>.</w:t>
      </w:r>
    </w:p>
    <w:p w14:paraId="5B10FCA2" w14:textId="5395AA2E" w:rsidR="00F84BA6" w:rsidRPr="00E1386D" w:rsidRDefault="00F84BA6" w:rsidP="006D2A56">
      <w:pPr>
        <w:pStyle w:val="BodyText"/>
      </w:pPr>
      <w:r w:rsidRPr="00F84BA6">
        <w:t xml:space="preserve">The calculation of imputed duty is different for each treatment group. </w:t>
      </w:r>
    </w:p>
    <w:p w14:paraId="05772AD6" w14:textId="0E61D612" w:rsidR="00404AD2" w:rsidRPr="00404AD2" w:rsidRDefault="00404AD2" w:rsidP="00C41BDE">
      <w:pPr>
        <w:pStyle w:val="Heading5"/>
      </w:pPr>
      <w:r w:rsidRPr="00404AD2">
        <w:lastRenderedPageBreak/>
        <w:t>Imputed duty for general entry items</w:t>
      </w:r>
      <w:r w:rsidR="000F22D6">
        <w:t xml:space="preserve"> (treatment group 1)</w:t>
      </w:r>
    </w:p>
    <w:p w14:paraId="05772AD7" w14:textId="3FC2D710" w:rsidR="005D36A9" w:rsidRPr="005D36A9" w:rsidRDefault="007D4B81" w:rsidP="00404AD2">
      <w:pPr>
        <w:pStyle w:val="BodyText"/>
        <w:spacing w:before="120"/>
      </w:pPr>
      <w:r w:rsidRPr="006E4FA7">
        <w:rPr>
          <w:i/>
        </w:rPr>
        <w:t>G</w:t>
      </w:r>
      <w:r w:rsidR="004A633F">
        <w:rPr>
          <w:i/>
        </w:rPr>
        <w:t>eneral</w:t>
      </w:r>
      <w:r w:rsidR="004A633F">
        <w:t xml:space="preserve"> entry items </w:t>
      </w:r>
      <w:r>
        <w:t>comprise imported items that are subject to the general most favoured nation (MFN) tariff rate and do not receive any form of tariff concession or exemption.</w:t>
      </w:r>
      <w:r w:rsidR="000C550B">
        <w:t xml:space="preserve"> </w:t>
      </w:r>
      <w:r w:rsidR="005D36A9" w:rsidRPr="005D36A9">
        <w:t xml:space="preserve">Imputed duty for them is calculated as the </w:t>
      </w:r>
      <w:r w:rsidR="00E66294">
        <w:t>VFD</w:t>
      </w:r>
      <w:r w:rsidR="00353EB7">
        <w:t xml:space="preserve"> value</w:t>
      </w:r>
      <w:r w:rsidR="00E66294">
        <w:t xml:space="preserve"> </w:t>
      </w:r>
      <w:r>
        <w:t xml:space="preserve">of imports </w:t>
      </w:r>
      <w:r w:rsidR="005D36A9" w:rsidRPr="005D36A9">
        <w:t xml:space="preserve">multiplied by the </w:t>
      </w:r>
      <w:r>
        <w:t xml:space="preserve">annualised </w:t>
      </w:r>
      <w:r w:rsidR="003E47E2">
        <w:t xml:space="preserve">published </w:t>
      </w:r>
      <w:r w:rsidR="005D36A9" w:rsidRPr="005D36A9">
        <w:t xml:space="preserve">tariff rate </w:t>
      </w:r>
      <w:r w:rsidR="003E47E2">
        <w:t xml:space="preserve">(AVGRATE) </w:t>
      </w:r>
      <w:r w:rsidR="005D36A9" w:rsidRPr="005D36A9">
        <w:t xml:space="preserve">for each </w:t>
      </w:r>
      <w:r w:rsidR="003E47E2">
        <w:t>8</w:t>
      </w:r>
      <w:r w:rsidR="003E47E2">
        <w:noBreakHyphen/>
        <w:t xml:space="preserve">digit HS </w:t>
      </w:r>
      <w:r w:rsidR="005D36A9" w:rsidRPr="005D36A9">
        <w:t>tariff item</w:t>
      </w:r>
      <w:r w:rsidR="004F6CD8">
        <w:t>:</w:t>
      </w:r>
      <w:r>
        <w:rPr>
          <w:rStyle w:val="FootnoteReference"/>
        </w:rPr>
        <w:footnoteReference w:id="6"/>
      </w:r>
      <w:r w:rsidR="004F6CD8">
        <w:t xml:space="preserve"> </w:t>
      </w:r>
    </w:p>
    <w:p w14:paraId="05772AD8" w14:textId="44DF72E5" w:rsidR="005D36A9" w:rsidRPr="005D36A9" w:rsidRDefault="005D36A9" w:rsidP="005D36A9">
      <w:pPr>
        <w:pStyle w:val="BodyText"/>
        <w:ind w:left="1560"/>
      </w:pPr>
      <w:r w:rsidRPr="005D36A9">
        <w:t>IMPD = (AVGRATE/100)*(VFD)                                           (1)</w:t>
      </w:r>
    </w:p>
    <w:p w14:paraId="3E41B866" w14:textId="686C5266" w:rsidR="003E47E2" w:rsidRDefault="003E47E2">
      <w:pPr>
        <w:pStyle w:val="BodyText"/>
      </w:pPr>
      <w:r>
        <w:t>For a</w:t>
      </w:r>
      <w:r w:rsidR="007D4B81">
        <w:t xml:space="preserve"> small share of general entry imports (3 per cent in 2013</w:t>
      </w:r>
      <w:r w:rsidR="007D4B81">
        <w:noBreakHyphen/>
        <w:t>14)</w:t>
      </w:r>
      <w:r>
        <w:t>,</w:t>
      </w:r>
      <w:r w:rsidR="007D4B81">
        <w:t xml:space="preserve"> </w:t>
      </w:r>
      <w:r>
        <w:t xml:space="preserve">tariff </w:t>
      </w:r>
      <w:r w:rsidR="009675F1">
        <w:t xml:space="preserve">rates are reported on </w:t>
      </w:r>
      <w:r w:rsidR="009675F1" w:rsidRPr="00B55FF5">
        <w:rPr>
          <w:i/>
        </w:rPr>
        <w:t>specific</w:t>
      </w:r>
      <w:r w:rsidR="009675F1">
        <w:t xml:space="preserve"> rate</w:t>
      </w:r>
      <w:r w:rsidR="00F87288">
        <w:t>s</w:t>
      </w:r>
      <w:r w:rsidR="009675F1">
        <w:t xml:space="preserve"> basis</w:t>
      </w:r>
      <w:r w:rsidR="008B4488">
        <w:t xml:space="preserve"> (</w:t>
      </w:r>
      <w:proofErr w:type="spellStart"/>
      <w:r w:rsidR="008B4488">
        <w:t>eg</w:t>
      </w:r>
      <w:proofErr w:type="spellEnd"/>
      <w:r w:rsidR="008B4488">
        <w:t xml:space="preserve"> $A/tonne)</w:t>
      </w:r>
      <w:r w:rsidR="004F6CD8">
        <w:t xml:space="preserve">. These </w:t>
      </w:r>
      <w:r>
        <w:t xml:space="preserve">are converted to their </w:t>
      </w:r>
      <w:r w:rsidRPr="004F6CD8">
        <w:rPr>
          <w:i/>
        </w:rPr>
        <w:t>ad valorem</w:t>
      </w:r>
      <w:r>
        <w:t xml:space="preserve"> equivalent before applying the above formula to calculate imputed duty.</w:t>
      </w:r>
    </w:p>
    <w:p w14:paraId="05772ADA" w14:textId="1D9B5EB4" w:rsidR="009675F1" w:rsidRDefault="00B555A9">
      <w:pPr>
        <w:pStyle w:val="BodyText"/>
      </w:pPr>
      <w:r>
        <w:t xml:space="preserve">There are two </w:t>
      </w:r>
      <w:r w:rsidRPr="0078247D">
        <w:rPr>
          <w:i/>
        </w:rPr>
        <w:t>specific</w:t>
      </w:r>
      <w:r>
        <w:t xml:space="preserve"> rates: </w:t>
      </w:r>
      <w:r w:rsidR="00404AD2">
        <w:t>excisable</w:t>
      </w:r>
      <w:r>
        <w:t xml:space="preserve"> and non-excisable. </w:t>
      </w:r>
      <w:r w:rsidR="00404AD2">
        <w:t>The entire amount of the</w:t>
      </w:r>
      <w:r>
        <w:t xml:space="preserve"> </w:t>
      </w:r>
      <w:r w:rsidR="009675F1">
        <w:t xml:space="preserve">non-excisable </w:t>
      </w:r>
      <w:r w:rsidR="00404AD2">
        <w:t xml:space="preserve">rate and </w:t>
      </w:r>
      <w:r w:rsidR="00853730">
        <w:t xml:space="preserve">only </w:t>
      </w:r>
      <w:r w:rsidR="00404AD2">
        <w:t>the non-</w:t>
      </w:r>
      <w:r>
        <w:t xml:space="preserve">excisable </w:t>
      </w:r>
      <w:r w:rsidR="00404AD2">
        <w:t xml:space="preserve">part </w:t>
      </w:r>
      <w:r w:rsidR="00992FF8">
        <w:t xml:space="preserve">(the protective component) </w:t>
      </w:r>
      <w:r w:rsidR="00404AD2">
        <w:t xml:space="preserve">of the excisable rate </w:t>
      </w:r>
      <w:r w:rsidR="008B4488">
        <w:t xml:space="preserve">are </w:t>
      </w:r>
      <w:r w:rsidR="00A548BB">
        <w:t xml:space="preserve">used </w:t>
      </w:r>
      <w:r w:rsidR="00404AD2">
        <w:t xml:space="preserve">to estimate the tariff impact. The </w:t>
      </w:r>
      <w:r w:rsidR="00404AD2" w:rsidRPr="00404AD2">
        <w:rPr>
          <w:i/>
        </w:rPr>
        <w:t>specific</w:t>
      </w:r>
      <w:r w:rsidR="00404AD2">
        <w:t xml:space="preserve"> rates are </w:t>
      </w:r>
      <w:r w:rsidR="009675F1">
        <w:t>convert</w:t>
      </w:r>
      <w:r w:rsidR="00404AD2">
        <w:t>ed</w:t>
      </w:r>
      <w:r w:rsidR="009675F1">
        <w:t xml:space="preserve"> </w:t>
      </w:r>
      <w:r w:rsidR="00404AD2">
        <w:t>to</w:t>
      </w:r>
      <w:r w:rsidR="009675F1">
        <w:t xml:space="preserve"> </w:t>
      </w:r>
      <w:r w:rsidR="009675F1" w:rsidRPr="0078247D">
        <w:rPr>
          <w:i/>
        </w:rPr>
        <w:t>ad valorem</w:t>
      </w:r>
      <w:r w:rsidR="009675F1">
        <w:t xml:space="preserve"> </w:t>
      </w:r>
      <w:r w:rsidR="00404AD2">
        <w:t xml:space="preserve">rates </w:t>
      </w:r>
      <w:r w:rsidR="00DC58F2">
        <w:t xml:space="preserve">by multiplying </w:t>
      </w:r>
      <w:r w:rsidR="00DC58F2" w:rsidRPr="005D36A9">
        <w:t xml:space="preserve">the </w:t>
      </w:r>
      <w:r w:rsidR="009675F1" w:rsidRPr="0078247D">
        <w:rPr>
          <w:i/>
        </w:rPr>
        <w:t>specific</w:t>
      </w:r>
      <w:r w:rsidR="009675F1" w:rsidRPr="005D36A9">
        <w:t xml:space="preserve"> tariff rate by the quantity imported, and </w:t>
      </w:r>
      <w:r w:rsidR="00A548BB">
        <w:t xml:space="preserve">dividing </w:t>
      </w:r>
      <w:r w:rsidR="009675F1" w:rsidRPr="005D36A9">
        <w:t>the</w:t>
      </w:r>
      <w:r w:rsidR="000D6C3B">
        <w:t xml:space="preserve"> value</w:t>
      </w:r>
      <w:r w:rsidR="009675F1" w:rsidRPr="005D36A9">
        <w:t xml:space="preserve"> by the </w:t>
      </w:r>
      <w:r w:rsidR="008B4488">
        <w:t xml:space="preserve">VFD </w:t>
      </w:r>
      <w:r w:rsidR="009675F1" w:rsidRPr="005D36A9">
        <w:t>value</w:t>
      </w:r>
      <w:r w:rsidR="00404AD2">
        <w:t>.</w:t>
      </w:r>
    </w:p>
    <w:p w14:paraId="5E4E8769" w14:textId="7BB8B80D" w:rsidR="000C550B" w:rsidRPr="00404AD2" w:rsidRDefault="000C550B" w:rsidP="000C550B">
      <w:pPr>
        <w:pStyle w:val="Heading5"/>
      </w:pPr>
      <w:r w:rsidRPr="00404AD2">
        <w:t xml:space="preserve">Imputed duty for </w:t>
      </w:r>
      <w:r>
        <w:t>government</w:t>
      </w:r>
      <w:r w:rsidRPr="00404AD2">
        <w:t xml:space="preserve"> entry items</w:t>
      </w:r>
      <w:r>
        <w:t xml:space="preserve"> (treatment group 2)</w:t>
      </w:r>
    </w:p>
    <w:p w14:paraId="3F452D5E" w14:textId="57AF4C02" w:rsidR="000C550B" w:rsidRPr="005D36A9" w:rsidRDefault="000C550B">
      <w:pPr>
        <w:pStyle w:val="BodyText"/>
      </w:pPr>
      <w:r>
        <w:t>The imputed duty for import items under this category is zero.</w:t>
      </w:r>
    </w:p>
    <w:p w14:paraId="05772ADB" w14:textId="0BE542D1" w:rsidR="00404AD2" w:rsidRPr="00404AD2" w:rsidRDefault="00404AD2" w:rsidP="00C41BDE">
      <w:pPr>
        <w:pStyle w:val="Heading5"/>
      </w:pPr>
      <w:r w:rsidRPr="00404AD2">
        <w:t>Imputed duty for concessional entry items</w:t>
      </w:r>
      <w:r w:rsidR="000C550B">
        <w:t xml:space="preserve"> (treatment groups 3 and 4)</w:t>
      </w:r>
    </w:p>
    <w:p w14:paraId="7559B1D8" w14:textId="0E92A774" w:rsidR="00FB5715" w:rsidRDefault="00FB5715" w:rsidP="00E1386D">
      <w:pPr>
        <w:pStyle w:val="BodyText"/>
      </w:pPr>
      <w:r>
        <w:t xml:space="preserve">The calculation of imputed duty for </w:t>
      </w:r>
      <w:r>
        <w:rPr>
          <w:i/>
        </w:rPr>
        <w:t>concessional</w:t>
      </w:r>
      <w:r>
        <w:t xml:space="preserve"> entry items is similar to that for </w:t>
      </w:r>
      <w:r w:rsidRPr="006D2A56">
        <w:rPr>
          <w:i/>
        </w:rPr>
        <w:t>general</w:t>
      </w:r>
      <w:r>
        <w:t xml:space="preserve"> entry items except that the rate is adjusted to reflect the concession. </w:t>
      </w:r>
      <w:r w:rsidR="0074157C">
        <w:t>However, the imputation depends on which of the two treatment groups the tariff item falls into.</w:t>
      </w:r>
    </w:p>
    <w:p w14:paraId="05772ADD" w14:textId="4B7EA9DA" w:rsidR="004A633F" w:rsidRPr="005D36A9" w:rsidRDefault="003E47E2" w:rsidP="005A5E98">
      <w:pPr>
        <w:pStyle w:val="BodyText"/>
      </w:pPr>
      <w:r>
        <w:t>For</w:t>
      </w:r>
      <w:r w:rsidR="0074157C">
        <w:t xml:space="preserve"> tariff item in treatment group 3, t</w:t>
      </w:r>
      <w:r w:rsidR="00387B5E">
        <w:t>he</w:t>
      </w:r>
      <w:r w:rsidR="00EC1D6D">
        <w:t xml:space="preserve"> tariff rate used to calculate imputed duty </w:t>
      </w:r>
      <w:r w:rsidR="0074157C">
        <w:t>is</w:t>
      </w:r>
      <w:r w:rsidR="002B4030">
        <w:t xml:space="preserve"> </w:t>
      </w:r>
      <w:r w:rsidR="00EC1D6D">
        <w:t xml:space="preserve">lower of </w:t>
      </w:r>
      <w:r w:rsidR="00A548BB">
        <w:t>the</w:t>
      </w:r>
      <w:r w:rsidR="00A548BB" w:rsidRPr="005D36A9">
        <w:t xml:space="preserve"> </w:t>
      </w:r>
      <w:r w:rsidR="004A633F" w:rsidRPr="005D36A9">
        <w:t xml:space="preserve">concessional rate or </w:t>
      </w:r>
      <w:r w:rsidR="00D227A0" w:rsidRPr="005D36A9">
        <w:t xml:space="preserve">the </w:t>
      </w:r>
      <w:r w:rsidR="000C550B">
        <w:t>standard rate as in the schedule</w:t>
      </w:r>
      <w:r w:rsidR="004A633F" w:rsidRPr="005D36A9">
        <w:t xml:space="preserve">. </w:t>
      </w:r>
      <w:r w:rsidR="000C550B">
        <w:t>The tariff rate used is termed as CRATE, and the i</w:t>
      </w:r>
      <w:r w:rsidR="004A633F" w:rsidRPr="005D36A9">
        <w:t xml:space="preserve">mputed duty </w:t>
      </w:r>
      <w:r w:rsidR="008B4488" w:rsidRPr="005D36A9">
        <w:t xml:space="preserve">for each 8-digit tariff item </w:t>
      </w:r>
      <w:r w:rsidR="00EC1D6D">
        <w:t>in</w:t>
      </w:r>
      <w:r w:rsidR="00387B5E">
        <w:t xml:space="preserve"> </w:t>
      </w:r>
      <w:r w:rsidR="00B53AEB">
        <w:t>this group</w:t>
      </w:r>
      <w:r w:rsidR="00387B5E">
        <w:t xml:space="preserve"> </w:t>
      </w:r>
      <w:r w:rsidR="004A633F" w:rsidRPr="005D36A9">
        <w:t>is</w:t>
      </w:r>
      <w:r w:rsidR="008B4488">
        <w:t>:</w:t>
      </w:r>
      <w:r w:rsidR="004A633F" w:rsidRPr="005D36A9">
        <w:t xml:space="preserve"> </w:t>
      </w:r>
    </w:p>
    <w:p w14:paraId="05772ADE" w14:textId="32FE450E" w:rsidR="004A633F" w:rsidRPr="005D36A9" w:rsidRDefault="004A633F" w:rsidP="004A633F">
      <w:pPr>
        <w:pStyle w:val="BodyText"/>
        <w:ind w:left="1701"/>
      </w:pPr>
      <w:r w:rsidRPr="005D36A9">
        <w:t xml:space="preserve">IMPD </w:t>
      </w:r>
      <w:r w:rsidR="00007B8F" w:rsidRPr="005D36A9">
        <w:t>= (CRATE/100)</w:t>
      </w:r>
      <w:r w:rsidR="00007B8F">
        <w:t>*(VFD)</w:t>
      </w:r>
      <w:r w:rsidRPr="005D36A9">
        <w:t xml:space="preserve">                                             (2)</w:t>
      </w:r>
    </w:p>
    <w:p w14:paraId="0287BD3F" w14:textId="030AD239" w:rsidR="005A5E98" w:rsidRDefault="00387B5E" w:rsidP="00EC1D6D">
      <w:pPr>
        <w:pStyle w:val="BodyText"/>
      </w:pPr>
      <w:r>
        <w:t xml:space="preserve">For </w:t>
      </w:r>
      <w:r w:rsidR="00B53AEB">
        <w:t xml:space="preserve">treatment group 4, </w:t>
      </w:r>
      <w:r w:rsidR="000C550B">
        <w:t xml:space="preserve">in the absence of a scheduled rate, </w:t>
      </w:r>
      <w:r w:rsidR="001717C3">
        <w:t xml:space="preserve">an implicit </w:t>
      </w:r>
      <w:r w:rsidR="00D670DF">
        <w:t xml:space="preserve">duty </w:t>
      </w:r>
      <w:r w:rsidR="001717C3">
        <w:t>rate is</w:t>
      </w:r>
      <w:r w:rsidR="00D670DF">
        <w:t xml:space="preserve"> </w:t>
      </w:r>
      <w:r w:rsidR="001717C3">
        <w:t>estimated to provide an indication of the concession received.</w:t>
      </w:r>
      <w:r w:rsidR="008B4488">
        <w:t xml:space="preserve"> </w:t>
      </w:r>
      <w:r w:rsidR="001717C3">
        <w:t xml:space="preserve">The implicit rate is </w:t>
      </w:r>
      <w:r w:rsidR="00D670DF">
        <w:t>calculated as</w:t>
      </w:r>
      <w:r>
        <w:t xml:space="preserve"> </w:t>
      </w:r>
      <w:r w:rsidR="004A633F">
        <w:t xml:space="preserve">duty paid divided by VFD. </w:t>
      </w:r>
      <w:r w:rsidR="00D670DF">
        <w:t>The</w:t>
      </w:r>
      <w:r w:rsidR="004A633F">
        <w:t xml:space="preserve"> </w:t>
      </w:r>
      <w:r w:rsidR="000C550B">
        <w:t>tariff rate used to calculate i</w:t>
      </w:r>
      <w:r w:rsidR="004A633F">
        <w:t>mputed duty</w:t>
      </w:r>
      <w:r w:rsidR="00D670DF">
        <w:t xml:space="preserve"> is IRATE</w:t>
      </w:r>
      <w:r w:rsidR="00D1600F">
        <w:t>,</w:t>
      </w:r>
      <w:r w:rsidR="00D670DF">
        <w:t xml:space="preserve"> which is</w:t>
      </w:r>
      <w:r w:rsidR="004A633F">
        <w:t xml:space="preserve"> the lower of the implicit rate or </w:t>
      </w:r>
      <w:r w:rsidR="008B4488">
        <w:t xml:space="preserve">the </w:t>
      </w:r>
      <w:r w:rsidR="009F3B84">
        <w:t xml:space="preserve">average </w:t>
      </w:r>
      <w:r w:rsidR="004A633F">
        <w:t>rate</w:t>
      </w:r>
      <w:r w:rsidR="00330711">
        <w:t>:</w:t>
      </w:r>
    </w:p>
    <w:p w14:paraId="05772AE2" w14:textId="664A5F51" w:rsidR="004A633F" w:rsidRDefault="004A633F" w:rsidP="0078247D">
      <w:pPr>
        <w:pStyle w:val="BodyText"/>
        <w:ind w:left="1701"/>
      </w:pPr>
      <w:r>
        <w:t>IMPD = (IRATE/100)</w:t>
      </w:r>
      <w:r w:rsidR="00007B8F">
        <w:t>*(VFD)</w:t>
      </w:r>
      <w:r>
        <w:t xml:space="preserve">                                             (3)</w:t>
      </w:r>
    </w:p>
    <w:p w14:paraId="05772AE3" w14:textId="1E8AC80A" w:rsidR="00190D1A" w:rsidRDefault="00190D1A" w:rsidP="00C41BDE">
      <w:pPr>
        <w:pStyle w:val="Heading4"/>
      </w:pPr>
      <w:r>
        <w:lastRenderedPageBreak/>
        <w:t>Step 2 in stage 1: map</w:t>
      </w:r>
      <w:r w:rsidR="00063329">
        <w:t xml:space="preserve"> 8</w:t>
      </w:r>
      <w:r w:rsidR="00063329">
        <w:noBreakHyphen/>
        <w:t xml:space="preserve">digit </w:t>
      </w:r>
      <w:r w:rsidR="00A97630">
        <w:t xml:space="preserve">HS </w:t>
      </w:r>
      <w:r>
        <w:t>tariff item to IO product or industry classification</w:t>
      </w:r>
    </w:p>
    <w:p w14:paraId="05772AE4" w14:textId="6C067CB1" w:rsidR="00BA613C" w:rsidRDefault="009E0AE7" w:rsidP="00ED2A3D">
      <w:pPr>
        <w:pStyle w:val="BodyText"/>
      </w:pPr>
      <w:r w:rsidRPr="005B1951">
        <w:t xml:space="preserve">The second step is to </w:t>
      </w:r>
      <w:r w:rsidR="00F74EF7">
        <w:t>map</w:t>
      </w:r>
      <w:r w:rsidR="00F74EF7" w:rsidRPr="005B1951">
        <w:t xml:space="preserve"> </w:t>
      </w:r>
      <w:r w:rsidRPr="005B1951">
        <w:t xml:space="preserve">the </w:t>
      </w:r>
      <w:r w:rsidR="007C4B93">
        <w:t xml:space="preserve">CIFE value and </w:t>
      </w:r>
      <w:r w:rsidRPr="005B1951">
        <w:t xml:space="preserve">imputed duty estimates at the 8-digit tariff schedule level (about </w:t>
      </w:r>
      <w:r>
        <w:t>5500</w:t>
      </w:r>
      <w:r w:rsidRPr="005B1951">
        <w:t xml:space="preserve"> items) to the 20</w:t>
      </w:r>
      <w:r>
        <w:t>13</w:t>
      </w:r>
      <w:r>
        <w:noBreakHyphen/>
        <w:t>14</w:t>
      </w:r>
      <w:r w:rsidRPr="005B1951">
        <w:t xml:space="preserve"> Input-Output Product Classification (IOPC) level (</w:t>
      </w:r>
      <w:r w:rsidR="000C550B">
        <w:t>1267</w:t>
      </w:r>
      <w:r w:rsidR="000C550B" w:rsidRPr="005B1951">
        <w:t xml:space="preserve"> </w:t>
      </w:r>
      <w:r w:rsidRPr="005B1951">
        <w:t>items). TIDES does this</w:t>
      </w:r>
      <w:r>
        <w:t xml:space="preserve">, first </w:t>
      </w:r>
      <w:r w:rsidR="00D670DF">
        <w:t>by using</w:t>
      </w:r>
      <w:r>
        <w:t xml:space="preserve"> </w:t>
      </w:r>
      <w:r w:rsidR="002F77A4">
        <w:t xml:space="preserve">ABS </w:t>
      </w:r>
      <w:r w:rsidRPr="005B1951">
        <w:t>concordance</w:t>
      </w:r>
      <w:r>
        <w:t>s</w:t>
      </w:r>
      <w:r w:rsidRPr="005B1951">
        <w:t xml:space="preserve"> </w:t>
      </w:r>
      <w:r w:rsidR="00932C26">
        <w:t xml:space="preserve">between </w:t>
      </w:r>
      <w:r w:rsidR="00D670DF">
        <w:t>8</w:t>
      </w:r>
      <w:r w:rsidR="00D670DF">
        <w:noBreakHyphen/>
        <w:t xml:space="preserve">digit HS </w:t>
      </w:r>
      <w:r w:rsidR="00932C26">
        <w:t xml:space="preserve">tariff code and </w:t>
      </w:r>
      <w:r w:rsidR="00D670DF">
        <w:t>2004</w:t>
      </w:r>
      <w:r w:rsidR="00D670DF">
        <w:noBreakHyphen/>
        <w:t xml:space="preserve">05 </w:t>
      </w:r>
      <w:r w:rsidR="00932C26">
        <w:t xml:space="preserve">IOPC </w:t>
      </w:r>
      <w:r w:rsidR="00D670DF">
        <w:t>classification</w:t>
      </w:r>
      <w:r>
        <w:t>, and then applying concordances between IOPCs of different years</w:t>
      </w:r>
      <w:r w:rsidR="00512923">
        <w:t xml:space="preserve"> and linking them back to </w:t>
      </w:r>
      <w:r w:rsidR="002F77A4">
        <w:t xml:space="preserve">the </w:t>
      </w:r>
      <w:r w:rsidR="00512923">
        <w:t>8</w:t>
      </w:r>
      <w:r w:rsidR="00512923">
        <w:noBreakHyphen/>
        <w:t xml:space="preserve">digit </w:t>
      </w:r>
      <w:r w:rsidR="00A97630">
        <w:t xml:space="preserve">HS </w:t>
      </w:r>
      <w:r w:rsidR="00512923">
        <w:t xml:space="preserve">tariff items. This cumbersome process was necessary as </w:t>
      </w:r>
      <w:r w:rsidR="00BA613C">
        <w:t xml:space="preserve">the ABS </w:t>
      </w:r>
      <w:r w:rsidR="00512923">
        <w:t>stopped making</w:t>
      </w:r>
      <w:r w:rsidR="00BA613C">
        <w:t xml:space="preserve"> concordance</w:t>
      </w:r>
      <w:r w:rsidR="008936E2">
        <w:t>s</w:t>
      </w:r>
      <w:r w:rsidR="00BA613C">
        <w:t xml:space="preserve"> between tariff items and product or industry classification </w:t>
      </w:r>
      <w:r w:rsidR="00512923">
        <w:t>publicly available after 2004</w:t>
      </w:r>
      <w:r w:rsidR="00512923">
        <w:noBreakHyphen/>
        <w:t xml:space="preserve">05. </w:t>
      </w:r>
      <w:r w:rsidR="00BA613C">
        <w:t xml:space="preserve">As new </w:t>
      </w:r>
      <w:r w:rsidR="00512923">
        <w:t>tariff</w:t>
      </w:r>
      <w:r w:rsidR="00BA613C">
        <w:t xml:space="preserve"> items are added to the list, </w:t>
      </w:r>
      <w:r w:rsidR="00063329">
        <w:t>the mapping</w:t>
      </w:r>
      <w:r w:rsidR="00BA613C">
        <w:t xml:space="preserve">s </w:t>
      </w:r>
      <w:r w:rsidR="002F77A4">
        <w:t xml:space="preserve">are </w:t>
      </w:r>
      <w:r w:rsidR="00932C26">
        <w:t>adjusted to reflect the</w:t>
      </w:r>
      <w:r w:rsidR="00BA613C">
        <w:t xml:space="preserve"> additions.</w:t>
      </w:r>
      <w:r w:rsidR="008E4822">
        <w:t xml:space="preserve"> The mapping process is described in </w:t>
      </w:r>
      <w:r w:rsidR="007416ED">
        <w:t xml:space="preserve">appendix C.1 in </w:t>
      </w:r>
      <w:proofErr w:type="spellStart"/>
      <w:r w:rsidR="007416ED">
        <w:t>Cobau</w:t>
      </w:r>
      <w:proofErr w:type="spellEnd"/>
      <w:r w:rsidR="007416ED">
        <w:t xml:space="preserve"> and W</w:t>
      </w:r>
      <w:r w:rsidR="000C550B">
        <w:t>ells (200</w:t>
      </w:r>
      <w:r w:rsidR="007C4B93">
        <w:t>2</w:t>
      </w:r>
      <w:r w:rsidR="008E4822">
        <w:t>).</w:t>
      </w:r>
    </w:p>
    <w:p w14:paraId="05772AE8" w14:textId="3D4076E9" w:rsidR="00ED2A3D" w:rsidRPr="00063329" w:rsidRDefault="00DA0570" w:rsidP="0000176F">
      <w:pPr>
        <w:pStyle w:val="BodyText"/>
      </w:pPr>
      <w:r>
        <w:t>T</w:t>
      </w:r>
      <w:r w:rsidR="00BA613C">
        <w:t>he Commission</w:t>
      </w:r>
      <w:r w:rsidR="00ED2A3D" w:rsidRPr="00063329">
        <w:t xml:space="preserve"> </w:t>
      </w:r>
      <w:r w:rsidR="007C4B93">
        <w:t>also uses concordance between IOPC and IOPG (</w:t>
      </w:r>
      <w:r w:rsidR="007C4B93" w:rsidRPr="00063329">
        <w:t>input-output product group</w:t>
      </w:r>
      <w:r w:rsidR="007C4B93">
        <w:t xml:space="preserve"> </w:t>
      </w:r>
      <w:r w:rsidR="007C4B93" w:rsidRPr="00063329">
        <w:t>– 1</w:t>
      </w:r>
      <w:r w:rsidR="007C4B93">
        <w:t>14</w:t>
      </w:r>
      <w:r w:rsidR="007C4B93" w:rsidRPr="00063329">
        <w:t xml:space="preserve"> industries)</w:t>
      </w:r>
      <w:r w:rsidR="007C4B93">
        <w:t xml:space="preserve"> and </w:t>
      </w:r>
      <w:r w:rsidR="007C4B93" w:rsidRPr="00063329">
        <w:t xml:space="preserve">ANZSIC </w:t>
      </w:r>
      <w:r w:rsidR="007C4B93">
        <w:t>(</w:t>
      </w:r>
      <w:r w:rsidR="007C4B93" w:rsidRPr="00063329">
        <w:t>Australian and New Zealand Standard Industrial Classification</w:t>
      </w:r>
      <w:r w:rsidR="007C4B93">
        <w:t xml:space="preserve"> </w:t>
      </w:r>
      <w:r w:rsidR="007C4B93" w:rsidRPr="00063329">
        <w:t>–</w:t>
      </w:r>
      <w:r w:rsidR="007C4B93">
        <w:t xml:space="preserve"> </w:t>
      </w:r>
      <w:r w:rsidR="007C4B93" w:rsidRPr="00063329">
        <w:t>four-digit</w:t>
      </w:r>
      <w:r w:rsidR="007C4B93">
        <w:t xml:space="preserve">) </w:t>
      </w:r>
      <w:r>
        <w:t>to report results at the industry and sector levels</w:t>
      </w:r>
      <w:r w:rsidR="007C4B93">
        <w:t>.</w:t>
      </w:r>
      <w:r w:rsidR="007C4B93" w:rsidRPr="00063329">
        <w:t xml:space="preserve"> </w:t>
      </w:r>
    </w:p>
    <w:p w14:paraId="05772AE9" w14:textId="3CF68F7F" w:rsidR="004A633F" w:rsidRDefault="00190D1A" w:rsidP="00512923">
      <w:pPr>
        <w:pStyle w:val="Heading4"/>
      </w:pPr>
      <w:r>
        <w:t xml:space="preserve">Step 3 in stage 1: </w:t>
      </w:r>
      <w:r w:rsidR="006172B7">
        <w:t xml:space="preserve">calculate </w:t>
      </w:r>
      <w:r w:rsidR="008E7673">
        <w:t xml:space="preserve">price distortion vectors </w:t>
      </w:r>
      <w:r w:rsidR="006172B7">
        <w:t xml:space="preserve">for both outputs and inputs </w:t>
      </w:r>
      <w:r w:rsidR="008E7673">
        <w:t>(</w:t>
      </w:r>
      <w:r w:rsidR="004A633F">
        <w:t>Imputed rate CIFE</w:t>
      </w:r>
      <w:r w:rsidR="008E7673">
        <w:t>)</w:t>
      </w:r>
      <w:r w:rsidR="00BA613C">
        <w:t xml:space="preserve"> for IOPC commodities</w:t>
      </w:r>
    </w:p>
    <w:p w14:paraId="56E40C28" w14:textId="2CC061D8" w:rsidR="00AB2FF8" w:rsidRDefault="004C5C1C" w:rsidP="004A633F">
      <w:pPr>
        <w:pStyle w:val="BodyText"/>
      </w:pPr>
      <w:r>
        <w:t xml:space="preserve">For calculating price effects of tariff assistance, TIDES </w:t>
      </w:r>
      <w:proofErr w:type="spellStart"/>
      <w:r>
        <w:t>revalues</w:t>
      </w:r>
      <w:proofErr w:type="spellEnd"/>
      <w:r>
        <w:t xml:space="preserve"> import flows at the point of entry into the domestic economy</w:t>
      </w:r>
      <w:r w:rsidR="007134EB">
        <w:t xml:space="preserve">, that is, it </w:t>
      </w:r>
      <w:proofErr w:type="spellStart"/>
      <w:r w:rsidR="007134EB">
        <w:t>revalues</w:t>
      </w:r>
      <w:proofErr w:type="spellEnd"/>
      <w:r w:rsidR="007134EB">
        <w:t xml:space="preserve"> imports from FOB to CIFE (including international margins)</w:t>
      </w:r>
      <w:r>
        <w:t xml:space="preserve">. </w:t>
      </w:r>
      <w:r w:rsidR="007134EB">
        <w:t>This</w:t>
      </w:r>
      <w:r w:rsidR="00AB2FF8">
        <w:t xml:space="preserve"> revalu</w:t>
      </w:r>
      <w:r w:rsidR="007134EB">
        <w:t>atio</w:t>
      </w:r>
      <w:r w:rsidR="00AB2FF8">
        <w:t>n</w:t>
      </w:r>
      <w:r w:rsidR="007134EB">
        <w:t xml:space="preserve"> places </w:t>
      </w:r>
      <w:r w:rsidR="00AB2FF8">
        <w:t>imported flows on a consistent basis with domestic flows (Roberts 1990).</w:t>
      </w:r>
    </w:p>
    <w:p w14:paraId="050CE9EE" w14:textId="1689CA5B" w:rsidR="004C5C1C" w:rsidRDefault="002C75D3" w:rsidP="004A633F">
      <w:pPr>
        <w:pStyle w:val="BodyText"/>
      </w:pPr>
      <w:r>
        <w:t>The adjustment is made by applying a CIFE/VFD ratio obtained from the ABS to recorded trade flows, where CIFE is value</w:t>
      </w:r>
      <w:r w:rsidR="007134EB">
        <w:t>d</w:t>
      </w:r>
      <w:r w:rsidDel="007134EB">
        <w:t xml:space="preserve"> </w:t>
      </w:r>
      <w:r w:rsidR="00555028">
        <w:t>in</w:t>
      </w:r>
      <w:r>
        <w:t xml:space="preserve"> domestic currency. </w:t>
      </w:r>
    </w:p>
    <w:p w14:paraId="05772AEA" w14:textId="6C36129F" w:rsidR="004A633F" w:rsidRDefault="00273232" w:rsidP="004A633F">
      <w:pPr>
        <w:pStyle w:val="BodyText"/>
      </w:pPr>
      <w:r>
        <w:t xml:space="preserve">The price effect of tariff assistance, </w:t>
      </w:r>
      <w:r w:rsidR="007C4B93">
        <w:t>termed ‘</w:t>
      </w:r>
      <w:r w:rsidR="004A633F">
        <w:t>Imputed rate CIFE</w:t>
      </w:r>
      <w:r w:rsidR="007C4B93">
        <w:t>’ in TIDES</w:t>
      </w:r>
      <w:r>
        <w:t xml:space="preserve">, is calculated </w:t>
      </w:r>
      <w:r w:rsidR="007C4B93">
        <w:t>by dividing</w:t>
      </w:r>
      <w:r>
        <w:t xml:space="preserve"> </w:t>
      </w:r>
      <w:r w:rsidR="00555028">
        <w:t xml:space="preserve">the </w:t>
      </w:r>
      <w:r w:rsidR="004A633F">
        <w:t>imputed duty</w:t>
      </w:r>
      <w:r w:rsidR="00D670DF">
        <w:t xml:space="preserve"> </w:t>
      </w:r>
      <w:r>
        <w:t>value</w:t>
      </w:r>
      <w:r w:rsidR="004A633F">
        <w:t xml:space="preserve"> </w:t>
      </w:r>
      <w:r w:rsidR="008E4822">
        <w:t xml:space="preserve">by </w:t>
      </w:r>
      <w:r w:rsidR="00555028">
        <w:t xml:space="preserve">the </w:t>
      </w:r>
      <w:r w:rsidR="004A633F">
        <w:t xml:space="preserve">landed </w:t>
      </w:r>
      <w:r w:rsidR="008E4822">
        <w:t xml:space="preserve">domestic </w:t>
      </w:r>
      <w:r>
        <w:t xml:space="preserve">value </w:t>
      </w:r>
      <w:r w:rsidR="004A633F">
        <w:t xml:space="preserve">of </w:t>
      </w:r>
      <w:r>
        <w:t>the tariff item</w:t>
      </w:r>
      <w:r w:rsidR="007C4B93">
        <w:t>; where the imputed duty value is calculated in step 1. The formula used is</w:t>
      </w:r>
      <w:r w:rsidR="004A633F">
        <w:t>:</w:t>
      </w:r>
    </w:p>
    <w:p w14:paraId="05772AEB" w14:textId="28DA2E89" w:rsidR="004A633F" w:rsidRDefault="008E7673" w:rsidP="008E7673">
      <w:pPr>
        <w:pStyle w:val="BodyText"/>
        <w:ind w:left="851"/>
      </w:pPr>
      <w:r>
        <w:t>Imputed rate CIFE</w:t>
      </w:r>
      <w:r w:rsidR="004A633F">
        <w:t xml:space="preserve"> = </w:t>
      </w:r>
      <w:r w:rsidR="001B48F1">
        <w:t>(</w:t>
      </w:r>
      <w:r w:rsidR="008E4822">
        <w:t>100*</w:t>
      </w:r>
      <w:r w:rsidR="004A633F">
        <w:t>IMPD</w:t>
      </w:r>
      <w:r w:rsidR="001B48F1">
        <w:t>)</w:t>
      </w:r>
      <w:r w:rsidR="004A633F">
        <w:t>/</w:t>
      </w:r>
      <w:r w:rsidR="001B48F1">
        <w:t>(</w:t>
      </w:r>
      <w:r w:rsidR="004A633F">
        <w:t>CIFE</w:t>
      </w:r>
      <w:r w:rsidR="001B48F1">
        <w:t>)</w:t>
      </w:r>
      <w:r w:rsidR="004A633F">
        <w:t xml:space="preserve">                       </w:t>
      </w:r>
      <w:r>
        <w:t xml:space="preserve">       </w:t>
      </w:r>
      <w:r w:rsidR="004A633F">
        <w:t xml:space="preserve">      (4)</w:t>
      </w:r>
    </w:p>
    <w:p w14:paraId="05772AEC" w14:textId="5AC664F4" w:rsidR="00D64029" w:rsidRDefault="008E7673" w:rsidP="008E7673">
      <w:pPr>
        <w:pStyle w:val="BodyText"/>
      </w:pPr>
      <w:r w:rsidRPr="00D64029">
        <w:t xml:space="preserve">TIDES produces two such price vectors: one showing the distortionary effects </w:t>
      </w:r>
      <w:r w:rsidR="00562128" w:rsidRPr="00D64029">
        <w:t xml:space="preserve">of tariffs </w:t>
      </w:r>
      <w:r w:rsidRPr="00D64029">
        <w:t xml:space="preserve">on </w:t>
      </w:r>
      <w:r w:rsidR="00562128" w:rsidRPr="00D64029">
        <w:t xml:space="preserve">prices of </w:t>
      </w:r>
      <w:r w:rsidR="00273232">
        <w:t>out</w:t>
      </w:r>
      <w:r w:rsidRPr="00D64029">
        <w:t>put</w:t>
      </w:r>
      <w:r w:rsidR="00555028">
        <w:t>s</w:t>
      </w:r>
      <w:r w:rsidR="00562128" w:rsidRPr="00D64029">
        <w:t>,</w:t>
      </w:r>
      <w:r w:rsidRPr="00D64029">
        <w:t xml:space="preserve"> and </w:t>
      </w:r>
      <w:r w:rsidR="00562128" w:rsidRPr="00D64029">
        <w:t xml:space="preserve">the other, on prices of </w:t>
      </w:r>
      <w:r w:rsidR="00273232">
        <w:t>in</w:t>
      </w:r>
      <w:r w:rsidR="00273232" w:rsidRPr="00D64029">
        <w:t>put</w:t>
      </w:r>
      <w:r w:rsidR="00555028">
        <w:t>s</w:t>
      </w:r>
      <w:r w:rsidR="00D64029">
        <w:t>.</w:t>
      </w:r>
    </w:p>
    <w:p w14:paraId="4BEB1DFA" w14:textId="34867EFE" w:rsidR="00AD7BC7" w:rsidRDefault="002F77A4" w:rsidP="002F77A4">
      <w:pPr>
        <w:pStyle w:val="BodyText"/>
      </w:pPr>
      <w:r w:rsidRPr="00D64029">
        <w:t>For output</w:t>
      </w:r>
      <w:r w:rsidR="00555028">
        <w:t>s</w:t>
      </w:r>
      <w:r w:rsidRPr="00D64029">
        <w:t xml:space="preserve">, only </w:t>
      </w:r>
      <w:r w:rsidR="00273232">
        <w:t>data from the general entry group (</w:t>
      </w:r>
      <w:r w:rsidRPr="00D64029">
        <w:t>treatment group</w:t>
      </w:r>
      <w:r>
        <w:t> </w:t>
      </w:r>
      <w:r w:rsidRPr="00D64029">
        <w:t>1</w:t>
      </w:r>
      <w:r w:rsidR="00273232">
        <w:t>)</w:t>
      </w:r>
      <w:r w:rsidRPr="00D64029">
        <w:t xml:space="preserve"> </w:t>
      </w:r>
      <w:r w:rsidR="00555028">
        <w:t>are</w:t>
      </w:r>
      <w:r w:rsidRPr="00D64029">
        <w:t xml:space="preserve"> </w:t>
      </w:r>
      <w:r w:rsidR="00273232">
        <w:t xml:space="preserve">used to estimate the domestic price impacts of tariffs for each item of trade. Government and concessional entry items are excluded as they are assumed not to be competing </w:t>
      </w:r>
      <w:r w:rsidR="00AD7BC7">
        <w:t>with domestically supplied items.</w:t>
      </w:r>
    </w:p>
    <w:p w14:paraId="7E18348A" w14:textId="77777777" w:rsidR="007C4B93" w:rsidRDefault="00AD7BC7" w:rsidP="008E7673">
      <w:pPr>
        <w:pStyle w:val="BodyText"/>
      </w:pPr>
      <w:r>
        <w:t>For input goods, data from the general and concessional entry groups (</w:t>
      </w:r>
      <w:r w:rsidR="00D64029">
        <w:t>Treatment groups </w:t>
      </w:r>
      <w:r w:rsidR="00D64029" w:rsidRPr="00D64029">
        <w:t>1, 3 and 4</w:t>
      </w:r>
      <w:r>
        <w:t>)</w:t>
      </w:r>
      <w:r w:rsidR="00D64029" w:rsidRPr="00D64029">
        <w:t xml:space="preserve"> </w:t>
      </w:r>
      <w:r w:rsidR="00D64029">
        <w:t>are</w:t>
      </w:r>
      <w:r w:rsidR="00D64029" w:rsidRPr="00D64029">
        <w:t xml:space="preserve"> </w:t>
      </w:r>
      <w:r>
        <w:t>used to estimate the domestic price impacts of tariffs for each item of trade.</w:t>
      </w:r>
    </w:p>
    <w:p w14:paraId="05772AEF" w14:textId="038B7D65" w:rsidR="00DD746F" w:rsidRDefault="00FA7159" w:rsidP="00C41BDE">
      <w:pPr>
        <w:pStyle w:val="Heading3"/>
      </w:pPr>
      <w:r>
        <w:lastRenderedPageBreak/>
        <w:t>Model implementation</w:t>
      </w:r>
    </w:p>
    <w:p w14:paraId="05772AF0" w14:textId="78B185AF" w:rsidR="003C74BE" w:rsidRDefault="00932C26" w:rsidP="003C74BE">
      <w:pPr>
        <w:pStyle w:val="BodyText"/>
      </w:pPr>
      <w:r>
        <w:t>R</w:t>
      </w:r>
      <w:r w:rsidR="003C74BE">
        <w:t xml:space="preserve">aw </w:t>
      </w:r>
      <w:r w:rsidR="004500AE">
        <w:t xml:space="preserve">imports and tariff </w:t>
      </w:r>
      <w:r w:rsidR="003C74BE">
        <w:t>data received from the ABS and customs are extracted using STATA</w:t>
      </w:r>
      <w:r w:rsidR="00A464D4">
        <w:t>. These data are</w:t>
      </w:r>
      <w:r w:rsidR="003C74BE">
        <w:t xml:space="preserve"> subsequent</w:t>
      </w:r>
      <w:r w:rsidR="00A464D4">
        <w:t>ly</w:t>
      </w:r>
      <w:r w:rsidR="003C74BE">
        <w:t xml:space="preserve"> process</w:t>
      </w:r>
      <w:r w:rsidR="00A464D4">
        <w:t>ed</w:t>
      </w:r>
      <w:r w:rsidR="003C74BE">
        <w:t xml:space="preserve"> in TIDES </w:t>
      </w:r>
      <w:r w:rsidR="003C74BE" w:rsidRPr="00DD746F">
        <w:t xml:space="preserve">using </w:t>
      </w:r>
      <w:r w:rsidR="003C74BE">
        <w:t>Microsoft Access97 together with</w:t>
      </w:r>
      <w:r w:rsidR="003C74BE" w:rsidRPr="00DD746F">
        <w:t xml:space="preserve"> E</w:t>
      </w:r>
      <w:r w:rsidR="003C74BE">
        <w:t>xcel. T</w:t>
      </w:r>
      <w:r w:rsidR="003C74BE" w:rsidRPr="00DD746F">
        <w:t xml:space="preserve">he mechanics are described in detail in the </w:t>
      </w:r>
      <w:r w:rsidR="00B6235A">
        <w:t>a</w:t>
      </w:r>
      <w:r w:rsidR="003C74BE" w:rsidRPr="00DD746F">
        <w:t>ppendi</w:t>
      </w:r>
      <w:r w:rsidR="003C74BE">
        <w:t>ces</w:t>
      </w:r>
      <w:r w:rsidR="00B6235A">
        <w:t> C.1</w:t>
      </w:r>
      <w:r w:rsidR="003C74BE">
        <w:t xml:space="preserve"> and C.2 in</w:t>
      </w:r>
      <w:r w:rsidR="003C74BE" w:rsidRPr="00DD746F">
        <w:t xml:space="preserve"> </w:t>
      </w:r>
      <w:proofErr w:type="spellStart"/>
      <w:r w:rsidR="003C74BE">
        <w:t>Cobau</w:t>
      </w:r>
      <w:proofErr w:type="spellEnd"/>
      <w:r w:rsidR="003C74BE">
        <w:t xml:space="preserve"> and Wells </w:t>
      </w:r>
      <w:r w:rsidR="00BA4A9C">
        <w:t>(</w:t>
      </w:r>
      <w:r w:rsidR="003C74BE">
        <w:t>2002</w:t>
      </w:r>
      <w:r w:rsidR="003C74BE" w:rsidRPr="00DD746F">
        <w:t xml:space="preserve">). </w:t>
      </w:r>
    </w:p>
    <w:p w14:paraId="7EECFE99" w14:textId="1CEE8CD7" w:rsidR="00243EF0" w:rsidRDefault="00BA4A9C" w:rsidP="003C74BE">
      <w:pPr>
        <w:pStyle w:val="BodyText"/>
      </w:pPr>
      <w:r>
        <w:t>T</w:t>
      </w:r>
      <w:r w:rsidR="00932C26">
        <w:t>he current data extraction process suffers from size limitations imposed by Excel</w:t>
      </w:r>
      <w:r w:rsidR="00ED2A3D">
        <w:t>. It</w:t>
      </w:r>
      <w:r w:rsidR="00932C26">
        <w:t xml:space="preserve"> requires splitting the raw data into several sections</w:t>
      </w:r>
      <w:r w:rsidR="00ED2A3D">
        <w:t xml:space="preserve"> and moving between Access and E</w:t>
      </w:r>
      <w:r w:rsidR="00932C26">
        <w:t xml:space="preserve">xcel. A parallel execution of TIDES </w:t>
      </w:r>
      <w:r w:rsidR="00ED2A3D">
        <w:t xml:space="preserve">to produce tariff price effects </w:t>
      </w:r>
      <w:r w:rsidR="00932C26">
        <w:t xml:space="preserve">was </w:t>
      </w:r>
      <w:r w:rsidR="00CA008D">
        <w:t xml:space="preserve">programmed in </w:t>
      </w:r>
      <w:r w:rsidR="00932C26">
        <w:t xml:space="preserve">R software for which the data size was not an issue. The results matched </w:t>
      </w:r>
      <w:r w:rsidR="00ED2A3D">
        <w:t xml:space="preserve">the </w:t>
      </w:r>
      <w:r w:rsidR="00A464D4">
        <w:t xml:space="preserve">estimates </w:t>
      </w:r>
      <w:r w:rsidR="00ED2A3D">
        <w:t>for TAR 2015</w:t>
      </w:r>
      <w:r w:rsidR="00ED2A3D">
        <w:noBreakHyphen/>
        <w:t>16.</w:t>
      </w:r>
      <w:r w:rsidR="00470E70">
        <w:rPr>
          <w:rStyle w:val="FootnoteReference"/>
        </w:rPr>
        <w:footnoteReference w:id="7"/>
      </w:r>
      <w:r w:rsidR="00ED2A3D">
        <w:t xml:space="preserve"> </w:t>
      </w:r>
    </w:p>
    <w:p w14:paraId="05772AF2" w14:textId="77777777" w:rsidR="00F445AF" w:rsidRPr="0079523C" w:rsidRDefault="00C41BDE" w:rsidP="00F445AF">
      <w:pPr>
        <w:pStyle w:val="Heading2"/>
      </w:pPr>
      <w:r>
        <w:t>4</w:t>
      </w:r>
      <w:r w:rsidR="00F445AF" w:rsidRPr="0079523C">
        <w:tab/>
      </w:r>
      <w:r w:rsidR="00F445AF">
        <w:t>Estimating subsidy and tax equivalents using T</w:t>
      </w:r>
      <w:r>
        <w:t>AM</w:t>
      </w:r>
    </w:p>
    <w:p w14:paraId="05772AF3" w14:textId="2CCA5CA3" w:rsidR="00367A71" w:rsidRDefault="00BC1BBA" w:rsidP="00367A71">
      <w:pPr>
        <w:pStyle w:val="BodyText"/>
      </w:pPr>
      <w:r>
        <w:t>In this second stage, t</w:t>
      </w:r>
      <w:r w:rsidR="00367A71">
        <w:t xml:space="preserve">he </w:t>
      </w:r>
      <w:r w:rsidR="005B4CC9">
        <w:t xml:space="preserve">Commission combines the price distortion vectors with the ABS IO data and uses </w:t>
      </w:r>
      <w:r w:rsidR="00B278E6">
        <w:t xml:space="preserve">the </w:t>
      </w:r>
      <w:r w:rsidR="005B4CC9">
        <w:t xml:space="preserve">Tariff Assistance Model (TAM) </w:t>
      </w:r>
      <w:r w:rsidR="00367A71">
        <w:t xml:space="preserve">to derive estimates of </w:t>
      </w:r>
      <w:r>
        <w:t xml:space="preserve">tariff </w:t>
      </w:r>
      <w:r w:rsidR="00367A71">
        <w:t>assistance for both output and input goods.</w:t>
      </w:r>
    </w:p>
    <w:p w14:paraId="6FBD6493" w14:textId="4D75E6A9" w:rsidR="00133A74" w:rsidRDefault="00133A74" w:rsidP="00133A74">
      <w:pPr>
        <w:pStyle w:val="Heading3"/>
      </w:pPr>
      <w:r>
        <w:t>Adjustments made to IO tables</w:t>
      </w:r>
    </w:p>
    <w:p w14:paraId="7FE67C61" w14:textId="77777777" w:rsidR="00133A74" w:rsidRDefault="00B278E6" w:rsidP="003F6413">
      <w:pPr>
        <w:pStyle w:val="BodyText"/>
      </w:pPr>
      <w:r>
        <w:t>T</w:t>
      </w:r>
      <w:r w:rsidR="003F6413">
        <w:t xml:space="preserve">he Commission makes a number of changes to the underlying IO data prior to its use in TAM. The </w:t>
      </w:r>
      <w:r w:rsidR="00133A74">
        <w:t xml:space="preserve">first set of </w:t>
      </w:r>
      <w:r w:rsidR="003F6413">
        <w:t>adjustment</w:t>
      </w:r>
      <w:r w:rsidR="00133A74">
        <w:t>s takes place in the output sector, followed by adjustments carried out in the input sector for maintaining a balanced data set.</w:t>
      </w:r>
      <w:r w:rsidR="003F6413">
        <w:t xml:space="preserve"> </w:t>
      </w:r>
    </w:p>
    <w:p w14:paraId="0AE3105C" w14:textId="77777777" w:rsidR="005769D2" w:rsidRDefault="005769D2" w:rsidP="000B3050">
      <w:pPr>
        <w:pStyle w:val="Heading4"/>
      </w:pPr>
      <w:r>
        <w:t>Adjustments to industry outputs</w:t>
      </w:r>
    </w:p>
    <w:p w14:paraId="26EE511C" w14:textId="43F7573D" w:rsidR="003F6413" w:rsidRDefault="00133A74" w:rsidP="003F6413">
      <w:pPr>
        <w:pStyle w:val="BodyText"/>
      </w:pPr>
      <w:r>
        <w:t xml:space="preserve">The output adjustment </w:t>
      </w:r>
      <w:r w:rsidR="003F6413">
        <w:t xml:space="preserve">process has been carried out in two parts — first, a ‘grossing up’ adjustment (to address commissioned work) and then, a ‘full redefinition’ of the ABS IO industry groupings (to address secondary production). </w:t>
      </w:r>
    </w:p>
    <w:p w14:paraId="3C3D85AC" w14:textId="48C7B24A" w:rsidR="001B0A41" w:rsidRDefault="001B0A41" w:rsidP="000B3050">
      <w:pPr>
        <w:pStyle w:val="Heading5"/>
      </w:pPr>
      <w:r>
        <w:t>G</w:t>
      </w:r>
      <w:r w:rsidR="003F6413">
        <w:t>rossing up adjustment</w:t>
      </w:r>
    </w:p>
    <w:p w14:paraId="1FAA7292" w14:textId="7FB772E3" w:rsidR="003F6413" w:rsidRDefault="001B0A41" w:rsidP="005C1E07">
      <w:pPr>
        <w:pStyle w:val="BodyText"/>
      </w:pPr>
      <w:r>
        <w:t>It</w:t>
      </w:r>
      <w:r w:rsidR="003F6413" w:rsidRPr="00812D48">
        <w:t xml:space="preserve"> involves reclassifying output </w:t>
      </w:r>
      <w:r w:rsidR="003F6413">
        <w:t>from the commissioning industry, produced</w:t>
      </w:r>
      <w:r w:rsidR="003F6413" w:rsidRPr="00812D48">
        <w:t xml:space="preserve"> on a commission or fee-for-service basis, to the producing industry</w:t>
      </w:r>
      <w:r w:rsidR="003F6413">
        <w:t xml:space="preserve">. It removes petroleum produced on behalf of the wholesale industry from </w:t>
      </w:r>
      <w:r w:rsidR="003F6413">
        <w:rPr>
          <w:i/>
        </w:rPr>
        <w:t>W</w:t>
      </w:r>
      <w:r w:rsidR="003F6413" w:rsidRPr="00945111">
        <w:rPr>
          <w:i/>
        </w:rPr>
        <w:t>holesale trade</w:t>
      </w:r>
      <w:r w:rsidR="003F6413">
        <w:t xml:space="preserve">, together with the crude oil and other inputs </w:t>
      </w:r>
      <w:r w:rsidR="003F6413">
        <w:lastRenderedPageBreak/>
        <w:t>purchased by wholesalers to produce this output, and add</w:t>
      </w:r>
      <w:r w:rsidR="00B278E6">
        <w:t>s</w:t>
      </w:r>
      <w:r w:rsidR="003F6413">
        <w:t xml:space="preserve"> this production and associated inputs to the </w:t>
      </w:r>
      <w:r w:rsidR="003F6413">
        <w:rPr>
          <w:i/>
        </w:rPr>
        <w:t>P</w:t>
      </w:r>
      <w:r w:rsidR="003F6413" w:rsidRPr="00945111">
        <w:rPr>
          <w:i/>
        </w:rPr>
        <w:t>etroleum and coal products</w:t>
      </w:r>
      <w:r w:rsidR="003F6413">
        <w:t xml:space="preserve"> industry. </w:t>
      </w:r>
    </w:p>
    <w:p w14:paraId="4510823E" w14:textId="5B0C7EBB" w:rsidR="005C1E07" w:rsidRDefault="001B0A41" w:rsidP="005C1E07">
      <w:pPr>
        <w:pStyle w:val="BodyText"/>
      </w:pPr>
      <w:r w:rsidRPr="0092658B">
        <w:t xml:space="preserve">In the </w:t>
      </w:r>
      <w:r w:rsidRPr="0078247D">
        <w:t>2013</w:t>
      </w:r>
      <w:r w:rsidRPr="0078247D">
        <w:noBreakHyphen/>
        <w:t>14</w:t>
      </w:r>
      <w:r w:rsidRPr="0092658B">
        <w:t xml:space="preserve"> year,</w:t>
      </w:r>
      <w:r>
        <w:t xml:space="preserve"> the adjustment reduced </w:t>
      </w:r>
      <w:r w:rsidRPr="007F3631">
        <w:rPr>
          <w:i/>
        </w:rPr>
        <w:t>Wholesale</w:t>
      </w:r>
      <w:r>
        <w:rPr>
          <w:i/>
        </w:rPr>
        <w:t xml:space="preserve"> trade</w:t>
      </w:r>
      <w:r>
        <w:t xml:space="preserve"> industry production by around $3.5 billion (or around 3 per cent of </w:t>
      </w:r>
      <w:r>
        <w:rPr>
          <w:i/>
        </w:rPr>
        <w:t>Wh</w:t>
      </w:r>
      <w:r w:rsidRPr="000C1E98">
        <w:rPr>
          <w:i/>
        </w:rPr>
        <w:t>olesale</w:t>
      </w:r>
      <w:r>
        <w:rPr>
          <w:i/>
        </w:rPr>
        <w:t xml:space="preserve"> trade</w:t>
      </w:r>
      <w:r>
        <w:t xml:space="preserve"> production), and increased </w:t>
      </w:r>
      <w:r>
        <w:rPr>
          <w:i/>
        </w:rPr>
        <w:t>P</w:t>
      </w:r>
      <w:r w:rsidRPr="000C1E98">
        <w:rPr>
          <w:i/>
        </w:rPr>
        <w:t>etroleum and coal products</w:t>
      </w:r>
      <w:r>
        <w:t xml:space="preserve"> output by the same dollar amount</w:t>
      </w:r>
      <w:r w:rsidR="007C6F02">
        <w:t>. Without the adjustment, which accounts for around 11 per cent of the (adjusted) output of the</w:t>
      </w:r>
      <w:r w:rsidR="007C6F02">
        <w:rPr>
          <w:i/>
        </w:rPr>
        <w:t xml:space="preserve"> P</w:t>
      </w:r>
      <w:r w:rsidR="007C6F02" w:rsidRPr="000C1E98">
        <w:rPr>
          <w:i/>
        </w:rPr>
        <w:t>etroleum and coal products</w:t>
      </w:r>
      <w:r w:rsidR="007C6F02">
        <w:t xml:space="preserve"> industry, </w:t>
      </w:r>
      <w:r w:rsidR="005C1E07">
        <w:t xml:space="preserve">the estimated effective rates of assistance to the </w:t>
      </w:r>
      <w:r w:rsidR="005C1E07">
        <w:rPr>
          <w:i/>
        </w:rPr>
        <w:t>Petroleum and coal products</w:t>
      </w:r>
      <w:r w:rsidR="005C1E07">
        <w:t xml:space="preserve"> industry would appear to be decreasing because of the statistical treatment rather than as a results of decreasing assistance. </w:t>
      </w:r>
    </w:p>
    <w:p w14:paraId="7CA55040" w14:textId="64B799F5" w:rsidR="001B0A41" w:rsidRDefault="001B0A41" w:rsidP="000B3050">
      <w:pPr>
        <w:pStyle w:val="Heading5"/>
      </w:pPr>
      <w:r>
        <w:t>S</w:t>
      </w:r>
      <w:r w:rsidR="003F6413">
        <w:t xml:space="preserve">econdary production adjustment </w:t>
      </w:r>
    </w:p>
    <w:p w14:paraId="68FA04E2" w14:textId="60F51A9B" w:rsidR="003F6413" w:rsidRDefault="001B0A41" w:rsidP="005C1E07">
      <w:pPr>
        <w:pStyle w:val="BodyText"/>
      </w:pPr>
      <w:r>
        <w:t xml:space="preserve">It </w:t>
      </w:r>
      <w:r w:rsidR="003F6413">
        <w:t xml:space="preserve">involves ‘returning’ secondary production to the </w:t>
      </w:r>
      <w:r w:rsidR="003F6413" w:rsidRPr="00332149">
        <w:rPr>
          <w:i/>
        </w:rPr>
        <w:t>industry</w:t>
      </w:r>
      <w:r w:rsidR="003F6413">
        <w:t xml:space="preserve"> in which the activity is primarily undertaken, so as to improve </w:t>
      </w:r>
      <w:r w:rsidR="008F7BC0">
        <w:t xml:space="preserve">the </w:t>
      </w:r>
      <w:r w:rsidR="003F6413">
        <w:t>homogeneity</w:t>
      </w:r>
      <w:r w:rsidR="008F7BC0">
        <w:t xml:space="preserve"> of industry outputs</w:t>
      </w:r>
      <w:r w:rsidR="003F6413">
        <w:t>. Some significant examples of this adjustment include</w:t>
      </w:r>
      <w:r>
        <w:t xml:space="preserve"> </w:t>
      </w:r>
      <w:r w:rsidR="003F6413">
        <w:t xml:space="preserve">shifting wholesale activity undertaken in the manufacturing and other non-wholesale trade industries to the </w:t>
      </w:r>
      <w:r w:rsidR="003F6413">
        <w:rPr>
          <w:i/>
        </w:rPr>
        <w:t>W</w:t>
      </w:r>
      <w:r w:rsidR="003F6413" w:rsidRPr="0048540D">
        <w:rPr>
          <w:i/>
        </w:rPr>
        <w:t>holesale trade</w:t>
      </w:r>
      <w:r w:rsidR="003F6413">
        <w:t xml:space="preserve"> industry</w:t>
      </w:r>
      <w:r>
        <w:t xml:space="preserve">; and </w:t>
      </w:r>
      <w:r w:rsidR="003F6413">
        <w:t xml:space="preserve">shifting all clothing production reported under non-clothing industries (particularly </w:t>
      </w:r>
      <w:r w:rsidR="003F6413" w:rsidRPr="00FD104C">
        <w:rPr>
          <w:i/>
        </w:rPr>
        <w:t>Wholesale</w:t>
      </w:r>
      <w:r w:rsidR="003F6413">
        <w:t xml:space="preserve"> and </w:t>
      </w:r>
      <w:r w:rsidR="003F6413" w:rsidRPr="00FD104C">
        <w:rPr>
          <w:i/>
        </w:rPr>
        <w:t>Retail trade</w:t>
      </w:r>
      <w:r w:rsidR="003F6413">
        <w:t xml:space="preserve">) to the IOIG </w:t>
      </w:r>
      <w:r w:rsidR="003F6413" w:rsidRPr="00FD104C">
        <w:rPr>
          <w:i/>
        </w:rPr>
        <w:t>Clothing manufacturing</w:t>
      </w:r>
      <w:r w:rsidR="003F6413">
        <w:t xml:space="preserve"> industry.</w:t>
      </w:r>
    </w:p>
    <w:p w14:paraId="5A9A34A2" w14:textId="2F375C8C" w:rsidR="003F6413" w:rsidRDefault="005C1E07" w:rsidP="003F6413">
      <w:pPr>
        <w:pStyle w:val="BodyText"/>
      </w:pPr>
      <w:r>
        <w:t xml:space="preserve">As for the grossing up case, the secondary production adjustment also avoids </w:t>
      </w:r>
      <w:r w:rsidR="003F6413">
        <w:t xml:space="preserve">reporting changes in estimated effective rates of assistance between series, without any statutory changes in tariffs or budgetary assistance. For example, for both the </w:t>
      </w:r>
      <w:r w:rsidR="003F6413">
        <w:rPr>
          <w:i/>
        </w:rPr>
        <w:t>T</w:t>
      </w:r>
      <w:r w:rsidR="003F6413" w:rsidRPr="00332149">
        <w:rPr>
          <w:i/>
        </w:rPr>
        <w:t xml:space="preserve">extile, </w:t>
      </w:r>
      <w:r w:rsidR="003F6413">
        <w:rPr>
          <w:i/>
        </w:rPr>
        <w:t xml:space="preserve">leather, </w:t>
      </w:r>
      <w:r w:rsidR="003F6413" w:rsidRPr="00332149">
        <w:rPr>
          <w:i/>
        </w:rPr>
        <w:t>clothing</w:t>
      </w:r>
      <w:r w:rsidR="003F6413">
        <w:rPr>
          <w:i/>
        </w:rPr>
        <w:t xml:space="preserve"> and </w:t>
      </w:r>
      <w:r w:rsidR="003F6413" w:rsidRPr="00332149">
        <w:rPr>
          <w:i/>
        </w:rPr>
        <w:t>footwear</w:t>
      </w:r>
      <w:r w:rsidR="003F6413">
        <w:t xml:space="preserve"> and </w:t>
      </w:r>
      <w:r w:rsidR="003F6413">
        <w:rPr>
          <w:i/>
        </w:rPr>
        <w:t>M</w:t>
      </w:r>
      <w:r w:rsidR="003F6413" w:rsidRPr="00332149">
        <w:rPr>
          <w:i/>
        </w:rPr>
        <w:t>otor vehicles and parts</w:t>
      </w:r>
      <w:r w:rsidR="003F6413">
        <w:t xml:space="preserve"> industries, the importance of secondary production (such as wholesale trade) </w:t>
      </w:r>
      <w:r w:rsidR="008F7BC0">
        <w:t xml:space="preserve">has </w:t>
      </w:r>
      <w:r w:rsidR="003F6413">
        <w:t xml:space="preserve">increased in </w:t>
      </w:r>
      <w:r w:rsidR="006A657C">
        <w:t xml:space="preserve">recent times in </w:t>
      </w:r>
      <w:r w:rsidR="003F6413" w:rsidRPr="0092658B">
        <w:t>published series. As there</w:t>
      </w:r>
      <w:r w:rsidR="003F6413">
        <w:t xml:space="preserve"> are no tariffs on wholesale trade, the change in statistical conventions alone would </w:t>
      </w:r>
      <w:r w:rsidR="008F7BC0">
        <w:t xml:space="preserve">reduce </w:t>
      </w:r>
      <w:r w:rsidR="003F6413">
        <w:t xml:space="preserve">the reported level of tariff protection afforded to the relevant manufacturing activities across assistance series. </w:t>
      </w:r>
    </w:p>
    <w:p w14:paraId="3315FBC6" w14:textId="42E24A74" w:rsidR="005C1E07" w:rsidRDefault="00133A74" w:rsidP="00133A74">
      <w:pPr>
        <w:pStyle w:val="Heading4"/>
      </w:pPr>
      <w:r>
        <w:t xml:space="preserve">Adjustments to </w:t>
      </w:r>
      <w:r w:rsidR="005C1E07">
        <w:t>industry inputs</w:t>
      </w:r>
    </w:p>
    <w:p w14:paraId="4108F56A" w14:textId="49978846" w:rsidR="003F6413" w:rsidRDefault="003F6413" w:rsidP="003F6413">
      <w:pPr>
        <w:pStyle w:val="BodyText"/>
      </w:pPr>
      <w:r>
        <w:t xml:space="preserve">The adjustments to industry output </w:t>
      </w:r>
      <w:r w:rsidR="005C1E07">
        <w:t xml:space="preserve">discussed above </w:t>
      </w:r>
      <w:r>
        <w:t xml:space="preserve">necessitate adjustments in inputs used in production. In the absence of detailed information on the inputs used to produce the secondary production, the adjustment is made in proportion to the change in production for each industry by reallocating intermediate and primary inputs in proportion to the reallocation of outputs. For example, where IOIG </w:t>
      </w:r>
      <w:r>
        <w:rPr>
          <w:i/>
        </w:rPr>
        <w:t>C</w:t>
      </w:r>
      <w:r w:rsidRPr="0048540D">
        <w:rPr>
          <w:i/>
        </w:rPr>
        <w:t>lothing</w:t>
      </w:r>
      <w:r>
        <w:rPr>
          <w:i/>
        </w:rPr>
        <w:t xml:space="preserve"> manufacturing</w:t>
      </w:r>
      <w:r>
        <w:t xml:space="preserve"> industry output </w:t>
      </w:r>
      <w:r w:rsidR="00DE48D3">
        <w:t xml:space="preserve">is reduced </w:t>
      </w:r>
      <w:r>
        <w:t>by 10 per cent</w:t>
      </w:r>
      <w:r w:rsidR="00DE48D3">
        <w:t>,</w:t>
      </w:r>
      <w:r>
        <w:t xml:space="preserve"> </w:t>
      </w:r>
      <w:r w:rsidR="00DE48D3">
        <w:t>its</w:t>
      </w:r>
      <w:r>
        <w:t xml:space="preserve"> usage of inputs is also reduced by 10 per cent. Those inputs are added to the inputs of the industry to which the output is </w:t>
      </w:r>
      <w:r w:rsidR="00DE48D3">
        <w:t>reallocated</w:t>
      </w:r>
      <w:r>
        <w:t>.</w:t>
      </w:r>
    </w:p>
    <w:p w14:paraId="254F4C91" w14:textId="77777777" w:rsidR="00133A74" w:rsidRDefault="003F6413" w:rsidP="003F6413">
      <w:pPr>
        <w:pStyle w:val="BodyText"/>
      </w:pPr>
      <w:r>
        <w:t>Chapter 4 (</w:t>
      </w:r>
      <w:r w:rsidRPr="00F94E83">
        <w:t>PC 2014, pp.37</w:t>
      </w:r>
      <w:r w:rsidRPr="00F94E83">
        <w:noBreakHyphen/>
        <w:t>39)</w:t>
      </w:r>
      <w:r>
        <w:t xml:space="preserve"> describes the steps in the adjustment process in greater details. </w:t>
      </w:r>
    </w:p>
    <w:p w14:paraId="3C28F5BD" w14:textId="0745C09F" w:rsidR="006154D9" w:rsidRDefault="00D57BAD" w:rsidP="00C26D2A">
      <w:pPr>
        <w:pStyle w:val="Heading3"/>
      </w:pPr>
      <w:r>
        <w:lastRenderedPageBreak/>
        <w:t>Calculating tariff assistance by using TAM at the ABS</w:t>
      </w:r>
    </w:p>
    <w:p w14:paraId="3E531A4E" w14:textId="4A83BDB0" w:rsidR="005C77C9" w:rsidRDefault="00D57BAD" w:rsidP="006154D9">
      <w:pPr>
        <w:pStyle w:val="BodyText"/>
      </w:pPr>
      <w:r>
        <w:t xml:space="preserve">Once the IO data are adjusted, they are combined with price distortion vectors, </w:t>
      </w:r>
      <w:r w:rsidR="005C77C9">
        <w:t>available from running</w:t>
      </w:r>
      <w:r>
        <w:t xml:space="preserve"> TIDES, to calculate tariff assistance.</w:t>
      </w:r>
      <w:r w:rsidR="005C77C9">
        <w:t xml:space="preserve"> The procedure is undertaken through running TAM.</w:t>
      </w:r>
    </w:p>
    <w:p w14:paraId="570ABFAF" w14:textId="2A75536F" w:rsidR="008717D8" w:rsidRDefault="005C77C9" w:rsidP="006154D9">
      <w:pPr>
        <w:pStyle w:val="BodyText"/>
      </w:pPr>
      <w:r>
        <w:t>However, t</w:t>
      </w:r>
      <w:r w:rsidR="00D57BAD">
        <w:t xml:space="preserve">he adjustments to the IO are made at IOPC level </w:t>
      </w:r>
      <w:r w:rsidR="00133A74">
        <w:t>(around 1285 items)</w:t>
      </w:r>
      <w:r w:rsidR="00D57BAD">
        <w:t xml:space="preserve"> which is confidential. As such, the tasks of making the adjustments and running TAM with the adjusted data are undertaken at the ABS </w:t>
      </w:r>
      <w:r w:rsidR="006154D9">
        <w:t>on request from the Commission</w:t>
      </w:r>
      <w:r w:rsidR="008717D8">
        <w:t>.</w:t>
      </w:r>
    </w:p>
    <w:p w14:paraId="0541E201" w14:textId="5251B2A9" w:rsidR="005C77C9" w:rsidRDefault="008717D8" w:rsidP="00133A74">
      <w:pPr>
        <w:pStyle w:val="BodyText"/>
      </w:pPr>
      <w:r>
        <w:t>T</w:t>
      </w:r>
      <w:r w:rsidR="00133A74">
        <w:t xml:space="preserve">he Commission </w:t>
      </w:r>
      <w:r w:rsidR="005C77C9">
        <w:t xml:space="preserve">uses </w:t>
      </w:r>
      <w:r>
        <w:t>b</w:t>
      </w:r>
      <w:r w:rsidR="00133A74">
        <w:t xml:space="preserve">lank </w:t>
      </w:r>
      <w:r>
        <w:t xml:space="preserve">IO </w:t>
      </w:r>
      <w:r w:rsidR="006154D9">
        <w:t>table</w:t>
      </w:r>
      <w:r>
        <w:t>s at IOPC level</w:t>
      </w:r>
      <w:r w:rsidR="006154D9">
        <w:t xml:space="preserve"> </w:t>
      </w:r>
      <w:r w:rsidR="005C77C9">
        <w:t xml:space="preserve">to locate </w:t>
      </w:r>
      <w:r w:rsidR="006154D9">
        <w:t>where the adjustments will take place and insert</w:t>
      </w:r>
      <w:r>
        <w:t>s</w:t>
      </w:r>
      <w:r w:rsidR="006154D9">
        <w:t xml:space="preserve"> appropriate formula </w:t>
      </w:r>
      <w:r>
        <w:t xml:space="preserve">in the spreadsheets </w:t>
      </w:r>
      <w:r w:rsidR="006154D9">
        <w:t>to carry out the adjustments.</w:t>
      </w:r>
      <w:r w:rsidR="00182FB9">
        <w:t xml:space="preserve"> </w:t>
      </w:r>
      <w:r>
        <w:t xml:space="preserve">The model is then handed over to the ABS to </w:t>
      </w:r>
      <w:r w:rsidR="005C77C9">
        <w:t xml:space="preserve">populate with their confidential data and </w:t>
      </w:r>
      <w:r w:rsidR="005769D2">
        <w:t xml:space="preserve">undertake </w:t>
      </w:r>
      <w:r w:rsidR="005C77C9">
        <w:t>the adjustments.</w:t>
      </w:r>
    </w:p>
    <w:p w14:paraId="6EA82EF0" w14:textId="3326CD85" w:rsidR="001075C8" w:rsidRDefault="00182FB9" w:rsidP="003F6413">
      <w:pPr>
        <w:pStyle w:val="BodyText"/>
      </w:pPr>
      <w:r>
        <w:t xml:space="preserve">After making the required </w:t>
      </w:r>
      <w:r w:rsidR="001075C8">
        <w:t>adjustments</w:t>
      </w:r>
      <w:r>
        <w:t xml:space="preserve"> to the IO,</w:t>
      </w:r>
      <w:r w:rsidR="001075C8">
        <w:t xml:space="preserve"> the </w:t>
      </w:r>
      <w:r>
        <w:t xml:space="preserve">ABS </w:t>
      </w:r>
      <w:r w:rsidR="005C77C9">
        <w:t xml:space="preserve">subtracts exports </w:t>
      </w:r>
      <w:r w:rsidR="001075C8">
        <w:t>from domestic supply in the IO data and multipl</w:t>
      </w:r>
      <w:r w:rsidR="005C77C9">
        <w:t>y the new column</w:t>
      </w:r>
      <w:r w:rsidR="001075C8">
        <w:t xml:space="preserve"> by the output price vector to calculate the dollar value of output tariff assistance — the Gross Subsidy Equivalent (GSE). </w:t>
      </w:r>
    </w:p>
    <w:p w14:paraId="6D642732" w14:textId="522B3642" w:rsidR="0092658B" w:rsidRDefault="005C77C9" w:rsidP="003F6413">
      <w:pPr>
        <w:pStyle w:val="BodyText"/>
      </w:pPr>
      <w:r>
        <w:t>In</w:t>
      </w:r>
      <w:r w:rsidR="005769D2">
        <w:t xml:space="preserve"> the IO, in</w:t>
      </w:r>
      <w:r>
        <w:t xml:space="preserve">put tariff assistance is calculated by </w:t>
      </w:r>
      <w:r w:rsidR="00DE48D3">
        <w:t xml:space="preserve">sources of supply </w:t>
      </w:r>
      <w:r>
        <w:t xml:space="preserve">of </w:t>
      </w:r>
      <w:r w:rsidR="00DE48D3">
        <w:t>the</w:t>
      </w:r>
      <w:r w:rsidR="001075C8">
        <w:t xml:space="preserve"> intermediate input</w:t>
      </w:r>
      <w:r w:rsidR="00C26D2A">
        <w:t xml:space="preserve">s. Intermediate inputs are tabled as two separate matrices, one </w:t>
      </w:r>
      <w:r w:rsidR="001075C8">
        <w:t xml:space="preserve">sourced from imports and </w:t>
      </w:r>
      <w:r w:rsidR="00C26D2A">
        <w:t>the other</w:t>
      </w:r>
      <w:r w:rsidR="001075C8">
        <w:t xml:space="preserve"> sourced dom</w:t>
      </w:r>
      <w:r w:rsidR="002701AE">
        <w:t xml:space="preserve">estically. Each column in both matrices is multiplied by the </w:t>
      </w:r>
      <w:r w:rsidR="001075C8">
        <w:t xml:space="preserve">input price </w:t>
      </w:r>
      <w:r w:rsidR="002701AE">
        <w:t>v</w:t>
      </w:r>
      <w:r w:rsidR="001075C8">
        <w:t xml:space="preserve">ector </w:t>
      </w:r>
      <w:r w:rsidR="002701AE">
        <w:t>and summed across rows. The first row sums in the first and second matrix show</w:t>
      </w:r>
      <w:r w:rsidR="0092658B">
        <w:t xml:space="preserve"> </w:t>
      </w:r>
      <w:r w:rsidR="002701AE">
        <w:t>the cost penalty on producers in industry 1 from using</w:t>
      </w:r>
      <w:r w:rsidR="0092658B">
        <w:t xml:space="preserve">, respectively, </w:t>
      </w:r>
      <w:r w:rsidR="002701AE">
        <w:t xml:space="preserve">imported </w:t>
      </w:r>
      <w:r w:rsidR="0092658B">
        <w:t>inputs and their domestic</w:t>
      </w:r>
      <w:r w:rsidR="00DE48D3">
        <w:t>ally produced</w:t>
      </w:r>
      <w:r w:rsidR="0092658B">
        <w:t xml:space="preserve"> equivalent, </w:t>
      </w:r>
      <w:r w:rsidR="002701AE">
        <w:t>that are subject to the price</w:t>
      </w:r>
      <w:r w:rsidR="002701AE">
        <w:noBreakHyphen/>
        <w:t xml:space="preserve">raising effects of tariffs. </w:t>
      </w:r>
      <w:r w:rsidR="0092658B">
        <w:t xml:space="preserve">The dollar value of input tariff assistance on industry 1 — the Tax Equivalent on Materials (TEM) is </w:t>
      </w:r>
      <w:r w:rsidR="00894714">
        <w:t xml:space="preserve">— </w:t>
      </w:r>
      <w:r w:rsidR="0092658B">
        <w:t>derived by adding these two row sums.</w:t>
      </w:r>
    </w:p>
    <w:p w14:paraId="05772AF9" w14:textId="2E4B779A" w:rsidR="00367A71" w:rsidRDefault="00D84F1F" w:rsidP="00007B8F">
      <w:pPr>
        <w:pStyle w:val="BodyText"/>
      </w:pPr>
      <w:r>
        <w:t>T</w:t>
      </w:r>
      <w:r w:rsidR="00367A71">
        <w:t xml:space="preserve">he </w:t>
      </w:r>
      <w:r w:rsidR="0092658B">
        <w:t xml:space="preserve">confidential results of tariff assistance at unpublished IO classification are </w:t>
      </w:r>
      <w:r w:rsidR="00367A71">
        <w:t>aggregated to the 11</w:t>
      </w:r>
      <w:r w:rsidR="00B1269F">
        <w:t>4</w:t>
      </w:r>
      <w:r w:rsidR="00367A71">
        <w:t xml:space="preserve"> industry ABS Input-Output Industry Group (IOIG) classification, checked for confidentiality, and returned to the Commission. </w:t>
      </w:r>
    </w:p>
    <w:p w14:paraId="05772AFA" w14:textId="2A50F5F2" w:rsidR="00367A71" w:rsidRDefault="00367A71" w:rsidP="00007B8F">
      <w:pPr>
        <w:pStyle w:val="BodyText"/>
      </w:pPr>
      <w:r>
        <w:t>The Commission then calculates, at the 11</w:t>
      </w:r>
      <w:r w:rsidR="00B1269F">
        <w:t>4</w:t>
      </w:r>
      <w:r>
        <w:t xml:space="preserve"> industry level, net tariff assistance, the Net Subsidy Equivalent (NSE) of tariffs, as the GSE less the TEM. </w:t>
      </w:r>
    </w:p>
    <w:p w14:paraId="05772AFD" w14:textId="10E93366" w:rsidR="00A7393D" w:rsidRDefault="00367A71" w:rsidP="002F5F4D">
      <w:pPr>
        <w:pStyle w:val="BodyText"/>
      </w:pPr>
      <w:r>
        <w:t>For publication in</w:t>
      </w:r>
      <w:r w:rsidR="007D0B05">
        <w:t xml:space="preserve"> TAR</w:t>
      </w:r>
      <w:r>
        <w:t>, the Commission aggregates the 11</w:t>
      </w:r>
      <w:r w:rsidR="00B1269F">
        <w:t>4</w:t>
      </w:r>
      <w:r>
        <w:t xml:space="preserve"> industry results to the ANZSIC-based 38 industry level and combines these estimates with estimates of budgetary assistance at that level.</w:t>
      </w:r>
    </w:p>
    <w:p w14:paraId="0329BA50" w14:textId="0165037C" w:rsidR="00B6235A" w:rsidRDefault="00B6235A" w:rsidP="00B6235A">
      <w:pPr>
        <w:pStyle w:val="BodyText"/>
      </w:pPr>
      <w:r>
        <w:t>The ABS repeats the exercise with unadjusted IO and provides an alternative set of results to the Commission. However, these numbers are used for cross-checking purposes and not reported.</w:t>
      </w:r>
    </w:p>
    <w:p w14:paraId="588567BA" w14:textId="2D19A433" w:rsidR="00007B8F" w:rsidRDefault="00007B8F" w:rsidP="002F5F4D">
      <w:pPr>
        <w:pStyle w:val="BodyText"/>
      </w:pPr>
      <w:r w:rsidRPr="005E1EAC">
        <w:t xml:space="preserve">The computer package </w:t>
      </w:r>
      <w:r>
        <w:rPr>
          <w:i/>
        </w:rPr>
        <w:t>Microsoft Excel </w:t>
      </w:r>
      <w:r w:rsidRPr="005E1EAC">
        <w:rPr>
          <w:i/>
        </w:rPr>
        <w:t>2010</w:t>
      </w:r>
      <w:r w:rsidRPr="005E1EAC">
        <w:t xml:space="preserve"> is used to carry out the main operations or procedures of </w:t>
      </w:r>
      <w:r>
        <w:t>TAM</w:t>
      </w:r>
      <w:r w:rsidRPr="005E1EAC">
        <w:t xml:space="preserve">. </w:t>
      </w:r>
      <w:r>
        <w:t xml:space="preserve">The process is fully automated </w:t>
      </w:r>
      <w:r w:rsidR="009C5CF7">
        <w:t xml:space="preserve">with a VBA macro behind it </w:t>
      </w:r>
      <w:r>
        <w:t>and t</w:t>
      </w:r>
      <w:r w:rsidRPr="005E1EAC">
        <w:t xml:space="preserve">he </w:t>
      </w:r>
      <w:r w:rsidRPr="005E1EAC">
        <w:lastRenderedPageBreak/>
        <w:t>model is run from an on-screen menu providing the user with a selection of tasks to perform or simply to run the full model</w:t>
      </w:r>
      <w:r>
        <w:t xml:space="preserve"> (PC 2014)</w:t>
      </w:r>
      <w:r w:rsidRPr="005E1EAC">
        <w:t>.</w:t>
      </w:r>
    </w:p>
    <w:p w14:paraId="17EC5BC6" w14:textId="412D2037" w:rsidR="00B56B4A" w:rsidRDefault="00B56B4A" w:rsidP="00C97326">
      <w:pPr>
        <w:pStyle w:val="Heading2"/>
        <w:tabs>
          <w:tab w:val="left" w:pos="7938"/>
        </w:tabs>
      </w:pPr>
      <w:r>
        <w:t>Annex</w:t>
      </w:r>
    </w:p>
    <w:p w14:paraId="1A7E4351" w14:textId="729335EC" w:rsidR="004C6AE5" w:rsidRDefault="004C6AE5" w:rsidP="000E04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C6AE5" w14:paraId="78F95FFD" w14:textId="77777777" w:rsidTr="00826F4A">
        <w:tc>
          <w:tcPr>
            <w:tcW w:w="5000" w:type="pct"/>
            <w:tcBorders>
              <w:top w:val="single" w:sz="6" w:space="0" w:color="78A22F"/>
              <w:left w:val="nil"/>
              <w:bottom w:val="nil"/>
              <w:right w:val="nil"/>
            </w:tcBorders>
            <w:shd w:val="clear" w:color="auto" w:fill="auto"/>
          </w:tcPr>
          <w:p w14:paraId="78E92E20" w14:textId="48190A6C" w:rsidR="004C6AE5" w:rsidRDefault="004C6AE5" w:rsidP="000E049D">
            <w:pPr>
              <w:pStyle w:val="TableTitle"/>
            </w:pPr>
            <w:r>
              <w:rPr>
                <w:b w:val="0"/>
              </w:rPr>
              <w:t>Table 1.</w:t>
            </w:r>
            <w:r w:rsidR="002357FE">
              <w:rPr>
                <w:b w:val="0"/>
                <w:noProof/>
              </w:rPr>
              <w:t>1</w:t>
            </w:r>
            <w:r>
              <w:tab/>
            </w:r>
            <w:r w:rsidR="008F3FF3">
              <w:t xml:space="preserve">Concordance between </w:t>
            </w:r>
            <w:r>
              <w:t xml:space="preserve">procedures </w:t>
            </w:r>
            <w:r w:rsidR="008F3FF3">
              <w:t>and references</w:t>
            </w:r>
          </w:p>
          <w:p w14:paraId="249B6834" w14:textId="6EF6F3BD" w:rsidR="004C6AE5" w:rsidRPr="00784A05" w:rsidRDefault="008F3FF3" w:rsidP="000E049D">
            <w:pPr>
              <w:pStyle w:val="Subtitle"/>
            </w:pPr>
            <w:r>
              <w:t>With indication of which procedures have been replicated in R to date</w:t>
            </w:r>
          </w:p>
        </w:tc>
      </w:tr>
      <w:tr w:rsidR="004C6AE5" w14:paraId="32CF1C31" w14:textId="77777777" w:rsidTr="00826F4A">
        <w:tc>
          <w:tcPr>
            <w:tcW w:w="5000" w:type="pct"/>
            <w:tcBorders>
              <w:top w:val="nil"/>
              <w:left w:val="nil"/>
              <w:bottom w:val="nil"/>
              <w:right w:val="nil"/>
            </w:tcBorders>
            <w:shd w:val="clear" w:color="auto" w:fill="auto"/>
          </w:tcPr>
          <w:tbl>
            <w:tblPr>
              <w:tblW w:w="8393" w:type="dxa"/>
              <w:tblCellMar>
                <w:top w:w="28" w:type="dxa"/>
                <w:left w:w="0" w:type="dxa"/>
                <w:right w:w="0" w:type="dxa"/>
              </w:tblCellMar>
              <w:tblLook w:val="0000" w:firstRow="0" w:lastRow="0" w:firstColumn="0" w:lastColumn="0" w:noHBand="0" w:noVBand="0"/>
            </w:tblPr>
            <w:tblGrid>
              <w:gridCol w:w="2104"/>
              <w:gridCol w:w="3544"/>
              <w:gridCol w:w="1813"/>
              <w:gridCol w:w="932"/>
            </w:tblGrid>
            <w:tr w:rsidR="00B56B4A" w14:paraId="56509B08" w14:textId="69C2ACDC" w:rsidTr="004F2846">
              <w:trPr>
                <w:tblHeader/>
              </w:trPr>
              <w:tc>
                <w:tcPr>
                  <w:tcW w:w="1253" w:type="pct"/>
                  <w:tcBorders>
                    <w:top w:val="single" w:sz="6" w:space="0" w:color="BFBFBF"/>
                    <w:bottom w:val="single" w:sz="6" w:space="0" w:color="BFBFBF"/>
                  </w:tcBorders>
                  <w:shd w:val="clear" w:color="auto" w:fill="auto"/>
                  <w:tcMar>
                    <w:top w:w="28" w:type="dxa"/>
                  </w:tcMar>
                </w:tcPr>
                <w:p w14:paraId="11E46998" w14:textId="3012B6BE" w:rsidR="00BE7A83" w:rsidRDefault="00BE7A83" w:rsidP="00E8033F">
                  <w:pPr>
                    <w:pStyle w:val="TableColumnHeading"/>
                    <w:jc w:val="left"/>
                  </w:pPr>
                  <w:r>
                    <w:t>Procedure</w:t>
                  </w:r>
                </w:p>
              </w:tc>
              <w:tc>
                <w:tcPr>
                  <w:tcW w:w="2111" w:type="pct"/>
                  <w:tcBorders>
                    <w:top w:val="single" w:sz="6" w:space="0" w:color="BFBFBF"/>
                    <w:bottom w:val="single" w:sz="6" w:space="0" w:color="BFBFBF"/>
                  </w:tcBorders>
                  <w:shd w:val="clear" w:color="auto" w:fill="auto"/>
                  <w:tcMar>
                    <w:top w:w="28" w:type="dxa"/>
                  </w:tcMar>
                </w:tcPr>
                <w:p w14:paraId="417230C8" w14:textId="58F9580F" w:rsidR="00BE7A83" w:rsidRDefault="00BE7A83" w:rsidP="00E8033F">
                  <w:pPr>
                    <w:pStyle w:val="TableColumnHeading"/>
                    <w:jc w:val="left"/>
                  </w:pPr>
                  <w:r>
                    <w:t>Source</w:t>
                  </w:r>
                </w:p>
              </w:tc>
              <w:tc>
                <w:tcPr>
                  <w:tcW w:w="1080" w:type="pct"/>
                  <w:tcBorders>
                    <w:top w:val="single" w:sz="6" w:space="0" w:color="BFBFBF"/>
                    <w:bottom w:val="single" w:sz="6" w:space="0" w:color="BFBFBF"/>
                  </w:tcBorders>
                  <w:shd w:val="clear" w:color="auto" w:fill="auto"/>
                  <w:tcMar>
                    <w:top w:w="28" w:type="dxa"/>
                  </w:tcMar>
                </w:tcPr>
                <w:p w14:paraId="54C64BA3" w14:textId="275AE47F" w:rsidR="00BE7A83" w:rsidRDefault="00BE7A83" w:rsidP="00E8033F">
                  <w:pPr>
                    <w:pStyle w:val="TableColumnHeading"/>
                    <w:ind w:right="28"/>
                    <w:jc w:val="left"/>
                  </w:pPr>
                  <w:r>
                    <w:t>Software used</w:t>
                  </w:r>
                </w:p>
              </w:tc>
              <w:tc>
                <w:tcPr>
                  <w:tcW w:w="555" w:type="pct"/>
                  <w:tcBorders>
                    <w:top w:val="single" w:sz="6" w:space="0" w:color="BFBFBF"/>
                    <w:bottom w:val="single" w:sz="6" w:space="0" w:color="BFBFBF"/>
                  </w:tcBorders>
                </w:tcPr>
                <w:p w14:paraId="627B578A" w14:textId="396FDE54" w:rsidR="00BE7A83" w:rsidRDefault="00447334" w:rsidP="00E8033F">
                  <w:pPr>
                    <w:pStyle w:val="TableColumnHeading"/>
                    <w:ind w:right="28"/>
                    <w:jc w:val="left"/>
                  </w:pPr>
                  <w:r>
                    <w:t>Replicated in R</w:t>
                  </w:r>
                </w:p>
              </w:tc>
            </w:tr>
            <w:tr w:rsidR="00B56B4A" w14:paraId="38177FE7" w14:textId="77777777" w:rsidTr="004F2846">
              <w:tc>
                <w:tcPr>
                  <w:tcW w:w="1253" w:type="pct"/>
                  <w:tcBorders>
                    <w:top w:val="single" w:sz="6" w:space="0" w:color="BFBFBF"/>
                  </w:tcBorders>
                </w:tcPr>
                <w:p w14:paraId="5E686C45" w14:textId="78928D91" w:rsidR="00344AEF" w:rsidRPr="00B56B4A" w:rsidRDefault="00344AEF" w:rsidP="00E8033F">
                  <w:pPr>
                    <w:pStyle w:val="TableUnitsRow"/>
                    <w:jc w:val="left"/>
                    <w:rPr>
                      <w:b/>
                    </w:rPr>
                  </w:pPr>
                  <w:r w:rsidRPr="00B56B4A">
                    <w:rPr>
                      <w:b/>
                    </w:rPr>
                    <w:t>Operation of TIDES</w:t>
                  </w:r>
                </w:p>
              </w:tc>
              <w:tc>
                <w:tcPr>
                  <w:tcW w:w="2111" w:type="pct"/>
                  <w:tcBorders>
                    <w:top w:val="single" w:sz="6" w:space="0" w:color="BFBFBF"/>
                  </w:tcBorders>
                </w:tcPr>
                <w:p w14:paraId="670E6DE1" w14:textId="13B106B3" w:rsidR="00344AEF" w:rsidRDefault="00344AEF" w:rsidP="00E8033F">
                  <w:pPr>
                    <w:pStyle w:val="TableUnitsRow"/>
                    <w:jc w:val="left"/>
                  </w:pPr>
                </w:p>
              </w:tc>
              <w:tc>
                <w:tcPr>
                  <w:tcW w:w="1080" w:type="pct"/>
                  <w:tcBorders>
                    <w:top w:val="single" w:sz="6" w:space="0" w:color="BFBFBF"/>
                  </w:tcBorders>
                </w:tcPr>
                <w:p w14:paraId="2F9A3046" w14:textId="095FBD02" w:rsidR="00344AEF" w:rsidRDefault="004F178D" w:rsidP="00E8033F">
                  <w:pPr>
                    <w:pStyle w:val="TableUnitsRow"/>
                    <w:ind w:right="28"/>
                    <w:jc w:val="left"/>
                  </w:pPr>
                  <w:r>
                    <w:t xml:space="preserve">SAS, </w:t>
                  </w:r>
                  <w:r w:rsidR="006F579E">
                    <w:t>Microsoft Access97 and Excel</w:t>
                  </w:r>
                </w:p>
              </w:tc>
              <w:tc>
                <w:tcPr>
                  <w:tcW w:w="555" w:type="pct"/>
                  <w:tcBorders>
                    <w:top w:val="single" w:sz="6" w:space="0" w:color="BFBFBF"/>
                  </w:tcBorders>
                </w:tcPr>
                <w:p w14:paraId="6CA2AEC4" w14:textId="53F8820A" w:rsidR="00344AEF" w:rsidRDefault="005557A9" w:rsidP="00E8033F">
                  <w:pPr>
                    <w:pStyle w:val="TableUnitsRow"/>
                    <w:ind w:right="28"/>
                    <w:jc w:val="left"/>
                  </w:pPr>
                  <w:r>
                    <w:t>R</w:t>
                  </w:r>
                </w:p>
              </w:tc>
            </w:tr>
            <w:tr w:rsidR="00B56B4A" w14:paraId="3200CF88" w14:textId="30DA34CE" w:rsidTr="004F2846">
              <w:tc>
                <w:tcPr>
                  <w:tcW w:w="1253" w:type="pct"/>
                  <w:tcBorders>
                    <w:top w:val="single" w:sz="6" w:space="0" w:color="BFBFBF"/>
                  </w:tcBorders>
                </w:tcPr>
                <w:p w14:paraId="6D58748B" w14:textId="0E62B8E2" w:rsidR="005557A9" w:rsidRDefault="005557A9" w:rsidP="00E8033F">
                  <w:pPr>
                    <w:pStyle w:val="TableUnitsRow"/>
                    <w:jc w:val="left"/>
                  </w:pPr>
                  <w:r>
                    <w:t>Data processing for use in TIDES</w:t>
                  </w:r>
                </w:p>
              </w:tc>
              <w:tc>
                <w:tcPr>
                  <w:tcW w:w="2111" w:type="pct"/>
                  <w:tcBorders>
                    <w:top w:val="single" w:sz="6" w:space="0" w:color="BFBFBF"/>
                  </w:tcBorders>
                </w:tcPr>
                <w:p w14:paraId="2F7C82B9" w14:textId="539219EB" w:rsidR="005557A9" w:rsidRDefault="005557A9" w:rsidP="00E8033F">
                  <w:pPr>
                    <w:pStyle w:val="TableUnitsRow"/>
                    <w:jc w:val="left"/>
                  </w:pPr>
                  <w:r>
                    <w:t>Appendix C.1 in (a)</w:t>
                  </w:r>
                  <w:r w:rsidR="00C97326">
                    <w:t>, p. 6-7</w:t>
                  </w:r>
                </w:p>
              </w:tc>
              <w:tc>
                <w:tcPr>
                  <w:tcW w:w="1080" w:type="pct"/>
                  <w:tcBorders>
                    <w:top w:val="single" w:sz="6" w:space="0" w:color="BFBFBF"/>
                  </w:tcBorders>
                </w:tcPr>
                <w:p w14:paraId="56AFD164" w14:textId="06C86E93" w:rsidR="005557A9" w:rsidRDefault="005557A9" w:rsidP="00E8033F">
                  <w:pPr>
                    <w:pStyle w:val="TableUnitsRow"/>
                    <w:ind w:right="28" w:firstLine="420"/>
                    <w:jc w:val="left"/>
                  </w:pPr>
                </w:p>
              </w:tc>
              <w:tc>
                <w:tcPr>
                  <w:tcW w:w="555" w:type="pct"/>
                  <w:tcBorders>
                    <w:top w:val="single" w:sz="6" w:space="0" w:color="BFBFBF"/>
                  </w:tcBorders>
                </w:tcPr>
                <w:p w14:paraId="3729495B" w14:textId="743E7E1E" w:rsidR="005557A9" w:rsidRDefault="005557A9" w:rsidP="00E8033F">
                  <w:pPr>
                    <w:pStyle w:val="TableUnitsRow"/>
                    <w:ind w:right="28"/>
                    <w:jc w:val="left"/>
                  </w:pPr>
                  <w:r w:rsidRPr="00573D72">
                    <w:t>R</w:t>
                  </w:r>
                </w:p>
              </w:tc>
            </w:tr>
            <w:tr w:rsidR="00B56B4A" w14:paraId="73875760" w14:textId="45F002B9" w:rsidTr="004F2846">
              <w:tc>
                <w:tcPr>
                  <w:tcW w:w="1253" w:type="pct"/>
                </w:tcPr>
                <w:p w14:paraId="642664F4" w14:textId="33CC6228" w:rsidR="005557A9" w:rsidRDefault="005557A9" w:rsidP="00E8033F">
                  <w:pPr>
                    <w:pStyle w:val="TableBodyText"/>
                    <w:ind w:left="227"/>
                    <w:jc w:val="left"/>
                  </w:pPr>
                  <w:r>
                    <w:t>Extracting import data from ABS csv files</w:t>
                  </w:r>
                </w:p>
              </w:tc>
              <w:tc>
                <w:tcPr>
                  <w:tcW w:w="2111" w:type="pct"/>
                </w:tcPr>
                <w:p w14:paraId="694B54E5" w14:textId="4BE801D3" w:rsidR="005557A9" w:rsidRDefault="005557A9" w:rsidP="00E8033F">
                  <w:pPr>
                    <w:pStyle w:val="TableBodyText"/>
                    <w:jc w:val="left"/>
                  </w:pPr>
                  <w:r>
                    <w:t>Appendix C.1 in (a), pp. 48-63</w:t>
                  </w:r>
                </w:p>
              </w:tc>
              <w:tc>
                <w:tcPr>
                  <w:tcW w:w="1080" w:type="pct"/>
                </w:tcPr>
                <w:p w14:paraId="0A04C1B1" w14:textId="38E29D24" w:rsidR="005557A9" w:rsidRDefault="005557A9" w:rsidP="00E8033F">
                  <w:pPr>
                    <w:pStyle w:val="TableBodyText"/>
                    <w:ind w:right="28"/>
                    <w:jc w:val="left"/>
                  </w:pPr>
                  <w:r>
                    <w:t>SAS, Microsoft</w:t>
                  </w:r>
                  <w:r w:rsidR="006F579E">
                    <w:t xml:space="preserve"> Access97</w:t>
                  </w:r>
                  <w:r>
                    <w:t xml:space="preserve"> and Excel</w:t>
                  </w:r>
                </w:p>
              </w:tc>
              <w:tc>
                <w:tcPr>
                  <w:tcW w:w="555" w:type="pct"/>
                </w:tcPr>
                <w:p w14:paraId="164D6543" w14:textId="7068CA21" w:rsidR="005557A9" w:rsidRDefault="005557A9" w:rsidP="00E8033F">
                  <w:pPr>
                    <w:pStyle w:val="TableBodyText"/>
                    <w:ind w:right="28"/>
                    <w:jc w:val="left"/>
                  </w:pPr>
                  <w:r w:rsidRPr="00573D72">
                    <w:t>R</w:t>
                  </w:r>
                </w:p>
              </w:tc>
            </w:tr>
            <w:tr w:rsidR="00B56B4A" w14:paraId="12943498" w14:textId="77777777" w:rsidTr="004F2846">
              <w:tc>
                <w:tcPr>
                  <w:tcW w:w="1253" w:type="pct"/>
                </w:tcPr>
                <w:p w14:paraId="0F29F9EC" w14:textId="11E38920" w:rsidR="006F579E" w:rsidRDefault="006F579E" w:rsidP="00E8033F">
                  <w:pPr>
                    <w:pStyle w:val="TableBodyText"/>
                    <w:ind w:left="227"/>
                    <w:jc w:val="left"/>
                  </w:pPr>
                  <w:r>
                    <w:t>Adjustments to the import data</w:t>
                  </w:r>
                </w:p>
              </w:tc>
              <w:tc>
                <w:tcPr>
                  <w:tcW w:w="2111" w:type="pct"/>
                </w:tcPr>
                <w:p w14:paraId="58657A98" w14:textId="4C2F88AB" w:rsidR="006F579E" w:rsidRDefault="006F579E" w:rsidP="00E8033F">
                  <w:pPr>
                    <w:pStyle w:val="TableBodyText"/>
                    <w:jc w:val="left"/>
                  </w:pPr>
                  <w:r>
                    <w:t>Appendix C.1 in (a), pp. 64-75</w:t>
                  </w:r>
                </w:p>
              </w:tc>
              <w:tc>
                <w:tcPr>
                  <w:tcW w:w="1080" w:type="pct"/>
                </w:tcPr>
                <w:p w14:paraId="481D0B56" w14:textId="68B33662" w:rsidR="006F579E" w:rsidRDefault="006F579E" w:rsidP="00E8033F">
                  <w:pPr>
                    <w:pStyle w:val="TableBodyText"/>
                    <w:ind w:right="28"/>
                    <w:jc w:val="left"/>
                  </w:pPr>
                  <w:r w:rsidRPr="00640A9C">
                    <w:t>Microsoft Access97 and Excel</w:t>
                  </w:r>
                </w:p>
              </w:tc>
              <w:tc>
                <w:tcPr>
                  <w:tcW w:w="555" w:type="pct"/>
                </w:tcPr>
                <w:p w14:paraId="08507B3B" w14:textId="6B8F7FC7" w:rsidR="006F579E" w:rsidRDefault="006F579E" w:rsidP="00E8033F">
                  <w:pPr>
                    <w:pStyle w:val="TableBodyText"/>
                    <w:ind w:right="28"/>
                    <w:jc w:val="left"/>
                  </w:pPr>
                  <w:r w:rsidRPr="00573D72">
                    <w:t>R</w:t>
                  </w:r>
                </w:p>
              </w:tc>
            </w:tr>
            <w:tr w:rsidR="00B56B4A" w14:paraId="4DA0458D" w14:textId="77777777" w:rsidTr="004F2846">
              <w:tc>
                <w:tcPr>
                  <w:tcW w:w="1253" w:type="pct"/>
                </w:tcPr>
                <w:p w14:paraId="119797A0" w14:textId="678418A5" w:rsidR="006F579E" w:rsidRDefault="006F579E" w:rsidP="00E8033F">
                  <w:pPr>
                    <w:pStyle w:val="TableBodyText"/>
                    <w:ind w:left="227"/>
                    <w:jc w:val="left"/>
                  </w:pPr>
                  <w:r>
                    <w:t>Creating a concessional tariff table</w:t>
                  </w:r>
                </w:p>
              </w:tc>
              <w:tc>
                <w:tcPr>
                  <w:tcW w:w="2111" w:type="pct"/>
                </w:tcPr>
                <w:p w14:paraId="7FA09FFA" w14:textId="5CC5D8DE" w:rsidR="006F579E" w:rsidRDefault="006F579E" w:rsidP="00E8033F">
                  <w:pPr>
                    <w:pStyle w:val="TableBodyText"/>
                    <w:jc w:val="left"/>
                  </w:pPr>
                  <w:r>
                    <w:t>Appendix C.1 in (a), pp. 75-78</w:t>
                  </w:r>
                </w:p>
              </w:tc>
              <w:tc>
                <w:tcPr>
                  <w:tcW w:w="1080" w:type="pct"/>
                </w:tcPr>
                <w:p w14:paraId="50262544" w14:textId="3E3A324E" w:rsidR="006F579E" w:rsidRDefault="006F579E" w:rsidP="00E8033F">
                  <w:pPr>
                    <w:pStyle w:val="TableBodyText"/>
                    <w:ind w:right="28"/>
                    <w:jc w:val="left"/>
                  </w:pPr>
                  <w:r w:rsidRPr="00640A9C">
                    <w:t>Microsoft Access97 and Excel</w:t>
                  </w:r>
                </w:p>
              </w:tc>
              <w:tc>
                <w:tcPr>
                  <w:tcW w:w="555" w:type="pct"/>
                </w:tcPr>
                <w:p w14:paraId="12F7F5E0" w14:textId="790029A0" w:rsidR="006F579E" w:rsidRDefault="006F579E" w:rsidP="00E8033F">
                  <w:pPr>
                    <w:pStyle w:val="TableBodyText"/>
                    <w:ind w:right="28"/>
                    <w:jc w:val="left"/>
                  </w:pPr>
                  <w:r w:rsidRPr="00573D72">
                    <w:t>R</w:t>
                  </w:r>
                </w:p>
              </w:tc>
            </w:tr>
            <w:tr w:rsidR="00B56B4A" w14:paraId="029C886F" w14:textId="77777777" w:rsidTr="004F2846">
              <w:tc>
                <w:tcPr>
                  <w:tcW w:w="1253" w:type="pct"/>
                </w:tcPr>
                <w:p w14:paraId="2846A119" w14:textId="2E3C595C" w:rsidR="006F579E" w:rsidRDefault="006F579E" w:rsidP="00E8033F">
                  <w:pPr>
                    <w:pStyle w:val="TableBodyText"/>
                    <w:ind w:left="227"/>
                    <w:jc w:val="left"/>
                  </w:pPr>
                  <w:r>
                    <w:t xml:space="preserve">Constructing a tariff schedule </w:t>
                  </w:r>
                </w:p>
              </w:tc>
              <w:tc>
                <w:tcPr>
                  <w:tcW w:w="2111" w:type="pct"/>
                </w:tcPr>
                <w:p w14:paraId="389EF87A" w14:textId="11F0BA57" w:rsidR="006F579E" w:rsidRDefault="006F579E" w:rsidP="00E8033F">
                  <w:pPr>
                    <w:pStyle w:val="TableBodyText"/>
                    <w:jc w:val="left"/>
                  </w:pPr>
                  <w:r>
                    <w:t>Appendix C.1 in (a), pp. 78-89</w:t>
                  </w:r>
                </w:p>
              </w:tc>
              <w:tc>
                <w:tcPr>
                  <w:tcW w:w="1080" w:type="pct"/>
                </w:tcPr>
                <w:p w14:paraId="45AF233B" w14:textId="59A8B8F8" w:rsidR="006F579E" w:rsidRDefault="006F579E" w:rsidP="00E8033F">
                  <w:pPr>
                    <w:pStyle w:val="TableBodyText"/>
                    <w:ind w:right="28"/>
                    <w:jc w:val="left"/>
                  </w:pPr>
                  <w:r w:rsidRPr="00640A9C">
                    <w:t>Microsoft Access97 and Excel</w:t>
                  </w:r>
                </w:p>
              </w:tc>
              <w:tc>
                <w:tcPr>
                  <w:tcW w:w="555" w:type="pct"/>
                </w:tcPr>
                <w:p w14:paraId="4BC5E986" w14:textId="559773A5" w:rsidR="006F579E" w:rsidRDefault="006F579E" w:rsidP="00E8033F">
                  <w:pPr>
                    <w:pStyle w:val="TableBodyText"/>
                    <w:ind w:right="28"/>
                    <w:jc w:val="left"/>
                  </w:pPr>
                  <w:r w:rsidRPr="00573D72">
                    <w:t>R</w:t>
                  </w:r>
                </w:p>
              </w:tc>
            </w:tr>
            <w:tr w:rsidR="00B56B4A" w14:paraId="31C476C4" w14:textId="77777777" w:rsidTr="004F2846">
              <w:tc>
                <w:tcPr>
                  <w:tcW w:w="1253" w:type="pct"/>
                </w:tcPr>
                <w:p w14:paraId="6909A2C5" w14:textId="0238BC2B" w:rsidR="006F579E" w:rsidRDefault="006F579E" w:rsidP="00E8033F">
                  <w:pPr>
                    <w:pStyle w:val="TableBodyText"/>
                    <w:ind w:left="227"/>
                    <w:jc w:val="left"/>
                  </w:pPr>
                  <w:r>
                    <w:t>Creating a concordance table</w:t>
                  </w:r>
                </w:p>
              </w:tc>
              <w:tc>
                <w:tcPr>
                  <w:tcW w:w="2111" w:type="pct"/>
                </w:tcPr>
                <w:p w14:paraId="31B640C0" w14:textId="08215FC1" w:rsidR="006F579E" w:rsidRDefault="006F579E" w:rsidP="00E8033F">
                  <w:pPr>
                    <w:pStyle w:val="TableBodyText"/>
                    <w:jc w:val="left"/>
                  </w:pPr>
                  <w:r>
                    <w:t>Appendix C.1 in (a) pp. 89-90</w:t>
                  </w:r>
                </w:p>
              </w:tc>
              <w:tc>
                <w:tcPr>
                  <w:tcW w:w="1080" w:type="pct"/>
                </w:tcPr>
                <w:p w14:paraId="37DECFC8" w14:textId="38CCEBBE" w:rsidR="006F579E" w:rsidRDefault="006F579E" w:rsidP="00E8033F">
                  <w:pPr>
                    <w:pStyle w:val="TableBodyText"/>
                    <w:ind w:right="28"/>
                    <w:jc w:val="left"/>
                  </w:pPr>
                  <w:r w:rsidRPr="00640A9C">
                    <w:t>Microsoft Access97 and Excel</w:t>
                  </w:r>
                </w:p>
              </w:tc>
              <w:tc>
                <w:tcPr>
                  <w:tcW w:w="555" w:type="pct"/>
                </w:tcPr>
                <w:p w14:paraId="1F844E81" w14:textId="17C1D5EE" w:rsidR="006F579E" w:rsidRDefault="006F579E" w:rsidP="00E8033F">
                  <w:pPr>
                    <w:pStyle w:val="TableBodyText"/>
                    <w:ind w:right="28"/>
                    <w:jc w:val="left"/>
                  </w:pPr>
                  <w:r w:rsidRPr="00573D72">
                    <w:t>R</w:t>
                  </w:r>
                </w:p>
              </w:tc>
            </w:tr>
            <w:tr w:rsidR="00B56B4A" w14:paraId="0CFAD2DC" w14:textId="77777777" w:rsidTr="004F2846">
              <w:tc>
                <w:tcPr>
                  <w:tcW w:w="1253" w:type="pct"/>
                </w:tcPr>
                <w:p w14:paraId="0A4F2290" w14:textId="2BF60245" w:rsidR="006F579E" w:rsidRDefault="006F579E" w:rsidP="00E8033F">
                  <w:pPr>
                    <w:pStyle w:val="TableBodyText"/>
                    <w:ind w:left="227"/>
                    <w:jc w:val="left"/>
                  </w:pPr>
                  <w:r>
                    <w:t>Data storing and linking data tables</w:t>
                  </w:r>
                </w:p>
              </w:tc>
              <w:tc>
                <w:tcPr>
                  <w:tcW w:w="2111" w:type="pct"/>
                </w:tcPr>
                <w:p w14:paraId="18ED919B" w14:textId="780E5191" w:rsidR="006F579E" w:rsidRDefault="006F579E" w:rsidP="00E8033F">
                  <w:pPr>
                    <w:pStyle w:val="TableBodyText"/>
                    <w:jc w:val="left"/>
                  </w:pPr>
                  <w:r>
                    <w:t>Appendix C.1 in (a), pp. 90-102</w:t>
                  </w:r>
                </w:p>
              </w:tc>
              <w:tc>
                <w:tcPr>
                  <w:tcW w:w="1080" w:type="pct"/>
                </w:tcPr>
                <w:p w14:paraId="6CF7AFFD" w14:textId="287CB636" w:rsidR="006F579E" w:rsidRDefault="006F579E" w:rsidP="00E8033F">
                  <w:pPr>
                    <w:pStyle w:val="TableBodyText"/>
                    <w:ind w:right="28"/>
                    <w:jc w:val="left"/>
                  </w:pPr>
                  <w:r w:rsidRPr="00640A9C">
                    <w:t>Microsoft Access97 and Excel</w:t>
                  </w:r>
                </w:p>
              </w:tc>
              <w:tc>
                <w:tcPr>
                  <w:tcW w:w="555" w:type="pct"/>
                </w:tcPr>
                <w:p w14:paraId="025188D4" w14:textId="2CB4B7A5" w:rsidR="006F579E" w:rsidRDefault="006F579E" w:rsidP="00E8033F">
                  <w:pPr>
                    <w:pStyle w:val="TableBodyText"/>
                    <w:ind w:right="28"/>
                    <w:jc w:val="left"/>
                  </w:pPr>
                  <w:r w:rsidRPr="00573D72">
                    <w:t>R</w:t>
                  </w:r>
                </w:p>
              </w:tc>
            </w:tr>
            <w:tr w:rsidR="00B56B4A" w14:paraId="7330D81F" w14:textId="77B01313" w:rsidTr="004F2846">
              <w:tc>
                <w:tcPr>
                  <w:tcW w:w="1253" w:type="pct"/>
                </w:tcPr>
                <w:p w14:paraId="6EE904F6" w14:textId="01EAF238" w:rsidR="006F579E" w:rsidRDefault="006F579E" w:rsidP="00E8033F">
                  <w:pPr>
                    <w:pStyle w:val="TableBodyText"/>
                    <w:jc w:val="left"/>
                  </w:pPr>
                  <w:r>
                    <w:t>Running TIDES: estimate the price distortion vectors</w:t>
                  </w:r>
                </w:p>
              </w:tc>
              <w:tc>
                <w:tcPr>
                  <w:tcW w:w="2111" w:type="pct"/>
                </w:tcPr>
                <w:p w14:paraId="7C704C65" w14:textId="1271AB90" w:rsidR="006F579E" w:rsidRDefault="006F579E" w:rsidP="00E8033F">
                  <w:pPr>
                    <w:pStyle w:val="TableBodyText"/>
                    <w:jc w:val="left"/>
                  </w:pPr>
                  <w:r>
                    <w:t xml:space="preserve">Appendix C.2 in (a), describes </w:t>
                  </w:r>
                  <w:r w:rsidR="00447334">
                    <w:t xml:space="preserve">how </w:t>
                  </w:r>
                  <w:r>
                    <w:t xml:space="preserve">TIDES </w:t>
                  </w:r>
                  <w:r w:rsidR="00447334">
                    <w:t xml:space="preserve">was run automatically </w:t>
                  </w:r>
                  <w:r>
                    <w:t>for TAR 2011</w:t>
                  </w:r>
                  <w:r>
                    <w:noBreakHyphen/>
                    <w:t>12. TAR 2015</w:t>
                  </w:r>
                  <w:r>
                    <w:noBreakHyphen/>
                    <w:t>16 did not use the automated process as it require</w:t>
                  </w:r>
                  <w:r w:rsidR="00447334">
                    <w:t>d</w:t>
                  </w:r>
                  <w:r>
                    <w:t xml:space="preserve"> adjustments and the system was not flexible enough </w:t>
                  </w:r>
                  <w:r w:rsidR="00BC1BED">
                    <w:t>to</w:t>
                  </w:r>
                  <w:r>
                    <w:t xml:space="preserve"> accommodat</w:t>
                  </w:r>
                  <w:r w:rsidR="00BC1BED">
                    <w:t>e</w:t>
                  </w:r>
                  <w:r>
                    <w:t xml:space="preserve"> the changes</w:t>
                  </w:r>
                  <w:r w:rsidR="00BC1BED">
                    <w:t xml:space="preserve"> easily</w:t>
                  </w:r>
                  <w:r>
                    <w:t>. TIDES was run manually.</w:t>
                  </w:r>
                </w:p>
              </w:tc>
              <w:tc>
                <w:tcPr>
                  <w:tcW w:w="1080" w:type="pct"/>
                </w:tcPr>
                <w:p w14:paraId="7B2FC8A2" w14:textId="2FE35A0E" w:rsidR="006F579E" w:rsidRDefault="006F579E" w:rsidP="00E8033F">
                  <w:pPr>
                    <w:pStyle w:val="TableBodyText"/>
                    <w:ind w:right="28"/>
                    <w:jc w:val="left"/>
                  </w:pPr>
                  <w:r w:rsidRPr="00640A9C">
                    <w:t>Microsoft Access97 and Excel</w:t>
                  </w:r>
                </w:p>
              </w:tc>
              <w:tc>
                <w:tcPr>
                  <w:tcW w:w="555" w:type="pct"/>
                </w:tcPr>
                <w:p w14:paraId="6B775E33" w14:textId="0DB93193" w:rsidR="006F579E" w:rsidRDefault="006F579E" w:rsidP="00E8033F">
                  <w:pPr>
                    <w:pStyle w:val="TableBodyText"/>
                    <w:ind w:right="28"/>
                    <w:jc w:val="left"/>
                  </w:pPr>
                  <w:r w:rsidRPr="00573D72">
                    <w:t>R</w:t>
                  </w:r>
                </w:p>
              </w:tc>
            </w:tr>
            <w:tr w:rsidR="00B56B4A" w14:paraId="24BDD60A" w14:textId="5D65AABC" w:rsidTr="004F2846">
              <w:tc>
                <w:tcPr>
                  <w:tcW w:w="1253" w:type="pct"/>
                </w:tcPr>
                <w:p w14:paraId="19876650" w14:textId="4CCA7361" w:rsidR="006F579E" w:rsidRPr="00B56B4A" w:rsidRDefault="006F579E" w:rsidP="00E8033F">
                  <w:pPr>
                    <w:pStyle w:val="TableBodyText"/>
                    <w:jc w:val="left"/>
                    <w:rPr>
                      <w:b/>
                    </w:rPr>
                  </w:pPr>
                  <w:r w:rsidRPr="006F579E">
                    <w:rPr>
                      <w:b/>
                    </w:rPr>
                    <w:t>Operation of TAM</w:t>
                  </w:r>
                </w:p>
              </w:tc>
              <w:tc>
                <w:tcPr>
                  <w:tcW w:w="2111" w:type="pct"/>
                </w:tcPr>
                <w:p w14:paraId="7A6CBB3D" w14:textId="7163C5BA" w:rsidR="006F579E" w:rsidRDefault="006F579E" w:rsidP="00E8033F">
                  <w:pPr>
                    <w:pStyle w:val="TableBodyText"/>
                    <w:jc w:val="left"/>
                  </w:pPr>
                  <w:r>
                    <w:t>(b)</w:t>
                  </w:r>
                </w:p>
              </w:tc>
              <w:tc>
                <w:tcPr>
                  <w:tcW w:w="1080" w:type="pct"/>
                </w:tcPr>
                <w:p w14:paraId="38580B7F" w14:textId="4BC873FA" w:rsidR="006F579E" w:rsidRDefault="006F579E" w:rsidP="00E8033F">
                  <w:pPr>
                    <w:pStyle w:val="TableBodyText"/>
                    <w:ind w:right="28"/>
                    <w:jc w:val="left"/>
                  </w:pPr>
                  <w:r>
                    <w:t>Excel</w:t>
                  </w:r>
                </w:p>
              </w:tc>
              <w:tc>
                <w:tcPr>
                  <w:tcW w:w="555" w:type="pct"/>
                </w:tcPr>
                <w:p w14:paraId="4A7F2962" w14:textId="77777777" w:rsidR="006F579E" w:rsidRDefault="006F579E" w:rsidP="00E8033F">
                  <w:pPr>
                    <w:pStyle w:val="TableBodyText"/>
                    <w:ind w:right="28"/>
                    <w:jc w:val="left"/>
                  </w:pPr>
                </w:p>
              </w:tc>
            </w:tr>
            <w:tr w:rsidR="00B56B4A" w14:paraId="2E002938" w14:textId="0B6382AD" w:rsidTr="004F2846">
              <w:tc>
                <w:tcPr>
                  <w:tcW w:w="1253" w:type="pct"/>
                </w:tcPr>
                <w:p w14:paraId="4962BCED" w14:textId="510CEA76" w:rsidR="006F579E" w:rsidRDefault="006F579E" w:rsidP="00E8033F">
                  <w:pPr>
                    <w:pStyle w:val="TableBodyText"/>
                    <w:ind w:left="0"/>
                    <w:jc w:val="left"/>
                  </w:pPr>
                  <w:r>
                    <w:t>Adjustments to IO database</w:t>
                  </w:r>
                </w:p>
              </w:tc>
              <w:tc>
                <w:tcPr>
                  <w:tcW w:w="2111" w:type="pct"/>
                </w:tcPr>
                <w:p w14:paraId="6BF6AC1B" w14:textId="56BBF509" w:rsidR="006F579E" w:rsidRDefault="006F579E" w:rsidP="00E8033F">
                  <w:pPr>
                    <w:pStyle w:val="TableBodyText"/>
                    <w:jc w:val="left"/>
                  </w:pPr>
                  <w:r>
                    <w:t>(b), p. 2</w:t>
                  </w:r>
                </w:p>
              </w:tc>
              <w:tc>
                <w:tcPr>
                  <w:tcW w:w="1080" w:type="pct"/>
                </w:tcPr>
                <w:p w14:paraId="71358A1B" w14:textId="7FBE253C" w:rsidR="006F579E" w:rsidRDefault="006F579E" w:rsidP="00E8033F">
                  <w:pPr>
                    <w:pStyle w:val="TableBodyText"/>
                    <w:ind w:right="28"/>
                    <w:jc w:val="left"/>
                  </w:pPr>
                  <w:r>
                    <w:t>Excel</w:t>
                  </w:r>
                </w:p>
              </w:tc>
              <w:tc>
                <w:tcPr>
                  <w:tcW w:w="555" w:type="pct"/>
                </w:tcPr>
                <w:p w14:paraId="19025F14" w14:textId="77777777" w:rsidR="006F579E" w:rsidRDefault="006F579E" w:rsidP="00E8033F">
                  <w:pPr>
                    <w:pStyle w:val="TableBodyText"/>
                    <w:ind w:right="28"/>
                    <w:jc w:val="left"/>
                  </w:pPr>
                </w:p>
              </w:tc>
            </w:tr>
            <w:tr w:rsidR="00B56B4A" w14:paraId="61D065BA" w14:textId="0B06428F" w:rsidTr="004F2846">
              <w:tc>
                <w:tcPr>
                  <w:tcW w:w="1253" w:type="pct"/>
                </w:tcPr>
                <w:p w14:paraId="25F38CBC" w14:textId="53CC132D" w:rsidR="006F579E" w:rsidRDefault="006F579E" w:rsidP="00E8033F">
                  <w:pPr>
                    <w:pStyle w:val="TableBodyText"/>
                    <w:jc w:val="left"/>
                  </w:pPr>
                  <w:r>
                    <w:t>Running the model by linking the price distortion vectors and IO tables: estimates tariff assistance on outputs and input cost penalty</w:t>
                  </w:r>
                </w:p>
              </w:tc>
              <w:tc>
                <w:tcPr>
                  <w:tcW w:w="2111" w:type="pct"/>
                </w:tcPr>
                <w:p w14:paraId="0B6ADF24" w14:textId="53288C25" w:rsidR="006F579E" w:rsidRDefault="006F579E" w:rsidP="00E8033F">
                  <w:pPr>
                    <w:pStyle w:val="TableBodyText"/>
                    <w:jc w:val="left"/>
                  </w:pPr>
                  <w:r>
                    <w:t xml:space="preserve">This procedure is undertaken at the ABS with instructions from the Commission. The process is fully automated </w:t>
                  </w:r>
                  <w:r w:rsidR="009C5CF7">
                    <w:t>with a VBA macro</w:t>
                  </w:r>
                  <w:r w:rsidR="00447334">
                    <w:t>. T</w:t>
                  </w:r>
                  <w:r>
                    <w:t xml:space="preserve">he ABS populate disaggregated blank IO tables at </w:t>
                  </w:r>
                  <w:r w:rsidR="00447334">
                    <w:t xml:space="preserve">the </w:t>
                  </w:r>
                  <w:r>
                    <w:t xml:space="preserve">IOPC level with confidential data. </w:t>
                  </w:r>
                  <w:r w:rsidR="00447334">
                    <w:t xml:space="preserve">The model is run </w:t>
                  </w:r>
                  <w:r>
                    <w:t xml:space="preserve">twice, once with original data, and </w:t>
                  </w:r>
                  <w:r w:rsidR="00447334">
                    <w:t xml:space="preserve">once </w:t>
                  </w:r>
                  <w:r>
                    <w:t xml:space="preserve">with </w:t>
                  </w:r>
                  <w:r w:rsidR="00447334">
                    <w:t>Commission</w:t>
                  </w:r>
                  <w:r w:rsidR="00447334" w:rsidDel="00447334">
                    <w:t xml:space="preserve"> </w:t>
                  </w:r>
                  <w:r>
                    <w:t xml:space="preserve">adjustments.  </w:t>
                  </w:r>
                </w:p>
              </w:tc>
              <w:tc>
                <w:tcPr>
                  <w:tcW w:w="1080" w:type="pct"/>
                </w:tcPr>
                <w:p w14:paraId="1DFF2F90" w14:textId="09304571" w:rsidR="006F579E" w:rsidRDefault="006F579E" w:rsidP="00E8033F">
                  <w:pPr>
                    <w:pStyle w:val="TableBodyText"/>
                    <w:ind w:right="28"/>
                    <w:jc w:val="left"/>
                  </w:pPr>
                  <w:r>
                    <w:t>Excel</w:t>
                  </w:r>
                </w:p>
              </w:tc>
              <w:tc>
                <w:tcPr>
                  <w:tcW w:w="555" w:type="pct"/>
                </w:tcPr>
                <w:p w14:paraId="0B2CC05C" w14:textId="77777777" w:rsidR="006F579E" w:rsidRDefault="006F579E" w:rsidP="00E8033F">
                  <w:pPr>
                    <w:pStyle w:val="TableBodyText"/>
                    <w:ind w:right="28"/>
                    <w:jc w:val="left"/>
                  </w:pPr>
                </w:p>
              </w:tc>
            </w:tr>
          </w:tbl>
          <w:p w14:paraId="6C9532EA" w14:textId="77777777" w:rsidR="004C6AE5" w:rsidRDefault="004C6AE5" w:rsidP="000E049D">
            <w:pPr>
              <w:pStyle w:val="Box"/>
            </w:pPr>
          </w:p>
        </w:tc>
      </w:tr>
      <w:tr w:rsidR="004C6AE5" w14:paraId="59466539" w14:textId="77777777" w:rsidTr="00826F4A">
        <w:tc>
          <w:tcPr>
            <w:tcW w:w="5000" w:type="pct"/>
            <w:tcBorders>
              <w:top w:val="nil"/>
              <w:left w:val="nil"/>
              <w:bottom w:val="nil"/>
              <w:right w:val="nil"/>
            </w:tcBorders>
            <w:shd w:val="clear" w:color="auto" w:fill="auto"/>
          </w:tcPr>
          <w:p w14:paraId="28DA499A" w14:textId="0842C2E4" w:rsidR="004C6AE5" w:rsidRDefault="004C6AE5" w:rsidP="00447334">
            <w:pPr>
              <w:pStyle w:val="TableBodyText"/>
              <w:keepNext w:val="0"/>
              <w:spacing w:before="80" w:after="0" w:line="220" w:lineRule="exact"/>
              <w:ind w:left="0" w:right="0"/>
              <w:jc w:val="both"/>
            </w:pPr>
            <w:r>
              <w:rPr>
                <w:i/>
              </w:rPr>
              <w:t>Sources</w:t>
            </w:r>
            <w:r w:rsidRPr="00167F06">
              <w:t xml:space="preserve">: </w:t>
            </w:r>
            <w:r w:rsidR="00344AEF">
              <w:t xml:space="preserve">(a) </w:t>
            </w:r>
            <w:proofErr w:type="spellStart"/>
            <w:r w:rsidR="00AF61A2">
              <w:t>Cobau</w:t>
            </w:r>
            <w:proofErr w:type="spellEnd"/>
            <w:r w:rsidR="00AF61A2">
              <w:t xml:space="preserve"> and Wells</w:t>
            </w:r>
            <w:r w:rsidR="00344AEF">
              <w:t> 2002, (b)</w:t>
            </w:r>
            <w:r w:rsidR="00C97326">
              <w:t xml:space="preserve"> </w:t>
            </w:r>
            <w:r w:rsidR="00344AEF">
              <w:t xml:space="preserve">Wells and </w:t>
            </w:r>
            <w:proofErr w:type="spellStart"/>
            <w:r w:rsidR="00344AEF">
              <w:t>Gretton</w:t>
            </w:r>
            <w:proofErr w:type="spellEnd"/>
            <w:r w:rsidR="00344AEF">
              <w:t> 2011</w:t>
            </w:r>
            <w:r>
              <w:t>.</w:t>
            </w:r>
          </w:p>
        </w:tc>
      </w:tr>
      <w:tr w:rsidR="004C6AE5" w14:paraId="0A11337C" w14:textId="77777777" w:rsidTr="00826F4A">
        <w:tc>
          <w:tcPr>
            <w:tcW w:w="5000" w:type="pct"/>
            <w:tcBorders>
              <w:top w:val="nil"/>
              <w:left w:val="nil"/>
              <w:bottom w:val="single" w:sz="6" w:space="0" w:color="78A22F"/>
              <w:right w:val="nil"/>
            </w:tcBorders>
            <w:shd w:val="clear" w:color="auto" w:fill="auto"/>
          </w:tcPr>
          <w:p w14:paraId="7CA61219" w14:textId="77777777" w:rsidR="004C6AE5" w:rsidRDefault="004C6AE5" w:rsidP="000E049D">
            <w:pPr>
              <w:pStyle w:val="Box"/>
              <w:spacing w:before="0" w:line="120" w:lineRule="exact"/>
            </w:pPr>
          </w:p>
        </w:tc>
      </w:tr>
      <w:tr w:rsidR="004C6AE5" w:rsidRPr="000863A5" w14:paraId="40EE9E02" w14:textId="77777777" w:rsidTr="00826F4A">
        <w:tc>
          <w:tcPr>
            <w:tcW w:w="5000" w:type="pct"/>
            <w:tcBorders>
              <w:top w:val="single" w:sz="6" w:space="0" w:color="78A22F"/>
              <w:left w:val="nil"/>
              <w:bottom w:val="nil"/>
              <w:right w:val="nil"/>
            </w:tcBorders>
          </w:tcPr>
          <w:p w14:paraId="50F0CCD3" w14:textId="1488A310" w:rsidR="004C6AE5" w:rsidRPr="00626D32" w:rsidRDefault="004C6AE5" w:rsidP="000E049D">
            <w:pPr>
              <w:pStyle w:val="BoxSpaceBelow"/>
            </w:pPr>
          </w:p>
        </w:tc>
      </w:tr>
    </w:tbl>
    <w:p w14:paraId="05772AFE" w14:textId="77777777" w:rsidR="00B03505" w:rsidRPr="003915B6" w:rsidRDefault="00B03505" w:rsidP="003915B6">
      <w:pPr>
        <w:pStyle w:val="BodyText"/>
      </w:pPr>
      <w:r w:rsidRPr="003915B6">
        <w:br w:type="page"/>
      </w:r>
    </w:p>
    <w:p w14:paraId="05772AFF" w14:textId="77777777" w:rsidR="00B03505" w:rsidRDefault="00B03505" w:rsidP="003915B6">
      <w:pPr>
        <w:pStyle w:val="Heading2"/>
        <w:spacing w:after="360"/>
      </w:pPr>
      <w:r w:rsidRPr="00525D8D">
        <w:lastRenderedPageBreak/>
        <w:t>References</w:t>
      </w:r>
    </w:p>
    <w:p w14:paraId="519AE5FA" w14:textId="627E19F7" w:rsidR="009C5CF7" w:rsidRDefault="009C5CF7" w:rsidP="003915B6">
      <w:pPr>
        <w:pStyle w:val="Reference"/>
      </w:pPr>
      <w:r>
        <w:t xml:space="preserve">ABS </w:t>
      </w:r>
      <w:r w:rsidRPr="009C5CF7">
        <w:t xml:space="preserve">(Australian Bureau of Statistics) 2006, </w:t>
      </w:r>
      <w:r w:rsidRPr="003915B6">
        <w:rPr>
          <w:i/>
        </w:rPr>
        <w:t>Australian and New Zealand Standard Industrial Classification (ANZSIC)</w:t>
      </w:r>
      <w:r w:rsidRPr="009C5CF7">
        <w:t>, 2006 - Codes and Titles, Cat. no. 1292.0.55.002</w:t>
      </w:r>
      <w:r>
        <w:t>.</w:t>
      </w:r>
    </w:p>
    <w:p w14:paraId="4685110C" w14:textId="1B62200C" w:rsidR="009C5CF7" w:rsidRDefault="004F2846" w:rsidP="003915B6">
      <w:pPr>
        <w:pStyle w:val="Reference"/>
      </w:pPr>
      <w:r>
        <w:t>—— </w:t>
      </w:r>
      <w:r w:rsidRPr="00EB6A35">
        <w:t>201</w:t>
      </w:r>
      <w:r>
        <w:t>1</w:t>
      </w:r>
      <w:r w:rsidR="008A67C6">
        <w:t xml:space="preserve">, </w:t>
      </w:r>
      <w:r w:rsidR="008A67C6" w:rsidRPr="003915B6">
        <w:rPr>
          <w:i/>
        </w:rPr>
        <w:t>International Merchandise Trade</w:t>
      </w:r>
      <w:r w:rsidR="008A67C6" w:rsidRPr="000B3050">
        <w:t>, Australia, Concepts, Sources and Methods,</w:t>
      </w:r>
      <w:r w:rsidR="008A67C6" w:rsidRPr="008A67C6">
        <w:t xml:space="preserve"> </w:t>
      </w:r>
      <w:r w:rsidR="008A67C6" w:rsidRPr="009C5CF7">
        <w:t xml:space="preserve">Cat. no. </w:t>
      </w:r>
      <w:r w:rsidR="008A67C6">
        <w:t>5489,0.</w:t>
      </w:r>
    </w:p>
    <w:p w14:paraId="619871AC" w14:textId="77777777" w:rsidR="009C5CF7" w:rsidRPr="003915B6" w:rsidRDefault="009C5CF7" w:rsidP="003915B6">
      <w:pPr>
        <w:pStyle w:val="Reference"/>
        <w:rPr>
          <w:spacing w:val="-2"/>
        </w:rPr>
      </w:pPr>
      <w:proofErr w:type="spellStart"/>
      <w:r w:rsidRPr="003915B6">
        <w:rPr>
          <w:spacing w:val="-2"/>
        </w:rPr>
        <w:t>Cobau</w:t>
      </w:r>
      <w:proofErr w:type="spellEnd"/>
      <w:r w:rsidRPr="003915B6">
        <w:rPr>
          <w:spacing w:val="-2"/>
        </w:rPr>
        <w:t xml:space="preserve">, D. and Wells, R. 2002, </w:t>
      </w:r>
      <w:r w:rsidRPr="003915B6">
        <w:rPr>
          <w:i/>
          <w:spacing w:val="-2"/>
        </w:rPr>
        <w:t>TIDES: Documentation of the Commission’s Tariff and Import Database and Estimating System</w:t>
      </w:r>
      <w:r w:rsidRPr="003915B6">
        <w:rPr>
          <w:spacing w:val="-2"/>
        </w:rPr>
        <w:t>, Internal Research Memorandum, Cat. No. GA 509.</w:t>
      </w:r>
    </w:p>
    <w:p w14:paraId="33D218E5" w14:textId="1C1D1C47" w:rsidR="009C5CF7" w:rsidRDefault="009C5CF7" w:rsidP="003915B6">
      <w:pPr>
        <w:pStyle w:val="Reference"/>
      </w:pPr>
      <w:r>
        <w:t xml:space="preserve">PC </w:t>
      </w:r>
      <w:r w:rsidRPr="009C5CF7">
        <w:t xml:space="preserve">(Productivity Commission) 2014, </w:t>
      </w:r>
      <w:r w:rsidRPr="003915B6">
        <w:rPr>
          <w:i/>
        </w:rPr>
        <w:t>Methodological Annex: Estimation Framework, Coverage and Re-benchmarking of Estimates</w:t>
      </w:r>
      <w:r w:rsidRPr="00654FCC">
        <w:t>, Trade &amp; Assistance Review 2011-12</w:t>
      </w:r>
      <w:r w:rsidRPr="009C5CF7">
        <w:t>, Productivity Commission, Canberra</w:t>
      </w:r>
      <w:r>
        <w:t>.</w:t>
      </w:r>
    </w:p>
    <w:p w14:paraId="47B34614" w14:textId="68DC99F5" w:rsidR="00654FCC" w:rsidRPr="00654FCC" w:rsidRDefault="00654FCC" w:rsidP="003915B6">
      <w:pPr>
        <w:pStyle w:val="Reference"/>
      </w:pPr>
      <w:r>
        <w:t xml:space="preserve">—— 2016, </w:t>
      </w:r>
      <w:r w:rsidRPr="003915B6">
        <w:rPr>
          <w:i/>
        </w:rPr>
        <w:t>Trade and Assistance Review user guide</w:t>
      </w:r>
      <w:r w:rsidRPr="00654FCC">
        <w:t>, Canberra.</w:t>
      </w:r>
    </w:p>
    <w:p w14:paraId="05772B07" w14:textId="7DA59B09" w:rsidR="00A95116" w:rsidRDefault="004F2846" w:rsidP="003915B6">
      <w:pPr>
        <w:pStyle w:val="Reference"/>
      </w:pPr>
      <w:r>
        <w:t>—— </w:t>
      </w:r>
      <w:r w:rsidR="009C5CF7" w:rsidRPr="009C5CF7">
        <w:t xml:space="preserve">2017, </w:t>
      </w:r>
      <w:r w:rsidR="009C5CF7" w:rsidRPr="003915B6">
        <w:rPr>
          <w:i/>
        </w:rPr>
        <w:t>Trade and Assistance Review 2015-16</w:t>
      </w:r>
      <w:r w:rsidR="009C5CF7" w:rsidRPr="009C5CF7">
        <w:t>, Annual Report Series, Canberr</w:t>
      </w:r>
      <w:r w:rsidR="009C5CF7">
        <w:t>a.</w:t>
      </w:r>
    </w:p>
    <w:p w14:paraId="667AA8D3" w14:textId="44B0DD04" w:rsidR="009C5CF7" w:rsidRDefault="009C5CF7" w:rsidP="003915B6">
      <w:pPr>
        <w:pStyle w:val="Reference"/>
      </w:pPr>
      <w:r>
        <w:t>Roberts, P. 1990</w:t>
      </w:r>
      <w:r w:rsidR="004F2846">
        <w:t xml:space="preserve">, </w:t>
      </w:r>
      <w:r w:rsidR="004F2846" w:rsidRPr="003915B6">
        <w:rPr>
          <w:i/>
        </w:rPr>
        <w:t>The Estimation of Price Effects of border Assistance Arrangements: Agriculture</w:t>
      </w:r>
      <w:r w:rsidR="004F2846">
        <w:t>, Mining and manufacturing, Industry Commission, Canberra.</w:t>
      </w:r>
    </w:p>
    <w:p w14:paraId="5F3CA69B" w14:textId="0AABA07D" w:rsidR="009C5CF7" w:rsidRPr="00192FF8" w:rsidRDefault="009C5CF7" w:rsidP="003915B6">
      <w:pPr>
        <w:pStyle w:val="Reference"/>
      </w:pPr>
      <w:r w:rsidRPr="00192FF8">
        <w:t xml:space="preserve">Wells, R. and </w:t>
      </w:r>
      <w:proofErr w:type="spellStart"/>
      <w:r w:rsidRPr="00192FF8">
        <w:t>Gretton</w:t>
      </w:r>
      <w:proofErr w:type="spellEnd"/>
      <w:r w:rsidRPr="00192FF8">
        <w:t xml:space="preserve">, P. 2011, </w:t>
      </w:r>
      <w:r w:rsidRPr="00654FCC">
        <w:t>N</w:t>
      </w:r>
      <w:r w:rsidRPr="003915B6">
        <w:rPr>
          <w:i/>
        </w:rPr>
        <w:t>otes on the Productivity Commission Tariff Assistance Model</w:t>
      </w:r>
      <w:r w:rsidRPr="00192FF8">
        <w:t>, Internal working paper. Not for quotation.</w:t>
      </w:r>
    </w:p>
    <w:p w14:paraId="05772B08" w14:textId="77777777" w:rsidR="00A95116" w:rsidRDefault="00A95116" w:rsidP="00A95116">
      <w:pPr>
        <w:pStyle w:val="BodyText"/>
      </w:pPr>
      <w:r>
        <w:br w:type="page"/>
      </w:r>
    </w:p>
    <w:p w14:paraId="05772B09" w14:textId="546E39EE" w:rsidR="00603604" w:rsidRDefault="005B4CC9" w:rsidP="005B4CC9">
      <w:pPr>
        <w:pStyle w:val="Heading2"/>
      </w:pPr>
      <w:bookmarkStart w:id="3" w:name="ChapterNumber"/>
      <w:r>
        <w:lastRenderedPageBreak/>
        <w:t>1</w:t>
      </w:r>
      <w:bookmarkEnd w:id="3"/>
      <w:r>
        <w:tab/>
      </w:r>
      <w:r w:rsidR="008F64F2">
        <w:t>Required data</w:t>
      </w:r>
    </w:p>
    <w:p w14:paraId="05772B0A" w14:textId="346882EF" w:rsidR="00603604" w:rsidRDefault="00603604" w:rsidP="00603604">
      <w:pPr>
        <w:pStyle w:val="BodyText"/>
      </w:pPr>
      <w:r>
        <w:t xml:space="preserve">This appendix presents a list of </w:t>
      </w:r>
      <w:r w:rsidR="00624287">
        <w:t xml:space="preserve">the </w:t>
      </w:r>
      <w:r>
        <w:t>data sources used to derive the Com</w:t>
      </w:r>
      <w:r w:rsidR="00E8033F">
        <w:t>mission’s assistance estimates.</w:t>
      </w:r>
    </w:p>
    <w:p w14:paraId="05772B0B" w14:textId="77777777" w:rsidR="00603604" w:rsidRDefault="00603604" w:rsidP="00E8033F">
      <w:pPr>
        <w:pStyle w:val="Heading3"/>
        <w:spacing w:before="480"/>
      </w:pPr>
      <w:r>
        <w:t>Production, materials and value added data</w:t>
      </w:r>
    </w:p>
    <w:p w14:paraId="05772B0C" w14:textId="77777777" w:rsidR="00603604" w:rsidRDefault="00603604" w:rsidP="00E8033F">
      <w:pPr>
        <w:pStyle w:val="Heading4"/>
        <w:spacing w:before="240"/>
      </w:pPr>
      <w:r>
        <w:t>ABS National Accounts Input-Output data</w:t>
      </w:r>
    </w:p>
    <w:p w14:paraId="05772B0D" w14:textId="77777777" w:rsidR="00603604" w:rsidRDefault="00603604" w:rsidP="00603604">
      <w:pPr>
        <w:pStyle w:val="BodyText"/>
      </w:pPr>
      <w:r>
        <w:t xml:space="preserve">The ABS’s Input-Output (IO) data is used to derive estimates of production, material usage and value added. This data is then used to derive estimates of tariff assistance, effective rates and also as an input to the Adjustment Factor workbook. </w:t>
      </w:r>
    </w:p>
    <w:p w14:paraId="05772B0E" w14:textId="77777777" w:rsidR="00603604" w:rsidRDefault="00603604" w:rsidP="00E8033F">
      <w:pPr>
        <w:pStyle w:val="Heading5"/>
        <w:spacing w:before="240"/>
      </w:pPr>
      <w:r>
        <w:t>Source</w:t>
      </w:r>
    </w:p>
    <w:p w14:paraId="05772B0F" w14:textId="77777777" w:rsidR="00603604" w:rsidRDefault="00603604" w:rsidP="00603604">
      <w:pPr>
        <w:pStyle w:val="BodyText"/>
      </w:pPr>
      <w:r w:rsidRPr="005F57C9">
        <w:t>ABS (Australian Bureau of Statistics)</w:t>
      </w:r>
      <w:r w:rsidRPr="005F57C9">
        <w:rPr>
          <w:color w:val="000000" w:themeColor="text1"/>
        </w:rPr>
        <w:t> </w:t>
      </w:r>
      <w:r w:rsidRPr="005F57C9">
        <w:t>201</w:t>
      </w:r>
      <w:r>
        <w:t>2</w:t>
      </w:r>
      <w:r w:rsidRPr="005F57C9">
        <w:t xml:space="preserve">, </w:t>
      </w:r>
      <w:r w:rsidRPr="001F7BC7">
        <w:rPr>
          <w:i/>
        </w:rPr>
        <w:t>Australian National Accounts: Input-Output Tables 2008-09</w:t>
      </w:r>
      <w:r w:rsidRPr="005F57C9">
        <w:t xml:space="preserve">, Cat. no. </w:t>
      </w:r>
      <w:r w:rsidRPr="001F7BC7">
        <w:t>5209.0.55.001</w:t>
      </w:r>
      <w:r>
        <w:t xml:space="preserve"> (tables 1, 2 and 3), </w:t>
      </w:r>
      <w:r w:rsidRPr="005F57C9">
        <w:t>ABS, Canberra.</w:t>
      </w:r>
    </w:p>
    <w:p w14:paraId="05772B10" w14:textId="1F348DC3" w:rsidR="00603604" w:rsidRPr="00A525EE" w:rsidRDefault="00603604" w:rsidP="00603604">
      <w:pPr>
        <w:pStyle w:val="BodyText"/>
        <w:ind w:left="720" w:hanging="720"/>
      </w:pPr>
      <w:r w:rsidRPr="00A525EE">
        <w:tab/>
      </w:r>
      <w:r w:rsidRPr="00826F4A">
        <w:t>http://www.abs.gov.au/AUSSTATS/abs@.nsf/DetailsPage/5209.0.55.0012008-09?OpenDocument</w:t>
      </w:r>
      <w:r w:rsidRPr="00A525EE">
        <w:t xml:space="preserve"> — tables 1, 2 and 3.</w:t>
      </w:r>
    </w:p>
    <w:p w14:paraId="05772B11" w14:textId="77777777" w:rsidR="00603604" w:rsidRPr="00A525EE" w:rsidRDefault="00603604" w:rsidP="00603604">
      <w:pPr>
        <w:pStyle w:val="Reference"/>
      </w:pPr>
      <w:r w:rsidRPr="00A525EE">
        <w:t xml:space="preserve">ABS (Australian Bureau of Statistics) 2014, </w:t>
      </w:r>
      <w:r w:rsidRPr="00A525EE">
        <w:rPr>
          <w:i/>
        </w:rPr>
        <w:t>Australian System of National Accounts</w:t>
      </w:r>
      <w:r w:rsidRPr="00A525EE">
        <w:t xml:space="preserve">, </w:t>
      </w:r>
      <w:r w:rsidRPr="00A525EE">
        <w:rPr>
          <w:i/>
        </w:rPr>
        <w:t>2013</w:t>
      </w:r>
      <w:r w:rsidRPr="00A525EE">
        <w:rPr>
          <w:i/>
        </w:rPr>
        <w:noBreakHyphen/>
        <w:t>14</w:t>
      </w:r>
      <w:r w:rsidRPr="00A525EE">
        <w:t xml:space="preserve">, Cat. no. 5204.0 (table 5), ABS, Canberra. </w:t>
      </w:r>
    </w:p>
    <w:p w14:paraId="05772B12" w14:textId="0AA32F12" w:rsidR="00603604" w:rsidRPr="00A525EE" w:rsidRDefault="00603604" w:rsidP="00603604">
      <w:pPr>
        <w:pStyle w:val="BodyText"/>
        <w:ind w:left="720" w:hanging="720"/>
      </w:pPr>
      <w:r w:rsidRPr="00A525EE">
        <w:tab/>
      </w:r>
      <w:r w:rsidRPr="00826F4A">
        <w:t>http://www.abs.gov.au/AUSSTATS/abs@.nsf/DetailsPage/5204.02012-13?OpenDocument</w:t>
      </w:r>
      <w:r w:rsidRPr="00A525EE">
        <w:t xml:space="preserve"> — table 5.</w:t>
      </w:r>
    </w:p>
    <w:p w14:paraId="05772B13" w14:textId="77777777" w:rsidR="00603604" w:rsidRDefault="00603604" w:rsidP="00603604">
      <w:pPr>
        <w:pStyle w:val="Heading3"/>
      </w:pPr>
      <w:r>
        <w:t>Tariff assistance estimates</w:t>
      </w:r>
    </w:p>
    <w:p w14:paraId="05772B14" w14:textId="77777777" w:rsidR="00603604" w:rsidRDefault="00603604" w:rsidP="00E8033F">
      <w:pPr>
        <w:pStyle w:val="Heading4"/>
        <w:spacing w:before="240"/>
      </w:pPr>
      <w:r>
        <w:t>Tariff schedules</w:t>
      </w:r>
    </w:p>
    <w:p w14:paraId="05772B15" w14:textId="77777777" w:rsidR="00603604" w:rsidRDefault="00603604" w:rsidP="00E8033F">
      <w:pPr>
        <w:pStyle w:val="Heading5"/>
        <w:spacing w:before="240"/>
      </w:pPr>
      <w:r>
        <w:t>Source</w:t>
      </w:r>
    </w:p>
    <w:p w14:paraId="05772B16" w14:textId="4EA8F355" w:rsidR="00603604" w:rsidRPr="00A525EE" w:rsidRDefault="00603604" w:rsidP="00603604">
      <w:pPr>
        <w:pStyle w:val="BodyText"/>
      </w:pPr>
      <w:r w:rsidRPr="00A525EE">
        <w:t xml:space="preserve">Department of Immigration and Border Security, </w:t>
      </w:r>
      <w:r w:rsidRPr="00A525EE">
        <w:rPr>
          <w:i/>
        </w:rPr>
        <w:t>Current tariff classification</w:t>
      </w:r>
      <w:r w:rsidRPr="00A525EE">
        <w:t xml:space="preserve">, </w:t>
      </w:r>
      <w:r w:rsidR="00624287" w:rsidRPr="00826F4A">
        <w:t>www.border.gov.au/Busi/Tari/Curr</w:t>
      </w:r>
      <w:r w:rsidR="00624287" w:rsidRPr="00A525EE">
        <w:t xml:space="preserve"> </w:t>
      </w:r>
      <w:r w:rsidRPr="00A525EE">
        <w:t xml:space="preserve"> (accessed 21 September 2016). </w:t>
      </w:r>
    </w:p>
    <w:p w14:paraId="05772B17" w14:textId="77777777" w:rsidR="00603604" w:rsidRDefault="00603604" w:rsidP="00E8033F">
      <w:pPr>
        <w:pStyle w:val="Heading4"/>
        <w:spacing w:before="360"/>
      </w:pPr>
      <w:r>
        <w:t>ABS Merchandise Trade Data Imports</w:t>
      </w:r>
    </w:p>
    <w:p w14:paraId="05772B18" w14:textId="77777777" w:rsidR="00603604" w:rsidRDefault="00603604" w:rsidP="00E8033F">
      <w:pPr>
        <w:pStyle w:val="Heading5"/>
        <w:spacing w:before="240"/>
      </w:pPr>
      <w:r>
        <w:t>Source</w:t>
      </w:r>
    </w:p>
    <w:p w14:paraId="05772B19" w14:textId="77777777" w:rsidR="00603604" w:rsidRDefault="00603604" w:rsidP="00603604">
      <w:pPr>
        <w:pStyle w:val="BodyText"/>
      </w:pPr>
      <w:r>
        <w:t xml:space="preserve">Australian Bureau of Statistics (ABS), </w:t>
      </w:r>
      <w:r w:rsidRPr="007F3817">
        <w:rPr>
          <w:i/>
        </w:rPr>
        <w:t>International Merchandise Imports, Australia (various months)</w:t>
      </w:r>
      <w:r>
        <w:t xml:space="preserve">, Cat. No. 5439.0, ABS, Canberra. </w:t>
      </w:r>
    </w:p>
    <w:p w14:paraId="05772B1A" w14:textId="77777777" w:rsidR="00603604" w:rsidRDefault="00603604" w:rsidP="00E8033F">
      <w:pPr>
        <w:pStyle w:val="BodyText"/>
        <w:widowControl w:val="0"/>
        <w:ind w:left="720" w:hanging="720"/>
      </w:pPr>
      <w:r>
        <w:tab/>
      </w:r>
      <w:r w:rsidRPr="007F3817">
        <w:t>http://www.abs.gov.au/AUSSTATS/abs@.nsf/Lookup/5439.0Main+Features1Dec%202015?OpenDocument</w:t>
      </w:r>
    </w:p>
    <w:p w14:paraId="05772B1B" w14:textId="77777777" w:rsidR="00603604" w:rsidRDefault="00603604" w:rsidP="00603604">
      <w:pPr>
        <w:pStyle w:val="Heading3"/>
      </w:pPr>
      <w:r>
        <w:lastRenderedPageBreak/>
        <w:t>Other data requirements</w:t>
      </w:r>
    </w:p>
    <w:p w14:paraId="05772B1C" w14:textId="77777777" w:rsidR="00603604" w:rsidRDefault="00603604" w:rsidP="00E8033F">
      <w:pPr>
        <w:pStyle w:val="Heading4"/>
        <w:spacing w:before="240"/>
      </w:pPr>
      <w:r>
        <w:t>ANZSIC classification</w:t>
      </w:r>
    </w:p>
    <w:p w14:paraId="05772B1D" w14:textId="77777777" w:rsidR="00603604" w:rsidRDefault="00603604" w:rsidP="00603604">
      <w:pPr>
        <w:pStyle w:val="BodyText"/>
      </w:pPr>
      <w:r>
        <w:t xml:space="preserve">In the </w:t>
      </w:r>
      <w:r w:rsidRPr="00EB3168">
        <w:rPr>
          <w:i/>
        </w:rPr>
        <w:t>Trade &amp; Assistance Review</w:t>
      </w:r>
      <w:r>
        <w:t>, estimates of combined assistance are presented for 38 ‘industry groupings’ including 4 ‘unallocated’ groupings (table A.2). The industry groupings are based on the classification of industries in the 2006 edition of the Australian and New Zealand Standard Industrial Classification (ANZSIC).</w:t>
      </w:r>
      <w:r>
        <w:rPr>
          <w:rStyle w:val="FootnoteReference"/>
        </w:rPr>
        <w:footnoteReference w:id="8"/>
      </w:r>
      <w:r>
        <w:t xml:space="preserve"> </w:t>
      </w:r>
    </w:p>
    <w:p w14:paraId="05772B1E" w14:textId="77777777" w:rsidR="00603604" w:rsidRDefault="00603604" w:rsidP="00603604">
      <w:pPr>
        <w:pStyle w:val="Heading5"/>
      </w:pPr>
      <w:r>
        <w:t>Source</w:t>
      </w:r>
    </w:p>
    <w:p w14:paraId="75F9A6D0" w14:textId="3075409C" w:rsidR="0098667A" w:rsidRDefault="00603604" w:rsidP="00E8033F">
      <w:pPr>
        <w:pStyle w:val="BodyText"/>
      </w:pPr>
      <w:r>
        <w:t xml:space="preserve">ABS (Australian Bureau of Statistics) 2006, </w:t>
      </w:r>
      <w:r w:rsidRPr="00055BF9">
        <w:rPr>
          <w:i/>
        </w:rPr>
        <w:t>Australian and New Zealand Standard Industrial Classification (ANZSIC)</w:t>
      </w:r>
      <w:r>
        <w:t xml:space="preserve">, Cat. No. 1292.0, ABS Canberra. </w:t>
      </w:r>
    </w:p>
    <w:sectPr w:rsidR="0098667A" w:rsidSect="00F222A1">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793D0" w14:textId="77777777" w:rsidR="00AE79A4" w:rsidRDefault="00AE79A4">
      <w:r>
        <w:separator/>
      </w:r>
    </w:p>
  </w:endnote>
  <w:endnote w:type="continuationSeparator" w:id="0">
    <w:p w14:paraId="390344FF" w14:textId="77777777" w:rsidR="00AE79A4" w:rsidRDefault="00AE79A4">
      <w:r>
        <w:continuationSeparator/>
      </w:r>
    </w:p>
  </w:endnote>
  <w:endnote w:type="continuationNotice" w:id="1">
    <w:p w14:paraId="7832609D" w14:textId="77777777" w:rsidR="00AE79A4" w:rsidRDefault="00AE7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F3FF3" w14:paraId="05772B31" w14:textId="77777777" w:rsidTr="005F48ED">
      <w:trPr>
        <w:trHeight w:hRule="exact" w:val="567"/>
      </w:trPr>
      <w:tc>
        <w:tcPr>
          <w:tcW w:w="510" w:type="dxa"/>
        </w:tcPr>
        <w:p w14:paraId="05772B2E" w14:textId="77777777" w:rsidR="008F3FF3" w:rsidRPr="00A24443" w:rsidRDefault="008F3FF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B44C8">
            <w:rPr>
              <w:rStyle w:val="PageNumber"/>
              <w:caps w:val="0"/>
              <w:noProof/>
            </w:rPr>
            <w:t>2</w:t>
          </w:r>
          <w:r w:rsidRPr="00A24443">
            <w:rPr>
              <w:rStyle w:val="PageNumber"/>
              <w:caps w:val="0"/>
            </w:rPr>
            <w:fldChar w:fldCharType="end"/>
          </w:r>
        </w:p>
      </w:tc>
      <w:tc>
        <w:tcPr>
          <w:tcW w:w="7767" w:type="dxa"/>
        </w:tcPr>
        <w:p w14:paraId="05772B2F" w14:textId="227C569D" w:rsidR="008F3FF3" w:rsidRPr="0013739A" w:rsidRDefault="00D443EB" w:rsidP="006D7F1C">
          <w:pPr>
            <w:pStyle w:val="Footer"/>
            <w:rPr>
              <w:rFonts w:cs="Arial"/>
            </w:rPr>
          </w:pPr>
          <w:bookmarkStart w:id="2" w:name="DraftReportEven"/>
          <w:bookmarkEnd w:id="2"/>
          <w:r>
            <w:rPr>
              <w:rFonts w:cs="Arial"/>
            </w:rPr>
            <w:t>TAR Process documentation</w:t>
          </w:r>
        </w:p>
      </w:tc>
      <w:tc>
        <w:tcPr>
          <w:tcW w:w="510" w:type="dxa"/>
        </w:tcPr>
        <w:p w14:paraId="05772B30" w14:textId="77777777" w:rsidR="008F3FF3" w:rsidRDefault="008F3FF3" w:rsidP="0019293B">
          <w:pPr>
            <w:pStyle w:val="Footer"/>
          </w:pPr>
        </w:p>
      </w:tc>
    </w:tr>
  </w:tbl>
  <w:p w14:paraId="05772B32" w14:textId="77777777" w:rsidR="008F3FF3" w:rsidRDefault="008F3FF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F3FF3" w14:paraId="05772B36" w14:textId="77777777" w:rsidTr="005F48ED">
      <w:trPr>
        <w:trHeight w:hRule="exact" w:val="567"/>
      </w:trPr>
      <w:tc>
        <w:tcPr>
          <w:tcW w:w="510" w:type="dxa"/>
        </w:tcPr>
        <w:p w14:paraId="05772B33" w14:textId="77777777" w:rsidR="008F3FF3" w:rsidRDefault="008F3FF3">
          <w:pPr>
            <w:pStyle w:val="Footer"/>
            <w:ind w:right="360" w:firstLine="360"/>
          </w:pPr>
        </w:p>
      </w:tc>
      <w:tc>
        <w:tcPr>
          <w:tcW w:w="7767" w:type="dxa"/>
        </w:tcPr>
        <w:p w14:paraId="05772B34" w14:textId="4371924F" w:rsidR="008F3FF3" w:rsidRPr="00BA5B14" w:rsidRDefault="00D443EB" w:rsidP="006D7F1C">
          <w:pPr>
            <w:pStyle w:val="Footer"/>
            <w:jc w:val="right"/>
            <w:rPr>
              <w:rFonts w:cs="Arial"/>
            </w:rPr>
          </w:pPr>
          <w:r>
            <w:t>re</w:t>
          </w:r>
          <w:r>
            <w:noBreakHyphen/>
            <w:t xml:space="preserve">benchmarking tariff assistance estimates in </w:t>
          </w:r>
          <w:r w:rsidRPr="007D1F8B">
            <w:t>T</w:t>
          </w:r>
          <w:r>
            <w:t>AR</w:t>
          </w:r>
        </w:p>
      </w:tc>
      <w:tc>
        <w:tcPr>
          <w:tcW w:w="510" w:type="dxa"/>
        </w:tcPr>
        <w:p w14:paraId="05772B35" w14:textId="77777777" w:rsidR="008F3FF3" w:rsidRPr="00A24443" w:rsidRDefault="008F3FF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B44C8">
            <w:rPr>
              <w:rStyle w:val="PageNumber"/>
              <w:caps w:val="0"/>
              <w:noProof/>
            </w:rPr>
            <w:t>1</w:t>
          </w:r>
          <w:r w:rsidRPr="00A24443">
            <w:rPr>
              <w:rStyle w:val="PageNumber"/>
              <w:caps w:val="0"/>
            </w:rPr>
            <w:fldChar w:fldCharType="end"/>
          </w:r>
        </w:p>
      </w:tc>
    </w:tr>
  </w:tbl>
  <w:p w14:paraId="05772B37" w14:textId="77777777" w:rsidR="008F3FF3" w:rsidRDefault="008F3FF3">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025AC" w14:textId="77777777" w:rsidR="005B44C8" w:rsidRDefault="005B4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DCC87" w14:textId="77777777" w:rsidR="00AE79A4" w:rsidRDefault="00AE79A4">
      <w:r>
        <w:separator/>
      </w:r>
    </w:p>
  </w:footnote>
  <w:footnote w:type="continuationSeparator" w:id="0">
    <w:p w14:paraId="37B98038" w14:textId="77777777" w:rsidR="00AE79A4" w:rsidRDefault="00AE79A4">
      <w:r>
        <w:continuationSeparator/>
      </w:r>
    </w:p>
  </w:footnote>
  <w:footnote w:type="continuationNotice" w:id="1">
    <w:p w14:paraId="4BE2F13B" w14:textId="77777777" w:rsidR="00AE79A4" w:rsidRDefault="00AE79A4"/>
  </w:footnote>
  <w:footnote w:id="2">
    <w:p w14:paraId="039437FC" w14:textId="7F0BD1FE" w:rsidR="008F3FF3" w:rsidRDefault="008F3FF3" w:rsidP="00210572">
      <w:pPr>
        <w:pStyle w:val="FootnoteText"/>
      </w:pPr>
      <w:r>
        <w:rPr>
          <w:rStyle w:val="FootnoteReference"/>
        </w:rPr>
        <w:footnoteRef/>
      </w:r>
      <w:r>
        <w:t xml:space="preserve"> Table 1 in the annex lists the documents that describe the framework and implementation.</w:t>
      </w:r>
    </w:p>
  </w:footnote>
  <w:footnote w:id="3">
    <w:p w14:paraId="0D94B9AA" w14:textId="1630A016" w:rsidR="008F3FF3" w:rsidRDefault="008F3FF3" w:rsidP="002E5325">
      <w:pPr>
        <w:pStyle w:val="FootnoteText"/>
      </w:pPr>
      <w:r>
        <w:rPr>
          <w:rStyle w:val="FootnoteReference"/>
        </w:rPr>
        <w:footnoteRef/>
      </w:r>
      <w:r>
        <w:tab/>
        <w:t>Upon entry, import items are recorded according to the six–digit international HS classification, after which Australian Customs adds an extra 2</w:t>
      </w:r>
      <w:r>
        <w:noBreakHyphen/>
        <w:t>digit code to them. Each import item is then allocated a tariff item classification code which determines the import duty levied on it. The ABS adds a ninth and tenth digit for statistical purposes, to provide a finer level of detail (ABS</w:t>
      </w:r>
      <w:r w:rsidR="00654FCC">
        <w:t> 2011).</w:t>
      </w:r>
      <w:r>
        <w:t xml:space="preserve"> In this document the expressions ‘import item’ and ‘tariff item’ are used interchangeably, independently of classification levels.</w:t>
      </w:r>
    </w:p>
  </w:footnote>
  <w:footnote w:id="4">
    <w:p w14:paraId="365C82A6" w14:textId="77777777" w:rsidR="008F3FF3" w:rsidRDefault="008F3FF3" w:rsidP="000F22D6">
      <w:pPr>
        <w:pStyle w:val="FootnoteText"/>
      </w:pPr>
      <w:r>
        <w:rPr>
          <w:rStyle w:val="FootnoteReference"/>
        </w:rPr>
        <w:footnoteRef/>
      </w:r>
      <w:r>
        <w:tab/>
      </w:r>
      <w:r w:rsidRPr="00426B60">
        <w:t xml:space="preserve">The Australian Customs </w:t>
      </w:r>
      <w:r>
        <w:t>V</w:t>
      </w:r>
      <w:r w:rsidRPr="00426B60">
        <w:t>alue includes inland freight, insurance and other distributive services in the exporting country, up to the place of export and is usually the same as, or very close to, the f.o.b. value. In relation to Australia's import and import clearance statistics it is commonly referred to as Customs value</w:t>
      </w:r>
      <w:r>
        <w:t xml:space="preserve"> (ABS 2001)</w:t>
      </w:r>
    </w:p>
  </w:footnote>
  <w:footnote w:id="5">
    <w:p w14:paraId="160CF785" w14:textId="77777777" w:rsidR="008F3FF3" w:rsidRDefault="008F3FF3" w:rsidP="000F22D6">
      <w:pPr>
        <w:pStyle w:val="FootnoteText"/>
      </w:pPr>
      <w:r>
        <w:rPr>
          <w:rStyle w:val="FootnoteReference"/>
        </w:rPr>
        <w:footnoteRef/>
      </w:r>
      <w:r>
        <w:tab/>
        <w:t xml:space="preserve">The APEC tariff database is no longer available. </w:t>
      </w:r>
    </w:p>
  </w:footnote>
  <w:footnote w:id="6">
    <w:p w14:paraId="78AE4879" w14:textId="2DD1D0FA" w:rsidR="008F3FF3" w:rsidRDefault="008F3FF3" w:rsidP="007D4B81">
      <w:pPr>
        <w:pStyle w:val="FootnoteText"/>
      </w:pPr>
      <w:r>
        <w:rPr>
          <w:rStyle w:val="FootnoteReference"/>
        </w:rPr>
        <w:footnoteRef/>
      </w:r>
      <w:r>
        <w:tab/>
        <w:t>Where a tariff rate changes during the year, a simple average of the old and the new rate is derived for that year. For example, when passengers motor vehicle (PMV) tariff rates declined from 10 per cent to 5 per cent on 1 January 2010, an average tariff rate of 7.5 per cent was used to represent PMV tariffs during the 2009</w:t>
      </w:r>
      <w:r>
        <w:noBreakHyphen/>
        <w:t xml:space="preserve">10 financial year. </w:t>
      </w:r>
    </w:p>
  </w:footnote>
  <w:footnote w:id="7">
    <w:p w14:paraId="069DDC91" w14:textId="735AF247" w:rsidR="00470E70" w:rsidRDefault="00470E70">
      <w:pPr>
        <w:pStyle w:val="FootnoteText"/>
      </w:pPr>
      <w:r>
        <w:rPr>
          <w:rStyle w:val="FootnoteReference"/>
        </w:rPr>
        <w:footnoteRef/>
      </w:r>
      <w:r>
        <w:tab/>
        <w:t xml:space="preserve">The parts of the process that have been implemented in </w:t>
      </w:r>
      <w:proofErr w:type="spellStart"/>
      <w:r>
        <w:t>R are</w:t>
      </w:r>
      <w:proofErr w:type="spellEnd"/>
      <w:r>
        <w:t xml:space="preserve"> listed in the table in the annex. The entire system could be implemented, should it prove necessary. The advantages of R programming over Excel and Access include increased speed of execution, and increased transparency, which facilitates the ability to audit the process and to transmit the system to other staff with R programming skills. As mentioned, the R programming approach does not suffer from the size limitations that make Excel less efficient as a means of processing some of the relatively large files involved in the process. </w:t>
      </w:r>
    </w:p>
  </w:footnote>
  <w:footnote w:id="8">
    <w:p w14:paraId="05772B3C" w14:textId="77777777" w:rsidR="008F3FF3" w:rsidRDefault="008F3FF3" w:rsidP="00603604">
      <w:pPr>
        <w:pStyle w:val="FootnoteText"/>
      </w:pPr>
      <w:r>
        <w:rPr>
          <w:rStyle w:val="FootnoteReference"/>
        </w:rPr>
        <w:footnoteRef/>
      </w:r>
      <w:r>
        <w:tab/>
        <w:t xml:space="preserve">The Commission’s combined assistance estimates are derived for 50 ANZSIC-based ‘industry groupings’ including four ‘unallocated’ groupings. For presentation in the </w:t>
      </w:r>
      <w:r w:rsidRPr="00EB3168">
        <w:rPr>
          <w:i/>
        </w:rPr>
        <w:t>Trade &amp; Assistance Review</w:t>
      </w:r>
      <w:r>
        <w:t xml:space="preserve"> these groupings are aggregated to the 38 industry groupings level.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F3FF3" w14:paraId="05772B28" w14:textId="77777777">
      <w:tc>
        <w:tcPr>
          <w:tcW w:w="2155" w:type="dxa"/>
          <w:tcBorders>
            <w:top w:val="single" w:sz="24" w:space="0" w:color="auto"/>
          </w:tcBorders>
        </w:tcPr>
        <w:p w14:paraId="05772B26" w14:textId="77777777" w:rsidR="008F3FF3" w:rsidRDefault="008F3FF3" w:rsidP="0019293B">
          <w:pPr>
            <w:pStyle w:val="HeaderEven"/>
          </w:pPr>
        </w:p>
      </w:tc>
      <w:tc>
        <w:tcPr>
          <w:tcW w:w="6634" w:type="dxa"/>
          <w:tcBorders>
            <w:top w:val="single" w:sz="6" w:space="0" w:color="auto"/>
          </w:tcBorders>
        </w:tcPr>
        <w:p w14:paraId="05772B27" w14:textId="77777777" w:rsidR="008F3FF3" w:rsidRDefault="008F3FF3" w:rsidP="0019293B">
          <w:pPr>
            <w:pStyle w:val="HeaderEven"/>
          </w:pPr>
        </w:p>
      </w:tc>
    </w:tr>
  </w:tbl>
  <w:p w14:paraId="05772B29" w14:textId="77777777" w:rsidR="008F3FF3" w:rsidRDefault="008F3FF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F3FF3" w14:paraId="05772B2C" w14:textId="77777777">
      <w:tc>
        <w:tcPr>
          <w:tcW w:w="6634" w:type="dxa"/>
          <w:tcBorders>
            <w:top w:val="single" w:sz="6" w:space="0" w:color="auto"/>
          </w:tcBorders>
        </w:tcPr>
        <w:p w14:paraId="05772B2A" w14:textId="77777777" w:rsidR="008F3FF3" w:rsidRDefault="008F3FF3" w:rsidP="00E669E2">
          <w:pPr>
            <w:pStyle w:val="HeaderOdd"/>
          </w:pPr>
        </w:p>
      </w:tc>
      <w:tc>
        <w:tcPr>
          <w:tcW w:w="2155" w:type="dxa"/>
          <w:tcBorders>
            <w:top w:val="single" w:sz="24" w:space="0" w:color="auto"/>
          </w:tcBorders>
        </w:tcPr>
        <w:p w14:paraId="05772B2B" w14:textId="77777777" w:rsidR="008F3FF3" w:rsidRDefault="008F3FF3" w:rsidP="00E669E2">
          <w:pPr>
            <w:pStyle w:val="HeaderOdd"/>
          </w:pPr>
        </w:p>
      </w:tc>
    </w:tr>
  </w:tbl>
  <w:p w14:paraId="05772B2D" w14:textId="77777777" w:rsidR="008F3FF3" w:rsidRDefault="008F3FF3"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40AF" w14:textId="77777777" w:rsidR="005B44C8" w:rsidRDefault="005B4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D146298"/>
    <w:multiLevelType w:val="hybridMultilevel"/>
    <w:tmpl w:val="594E5DBC"/>
    <w:lvl w:ilvl="0" w:tplc="C096C2B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3612BA"/>
    <w:multiLevelType w:val="hybridMultilevel"/>
    <w:tmpl w:val="A8E61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7632FA7"/>
    <w:multiLevelType w:val="hybridMultilevel"/>
    <w:tmpl w:val="657CDB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F737ABF"/>
    <w:multiLevelType w:val="hybridMultilevel"/>
    <w:tmpl w:val="E062C312"/>
    <w:lvl w:ilvl="0" w:tplc="6A92F11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48E366AA"/>
    <w:multiLevelType w:val="hybridMultilevel"/>
    <w:tmpl w:val="44944E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BE0E82"/>
    <w:multiLevelType w:val="hybridMultilevel"/>
    <w:tmpl w:val="69823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67E215B5"/>
    <w:multiLevelType w:val="hybridMultilevel"/>
    <w:tmpl w:val="E4260956"/>
    <w:lvl w:ilvl="0" w:tplc="0D3874F8">
      <w:start w:val="1"/>
      <w:numFmt w:val="decimal"/>
      <w:pStyle w:val="TableNumber"/>
      <w:lvlText w:val="%1."/>
      <w:lvlJc w:val="left"/>
      <w:pPr>
        <w:ind w:left="360"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3"/>
  </w:num>
  <w:num w:numId="3">
    <w:abstractNumId w:val="20"/>
  </w:num>
  <w:num w:numId="4">
    <w:abstractNumId w:val="4"/>
  </w:num>
  <w:num w:numId="5">
    <w:abstractNumId w:val="25"/>
  </w:num>
  <w:num w:numId="6">
    <w:abstractNumId w:val="22"/>
  </w:num>
  <w:num w:numId="7">
    <w:abstractNumId w:val="9"/>
  </w:num>
  <w:num w:numId="8">
    <w:abstractNumId w:val="21"/>
  </w:num>
  <w:num w:numId="9">
    <w:abstractNumId w:val="8"/>
  </w:num>
  <w:num w:numId="10">
    <w:abstractNumId w:val="7"/>
  </w:num>
  <w:num w:numId="11">
    <w:abstractNumId w:val="12"/>
  </w:num>
  <w:num w:numId="12">
    <w:abstractNumId w:val="14"/>
  </w:num>
  <w:num w:numId="13">
    <w:abstractNumId w:val="5"/>
  </w:num>
  <w:num w:numId="14">
    <w:abstractNumId w:val="23"/>
  </w:num>
  <w:num w:numId="15">
    <w:abstractNumId w:val="27"/>
  </w:num>
  <w:num w:numId="16">
    <w:abstractNumId w:val="19"/>
  </w:num>
  <w:num w:numId="17">
    <w:abstractNumId w:val="28"/>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4"/>
  </w:num>
  <w:num w:numId="21">
    <w:abstractNumId w:val="10"/>
  </w:num>
  <w:num w:numId="22">
    <w:abstractNumId w:val="13"/>
  </w:num>
  <w:num w:numId="23">
    <w:abstractNumId w:val="26"/>
  </w:num>
  <w:num w:numId="24">
    <w:abstractNumId w:val="26"/>
    <w:lvlOverride w:ilvl="0">
      <w:startOverride w:val="1"/>
    </w:lvlOverride>
  </w:num>
  <w:num w:numId="25">
    <w:abstractNumId w:val="1"/>
  </w:num>
  <w:num w:numId="26">
    <w:abstractNumId w:val="17"/>
  </w:num>
  <w:num w:numId="27">
    <w:abstractNumId w:val="11"/>
  </w:num>
  <w:num w:numId="28">
    <w:abstractNumId w:val="15"/>
  </w:num>
  <w:num w:numId="29">
    <w:abstractNumId w:val="6"/>
  </w:num>
  <w:num w:numId="30">
    <w:abstractNumId w:val="20"/>
  </w:num>
  <w:num w:numId="3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TAR Process documentation"/>
    <w:docVar w:name="ShortReportTitle" w:val="Report "/>
  </w:docVars>
  <w:rsids>
    <w:rsidRoot w:val="00B03505"/>
    <w:rsid w:val="000015F3"/>
    <w:rsid w:val="0000176F"/>
    <w:rsid w:val="00002A69"/>
    <w:rsid w:val="00007B8F"/>
    <w:rsid w:val="0001333A"/>
    <w:rsid w:val="00013F61"/>
    <w:rsid w:val="00020B80"/>
    <w:rsid w:val="000227D5"/>
    <w:rsid w:val="00022CD8"/>
    <w:rsid w:val="000231BF"/>
    <w:rsid w:val="000245AA"/>
    <w:rsid w:val="0002579E"/>
    <w:rsid w:val="000336EA"/>
    <w:rsid w:val="00033EBD"/>
    <w:rsid w:val="00036193"/>
    <w:rsid w:val="0003664B"/>
    <w:rsid w:val="000402EF"/>
    <w:rsid w:val="0004111F"/>
    <w:rsid w:val="00051920"/>
    <w:rsid w:val="00055077"/>
    <w:rsid w:val="000565B3"/>
    <w:rsid w:val="00063329"/>
    <w:rsid w:val="00063679"/>
    <w:rsid w:val="00064395"/>
    <w:rsid w:val="000655AD"/>
    <w:rsid w:val="0007033B"/>
    <w:rsid w:val="0007150B"/>
    <w:rsid w:val="00072FEE"/>
    <w:rsid w:val="00075BE1"/>
    <w:rsid w:val="000771C8"/>
    <w:rsid w:val="000836AD"/>
    <w:rsid w:val="0008707D"/>
    <w:rsid w:val="00090C29"/>
    <w:rsid w:val="00090C3D"/>
    <w:rsid w:val="0009197A"/>
    <w:rsid w:val="00091CC2"/>
    <w:rsid w:val="000938F5"/>
    <w:rsid w:val="0009482C"/>
    <w:rsid w:val="00094B40"/>
    <w:rsid w:val="00095663"/>
    <w:rsid w:val="00096024"/>
    <w:rsid w:val="00096E55"/>
    <w:rsid w:val="0009783E"/>
    <w:rsid w:val="000A6361"/>
    <w:rsid w:val="000A7D95"/>
    <w:rsid w:val="000B1022"/>
    <w:rsid w:val="000B3050"/>
    <w:rsid w:val="000B4AFC"/>
    <w:rsid w:val="000B601B"/>
    <w:rsid w:val="000B778B"/>
    <w:rsid w:val="000B7FAF"/>
    <w:rsid w:val="000C207E"/>
    <w:rsid w:val="000C550B"/>
    <w:rsid w:val="000C559B"/>
    <w:rsid w:val="000C5F8A"/>
    <w:rsid w:val="000D1802"/>
    <w:rsid w:val="000D41E9"/>
    <w:rsid w:val="000D466A"/>
    <w:rsid w:val="000D6A9C"/>
    <w:rsid w:val="000D6C3B"/>
    <w:rsid w:val="000E049D"/>
    <w:rsid w:val="000F0035"/>
    <w:rsid w:val="000F04E7"/>
    <w:rsid w:val="000F060A"/>
    <w:rsid w:val="000F22D6"/>
    <w:rsid w:val="000F2C16"/>
    <w:rsid w:val="000F420B"/>
    <w:rsid w:val="000F539C"/>
    <w:rsid w:val="000F540F"/>
    <w:rsid w:val="00100D2E"/>
    <w:rsid w:val="0010367F"/>
    <w:rsid w:val="00105ACF"/>
    <w:rsid w:val="001075C8"/>
    <w:rsid w:val="00110116"/>
    <w:rsid w:val="00113ED3"/>
    <w:rsid w:val="00116A76"/>
    <w:rsid w:val="00120072"/>
    <w:rsid w:val="00121DC7"/>
    <w:rsid w:val="00126EB8"/>
    <w:rsid w:val="001271A6"/>
    <w:rsid w:val="001274D4"/>
    <w:rsid w:val="00127559"/>
    <w:rsid w:val="00133A74"/>
    <w:rsid w:val="00135EA1"/>
    <w:rsid w:val="001363AA"/>
    <w:rsid w:val="0013739A"/>
    <w:rsid w:val="00141F70"/>
    <w:rsid w:val="00142165"/>
    <w:rsid w:val="00147EEE"/>
    <w:rsid w:val="00151723"/>
    <w:rsid w:val="00160B73"/>
    <w:rsid w:val="0016202E"/>
    <w:rsid w:val="00162434"/>
    <w:rsid w:val="00162EB6"/>
    <w:rsid w:val="00167C0C"/>
    <w:rsid w:val="001717C3"/>
    <w:rsid w:val="00181554"/>
    <w:rsid w:val="001821E1"/>
    <w:rsid w:val="00182FB9"/>
    <w:rsid w:val="00183E82"/>
    <w:rsid w:val="0018533D"/>
    <w:rsid w:val="001878BB"/>
    <w:rsid w:val="00190D1A"/>
    <w:rsid w:val="00191AE0"/>
    <w:rsid w:val="0019293B"/>
    <w:rsid w:val="00192FF8"/>
    <w:rsid w:val="00193A3F"/>
    <w:rsid w:val="0019426B"/>
    <w:rsid w:val="001A6A4B"/>
    <w:rsid w:val="001A6EEB"/>
    <w:rsid w:val="001B0A41"/>
    <w:rsid w:val="001B3D08"/>
    <w:rsid w:val="001B48F1"/>
    <w:rsid w:val="001B76EC"/>
    <w:rsid w:val="001C0865"/>
    <w:rsid w:val="001C0AED"/>
    <w:rsid w:val="001C1072"/>
    <w:rsid w:val="001C1825"/>
    <w:rsid w:val="001C2672"/>
    <w:rsid w:val="001C3ABA"/>
    <w:rsid w:val="001C5111"/>
    <w:rsid w:val="001C552E"/>
    <w:rsid w:val="001D18A1"/>
    <w:rsid w:val="001D1F9F"/>
    <w:rsid w:val="001D3F7D"/>
    <w:rsid w:val="001E29F8"/>
    <w:rsid w:val="001E2B6F"/>
    <w:rsid w:val="001E2E15"/>
    <w:rsid w:val="001E7BE8"/>
    <w:rsid w:val="001F0248"/>
    <w:rsid w:val="001F3EB3"/>
    <w:rsid w:val="001F4F86"/>
    <w:rsid w:val="00201AC2"/>
    <w:rsid w:val="00202C2C"/>
    <w:rsid w:val="00202DDF"/>
    <w:rsid w:val="00203050"/>
    <w:rsid w:val="00204285"/>
    <w:rsid w:val="00210572"/>
    <w:rsid w:val="00210A52"/>
    <w:rsid w:val="002135AB"/>
    <w:rsid w:val="002144BE"/>
    <w:rsid w:val="002240D4"/>
    <w:rsid w:val="002357FE"/>
    <w:rsid w:val="002409D7"/>
    <w:rsid w:val="00242279"/>
    <w:rsid w:val="00243997"/>
    <w:rsid w:val="00243EF0"/>
    <w:rsid w:val="0024516C"/>
    <w:rsid w:val="00245C82"/>
    <w:rsid w:val="0025145C"/>
    <w:rsid w:val="00251886"/>
    <w:rsid w:val="00253DCB"/>
    <w:rsid w:val="00253F65"/>
    <w:rsid w:val="00255DA4"/>
    <w:rsid w:val="00257335"/>
    <w:rsid w:val="002679F6"/>
    <w:rsid w:val="002701AE"/>
    <w:rsid w:val="002724BA"/>
    <w:rsid w:val="00273232"/>
    <w:rsid w:val="00274451"/>
    <w:rsid w:val="00274EF2"/>
    <w:rsid w:val="002766AB"/>
    <w:rsid w:val="002831F7"/>
    <w:rsid w:val="0028598C"/>
    <w:rsid w:val="00285D16"/>
    <w:rsid w:val="00285E2E"/>
    <w:rsid w:val="002914EF"/>
    <w:rsid w:val="00291B40"/>
    <w:rsid w:val="00292341"/>
    <w:rsid w:val="00292545"/>
    <w:rsid w:val="002A6875"/>
    <w:rsid w:val="002B4008"/>
    <w:rsid w:val="002B4030"/>
    <w:rsid w:val="002B77A8"/>
    <w:rsid w:val="002C0F6D"/>
    <w:rsid w:val="002C439F"/>
    <w:rsid w:val="002C75D3"/>
    <w:rsid w:val="002D0C42"/>
    <w:rsid w:val="002D0E8E"/>
    <w:rsid w:val="002D2973"/>
    <w:rsid w:val="002D5E92"/>
    <w:rsid w:val="002D69B4"/>
    <w:rsid w:val="002E0CD5"/>
    <w:rsid w:val="002E20B3"/>
    <w:rsid w:val="002E3FD7"/>
    <w:rsid w:val="002E5325"/>
    <w:rsid w:val="002F5F4D"/>
    <w:rsid w:val="002F70F6"/>
    <w:rsid w:val="002F77A4"/>
    <w:rsid w:val="00301189"/>
    <w:rsid w:val="0030124B"/>
    <w:rsid w:val="00301E4A"/>
    <w:rsid w:val="00306998"/>
    <w:rsid w:val="0031003A"/>
    <w:rsid w:val="0031016C"/>
    <w:rsid w:val="003108DF"/>
    <w:rsid w:val="0031386F"/>
    <w:rsid w:val="00313A0D"/>
    <w:rsid w:val="003168B8"/>
    <w:rsid w:val="00322D64"/>
    <w:rsid w:val="00323E09"/>
    <w:rsid w:val="00330711"/>
    <w:rsid w:val="00331E93"/>
    <w:rsid w:val="00332874"/>
    <w:rsid w:val="0033306F"/>
    <w:rsid w:val="00333932"/>
    <w:rsid w:val="0033400B"/>
    <w:rsid w:val="0033667E"/>
    <w:rsid w:val="003422C9"/>
    <w:rsid w:val="00344AEF"/>
    <w:rsid w:val="003518AA"/>
    <w:rsid w:val="00352165"/>
    <w:rsid w:val="00352984"/>
    <w:rsid w:val="00353182"/>
    <w:rsid w:val="00353EB7"/>
    <w:rsid w:val="00353FE3"/>
    <w:rsid w:val="003565D9"/>
    <w:rsid w:val="00357ECE"/>
    <w:rsid w:val="003602E1"/>
    <w:rsid w:val="00364DFB"/>
    <w:rsid w:val="003666F0"/>
    <w:rsid w:val="00366E4F"/>
    <w:rsid w:val="00367A71"/>
    <w:rsid w:val="0037026F"/>
    <w:rsid w:val="00371240"/>
    <w:rsid w:val="00371D26"/>
    <w:rsid w:val="00374731"/>
    <w:rsid w:val="00376E59"/>
    <w:rsid w:val="00377EC1"/>
    <w:rsid w:val="00380340"/>
    <w:rsid w:val="00387A68"/>
    <w:rsid w:val="00387B5E"/>
    <w:rsid w:val="003915B6"/>
    <w:rsid w:val="003919F9"/>
    <w:rsid w:val="003920CF"/>
    <w:rsid w:val="00396337"/>
    <w:rsid w:val="003A7AE3"/>
    <w:rsid w:val="003B0ADF"/>
    <w:rsid w:val="003B1F79"/>
    <w:rsid w:val="003B23C2"/>
    <w:rsid w:val="003B27C7"/>
    <w:rsid w:val="003B30FC"/>
    <w:rsid w:val="003B32BF"/>
    <w:rsid w:val="003B78D3"/>
    <w:rsid w:val="003C38B5"/>
    <w:rsid w:val="003C5D99"/>
    <w:rsid w:val="003C74BE"/>
    <w:rsid w:val="003D1087"/>
    <w:rsid w:val="003D1E0C"/>
    <w:rsid w:val="003D27BF"/>
    <w:rsid w:val="003D2AE0"/>
    <w:rsid w:val="003E20E4"/>
    <w:rsid w:val="003E2F59"/>
    <w:rsid w:val="003E47E2"/>
    <w:rsid w:val="003E67CB"/>
    <w:rsid w:val="003E746B"/>
    <w:rsid w:val="003F0789"/>
    <w:rsid w:val="003F3C61"/>
    <w:rsid w:val="003F6413"/>
    <w:rsid w:val="00401882"/>
    <w:rsid w:val="00404AD2"/>
    <w:rsid w:val="004100C8"/>
    <w:rsid w:val="00411DBD"/>
    <w:rsid w:val="004128A0"/>
    <w:rsid w:val="00412ACE"/>
    <w:rsid w:val="004145D2"/>
    <w:rsid w:val="0042041C"/>
    <w:rsid w:val="00426CB4"/>
    <w:rsid w:val="00431249"/>
    <w:rsid w:val="00434BD9"/>
    <w:rsid w:val="00434C19"/>
    <w:rsid w:val="00435788"/>
    <w:rsid w:val="00435B3E"/>
    <w:rsid w:val="00437799"/>
    <w:rsid w:val="00437DEF"/>
    <w:rsid w:val="00444512"/>
    <w:rsid w:val="00445C9A"/>
    <w:rsid w:val="00447334"/>
    <w:rsid w:val="004500AE"/>
    <w:rsid w:val="00450810"/>
    <w:rsid w:val="00460F20"/>
    <w:rsid w:val="00461707"/>
    <w:rsid w:val="00462C59"/>
    <w:rsid w:val="00470737"/>
    <w:rsid w:val="00470AC4"/>
    <w:rsid w:val="00470E70"/>
    <w:rsid w:val="00474CE2"/>
    <w:rsid w:val="00477141"/>
    <w:rsid w:val="00477144"/>
    <w:rsid w:val="00485B68"/>
    <w:rsid w:val="00486BB3"/>
    <w:rsid w:val="00491380"/>
    <w:rsid w:val="004935E4"/>
    <w:rsid w:val="0049459F"/>
    <w:rsid w:val="00494FC5"/>
    <w:rsid w:val="00496DB6"/>
    <w:rsid w:val="004A1CA0"/>
    <w:rsid w:val="004A38DD"/>
    <w:rsid w:val="004A633F"/>
    <w:rsid w:val="004A6F31"/>
    <w:rsid w:val="004B43AE"/>
    <w:rsid w:val="004B772E"/>
    <w:rsid w:val="004C16DE"/>
    <w:rsid w:val="004C251C"/>
    <w:rsid w:val="004C30ED"/>
    <w:rsid w:val="004C5477"/>
    <w:rsid w:val="004C5B04"/>
    <w:rsid w:val="004C5C1C"/>
    <w:rsid w:val="004C631C"/>
    <w:rsid w:val="004C69D7"/>
    <w:rsid w:val="004C6AE5"/>
    <w:rsid w:val="004D5675"/>
    <w:rsid w:val="004D7379"/>
    <w:rsid w:val="004E534E"/>
    <w:rsid w:val="004E5D4F"/>
    <w:rsid w:val="004F178D"/>
    <w:rsid w:val="004F2846"/>
    <w:rsid w:val="004F387D"/>
    <w:rsid w:val="004F6CD8"/>
    <w:rsid w:val="004F75C8"/>
    <w:rsid w:val="0050390B"/>
    <w:rsid w:val="00503959"/>
    <w:rsid w:val="00512923"/>
    <w:rsid w:val="00517795"/>
    <w:rsid w:val="00523639"/>
    <w:rsid w:val="0052475C"/>
    <w:rsid w:val="00525D8D"/>
    <w:rsid w:val="00531FE5"/>
    <w:rsid w:val="0053515F"/>
    <w:rsid w:val="0053684D"/>
    <w:rsid w:val="005402FA"/>
    <w:rsid w:val="00555028"/>
    <w:rsid w:val="005557A9"/>
    <w:rsid w:val="00555C76"/>
    <w:rsid w:val="005569DA"/>
    <w:rsid w:val="00562128"/>
    <w:rsid w:val="005729BD"/>
    <w:rsid w:val="00573437"/>
    <w:rsid w:val="00573BE3"/>
    <w:rsid w:val="005769D2"/>
    <w:rsid w:val="00580154"/>
    <w:rsid w:val="0058345F"/>
    <w:rsid w:val="00583C39"/>
    <w:rsid w:val="00585D6D"/>
    <w:rsid w:val="00586A90"/>
    <w:rsid w:val="00587F28"/>
    <w:rsid w:val="005909CF"/>
    <w:rsid w:val="00591C69"/>
    <w:rsid w:val="00591E71"/>
    <w:rsid w:val="00592513"/>
    <w:rsid w:val="00593DCE"/>
    <w:rsid w:val="005A0BD3"/>
    <w:rsid w:val="005A0D41"/>
    <w:rsid w:val="005A5E98"/>
    <w:rsid w:val="005B2956"/>
    <w:rsid w:val="005B43B8"/>
    <w:rsid w:val="005B44C8"/>
    <w:rsid w:val="005B4CC9"/>
    <w:rsid w:val="005B6BD5"/>
    <w:rsid w:val="005C064D"/>
    <w:rsid w:val="005C1E07"/>
    <w:rsid w:val="005C3382"/>
    <w:rsid w:val="005C77C9"/>
    <w:rsid w:val="005D274A"/>
    <w:rsid w:val="005D329F"/>
    <w:rsid w:val="005D36A9"/>
    <w:rsid w:val="005D504F"/>
    <w:rsid w:val="005E1DBE"/>
    <w:rsid w:val="005E1EAC"/>
    <w:rsid w:val="005F48ED"/>
    <w:rsid w:val="005F6D5E"/>
    <w:rsid w:val="00600208"/>
    <w:rsid w:val="00603604"/>
    <w:rsid w:val="00604D68"/>
    <w:rsid w:val="00606E78"/>
    <w:rsid w:val="00607BF1"/>
    <w:rsid w:val="00614AF8"/>
    <w:rsid w:val="00614F72"/>
    <w:rsid w:val="006154D9"/>
    <w:rsid w:val="006172B7"/>
    <w:rsid w:val="00624287"/>
    <w:rsid w:val="00626461"/>
    <w:rsid w:val="00627FA4"/>
    <w:rsid w:val="00630D4D"/>
    <w:rsid w:val="00632A74"/>
    <w:rsid w:val="006426D6"/>
    <w:rsid w:val="006428FC"/>
    <w:rsid w:val="00644718"/>
    <w:rsid w:val="00646CD8"/>
    <w:rsid w:val="0065132D"/>
    <w:rsid w:val="006540F1"/>
    <w:rsid w:val="00654D42"/>
    <w:rsid w:val="00654FCC"/>
    <w:rsid w:val="00666E02"/>
    <w:rsid w:val="0066703B"/>
    <w:rsid w:val="00670967"/>
    <w:rsid w:val="00685FD6"/>
    <w:rsid w:val="006905F0"/>
    <w:rsid w:val="00690D5D"/>
    <w:rsid w:val="006A2BCC"/>
    <w:rsid w:val="006A4655"/>
    <w:rsid w:val="006A657C"/>
    <w:rsid w:val="006B2B3C"/>
    <w:rsid w:val="006C0796"/>
    <w:rsid w:val="006C1C71"/>
    <w:rsid w:val="006C1D81"/>
    <w:rsid w:val="006C59A1"/>
    <w:rsid w:val="006C7038"/>
    <w:rsid w:val="006D20ED"/>
    <w:rsid w:val="006D2A56"/>
    <w:rsid w:val="006D7F1C"/>
    <w:rsid w:val="006E3205"/>
    <w:rsid w:val="006E4FA7"/>
    <w:rsid w:val="006E5949"/>
    <w:rsid w:val="006E5DE0"/>
    <w:rsid w:val="006E73EF"/>
    <w:rsid w:val="006F579E"/>
    <w:rsid w:val="007079C9"/>
    <w:rsid w:val="00707F9D"/>
    <w:rsid w:val="00710F29"/>
    <w:rsid w:val="00712F9D"/>
    <w:rsid w:val="007134EB"/>
    <w:rsid w:val="00714D4D"/>
    <w:rsid w:val="007153EA"/>
    <w:rsid w:val="007159A7"/>
    <w:rsid w:val="007177EA"/>
    <w:rsid w:val="007203E0"/>
    <w:rsid w:val="007213B5"/>
    <w:rsid w:val="00722AEC"/>
    <w:rsid w:val="007233F1"/>
    <w:rsid w:val="0072365B"/>
    <w:rsid w:val="007266D3"/>
    <w:rsid w:val="00732029"/>
    <w:rsid w:val="00734196"/>
    <w:rsid w:val="00736A11"/>
    <w:rsid w:val="0074157C"/>
    <w:rsid w:val="007416ED"/>
    <w:rsid w:val="007456B9"/>
    <w:rsid w:val="00756CCB"/>
    <w:rsid w:val="007604BB"/>
    <w:rsid w:val="00763096"/>
    <w:rsid w:val="00772909"/>
    <w:rsid w:val="0078247D"/>
    <w:rsid w:val="00783A5E"/>
    <w:rsid w:val="00785232"/>
    <w:rsid w:val="0079611D"/>
    <w:rsid w:val="0079701E"/>
    <w:rsid w:val="007A21EB"/>
    <w:rsid w:val="007A2EF9"/>
    <w:rsid w:val="007A3E45"/>
    <w:rsid w:val="007A42FB"/>
    <w:rsid w:val="007B1A93"/>
    <w:rsid w:val="007B6B10"/>
    <w:rsid w:val="007B72E6"/>
    <w:rsid w:val="007B74A2"/>
    <w:rsid w:val="007C1DE6"/>
    <w:rsid w:val="007C36C9"/>
    <w:rsid w:val="007C4B93"/>
    <w:rsid w:val="007C5997"/>
    <w:rsid w:val="007C6F02"/>
    <w:rsid w:val="007C75B1"/>
    <w:rsid w:val="007C7C37"/>
    <w:rsid w:val="007D0B05"/>
    <w:rsid w:val="007D0FE3"/>
    <w:rsid w:val="007D1F53"/>
    <w:rsid w:val="007D1F8B"/>
    <w:rsid w:val="007D4B81"/>
    <w:rsid w:val="007D5F76"/>
    <w:rsid w:val="007D6401"/>
    <w:rsid w:val="007D6D69"/>
    <w:rsid w:val="007E01E4"/>
    <w:rsid w:val="007E67E5"/>
    <w:rsid w:val="007E748A"/>
    <w:rsid w:val="007E7A12"/>
    <w:rsid w:val="007F0AFD"/>
    <w:rsid w:val="007F7107"/>
    <w:rsid w:val="007F7C2F"/>
    <w:rsid w:val="0080069A"/>
    <w:rsid w:val="00800D4C"/>
    <w:rsid w:val="0081030F"/>
    <w:rsid w:val="00812F4A"/>
    <w:rsid w:val="0082087D"/>
    <w:rsid w:val="008262BF"/>
    <w:rsid w:val="00826F4A"/>
    <w:rsid w:val="00830C2F"/>
    <w:rsid w:val="008328C3"/>
    <w:rsid w:val="00835771"/>
    <w:rsid w:val="008424E3"/>
    <w:rsid w:val="00842933"/>
    <w:rsid w:val="008468DA"/>
    <w:rsid w:val="00851FAA"/>
    <w:rsid w:val="008525E4"/>
    <w:rsid w:val="00853730"/>
    <w:rsid w:val="00853EAD"/>
    <w:rsid w:val="00855131"/>
    <w:rsid w:val="00857DBD"/>
    <w:rsid w:val="0086082C"/>
    <w:rsid w:val="00864ADC"/>
    <w:rsid w:val="008654E3"/>
    <w:rsid w:val="008717D8"/>
    <w:rsid w:val="00880153"/>
    <w:rsid w:val="00880F97"/>
    <w:rsid w:val="0088133A"/>
    <w:rsid w:val="00884236"/>
    <w:rsid w:val="00891A88"/>
    <w:rsid w:val="00891AFD"/>
    <w:rsid w:val="0089285E"/>
    <w:rsid w:val="008936E2"/>
    <w:rsid w:val="0089436C"/>
    <w:rsid w:val="00894714"/>
    <w:rsid w:val="008A347F"/>
    <w:rsid w:val="008A35E1"/>
    <w:rsid w:val="008A67C6"/>
    <w:rsid w:val="008A71A0"/>
    <w:rsid w:val="008A7B7E"/>
    <w:rsid w:val="008B24E1"/>
    <w:rsid w:val="008B4488"/>
    <w:rsid w:val="008C264E"/>
    <w:rsid w:val="008D007F"/>
    <w:rsid w:val="008D365C"/>
    <w:rsid w:val="008D3AB0"/>
    <w:rsid w:val="008D7622"/>
    <w:rsid w:val="008E4822"/>
    <w:rsid w:val="008E6CAF"/>
    <w:rsid w:val="008E7673"/>
    <w:rsid w:val="008F24FE"/>
    <w:rsid w:val="008F2A07"/>
    <w:rsid w:val="008F3FF3"/>
    <w:rsid w:val="008F64F2"/>
    <w:rsid w:val="008F7BC0"/>
    <w:rsid w:val="009021A6"/>
    <w:rsid w:val="009030BF"/>
    <w:rsid w:val="00903B52"/>
    <w:rsid w:val="0091032F"/>
    <w:rsid w:val="009123B5"/>
    <w:rsid w:val="00914368"/>
    <w:rsid w:val="0092658B"/>
    <w:rsid w:val="0093102F"/>
    <w:rsid w:val="00931046"/>
    <w:rsid w:val="00931076"/>
    <w:rsid w:val="0093171E"/>
    <w:rsid w:val="00932659"/>
    <w:rsid w:val="00932C26"/>
    <w:rsid w:val="00933021"/>
    <w:rsid w:val="009345D9"/>
    <w:rsid w:val="00934B15"/>
    <w:rsid w:val="00940C87"/>
    <w:rsid w:val="00942B62"/>
    <w:rsid w:val="00944372"/>
    <w:rsid w:val="0095323B"/>
    <w:rsid w:val="009536ED"/>
    <w:rsid w:val="00956A0C"/>
    <w:rsid w:val="00956BD9"/>
    <w:rsid w:val="00962489"/>
    <w:rsid w:val="009675F1"/>
    <w:rsid w:val="00967CD3"/>
    <w:rsid w:val="00967E5A"/>
    <w:rsid w:val="00971B40"/>
    <w:rsid w:val="00981057"/>
    <w:rsid w:val="0098153F"/>
    <w:rsid w:val="00982646"/>
    <w:rsid w:val="00983119"/>
    <w:rsid w:val="0098667A"/>
    <w:rsid w:val="00990C2C"/>
    <w:rsid w:val="00990D5A"/>
    <w:rsid w:val="00990E02"/>
    <w:rsid w:val="009924D1"/>
    <w:rsid w:val="00992FF8"/>
    <w:rsid w:val="009A5171"/>
    <w:rsid w:val="009A6B6E"/>
    <w:rsid w:val="009A7FDF"/>
    <w:rsid w:val="009B4926"/>
    <w:rsid w:val="009B52E2"/>
    <w:rsid w:val="009C3E75"/>
    <w:rsid w:val="009C5010"/>
    <w:rsid w:val="009C5CF7"/>
    <w:rsid w:val="009D5D76"/>
    <w:rsid w:val="009E0AE7"/>
    <w:rsid w:val="009E1244"/>
    <w:rsid w:val="009E1844"/>
    <w:rsid w:val="009F0D1B"/>
    <w:rsid w:val="009F1D9E"/>
    <w:rsid w:val="009F234C"/>
    <w:rsid w:val="009F3B84"/>
    <w:rsid w:val="009F4244"/>
    <w:rsid w:val="009F5BBD"/>
    <w:rsid w:val="009F696D"/>
    <w:rsid w:val="009F6BC6"/>
    <w:rsid w:val="009F74EF"/>
    <w:rsid w:val="00A02826"/>
    <w:rsid w:val="00A0528C"/>
    <w:rsid w:val="00A0731B"/>
    <w:rsid w:val="00A07816"/>
    <w:rsid w:val="00A116E5"/>
    <w:rsid w:val="00A12FA5"/>
    <w:rsid w:val="00A15176"/>
    <w:rsid w:val="00A15D5A"/>
    <w:rsid w:val="00A17328"/>
    <w:rsid w:val="00A22DAB"/>
    <w:rsid w:val="00A22FD6"/>
    <w:rsid w:val="00A23A20"/>
    <w:rsid w:val="00A24443"/>
    <w:rsid w:val="00A268B9"/>
    <w:rsid w:val="00A2703A"/>
    <w:rsid w:val="00A31151"/>
    <w:rsid w:val="00A33DFF"/>
    <w:rsid w:val="00A35115"/>
    <w:rsid w:val="00A36D9A"/>
    <w:rsid w:val="00A377C5"/>
    <w:rsid w:val="00A432E0"/>
    <w:rsid w:val="00A43571"/>
    <w:rsid w:val="00A44B70"/>
    <w:rsid w:val="00A451DC"/>
    <w:rsid w:val="00A464D4"/>
    <w:rsid w:val="00A4785F"/>
    <w:rsid w:val="00A525EE"/>
    <w:rsid w:val="00A548BB"/>
    <w:rsid w:val="00A554AB"/>
    <w:rsid w:val="00A55C3A"/>
    <w:rsid w:val="00A57062"/>
    <w:rsid w:val="00A611A3"/>
    <w:rsid w:val="00A616ED"/>
    <w:rsid w:val="00A67781"/>
    <w:rsid w:val="00A71F1E"/>
    <w:rsid w:val="00A72C70"/>
    <w:rsid w:val="00A7393D"/>
    <w:rsid w:val="00A74406"/>
    <w:rsid w:val="00A761F9"/>
    <w:rsid w:val="00A858DD"/>
    <w:rsid w:val="00A923DD"/>
    <w:rsid w:val="00A92B53"/>
    <w:rsid w:val="00A92EB1"/>
    <w:rsid w:val="00A94FA6"/>
    <w:rsid w:val="00A95116"/>
    <w:rsid w:val="00A96DC1"/>
    <w:rsid w:val="00A97630"/>
    <w:rsid w:val="00AA38F5"/>
    <w:rsid w:val="00AA49A0"/>
    <w:rsid w:val="00AA6710"/>
    <w:rsid w:val="00AB0681"/>
    <w:rsid w:val="00AB1B2F"/>
    <w:rsid w:val="00AB2FF8"/>
    <w:rsid w:val="00AB6377"/>
    <w:rsid w:val="00AC3A15"/>
    <w:rsid w:val="00AD520B"/>
    <w:rsid w:val="00AD7000"/>
    <w:rsid w:val="00AD7BC7"/>
    <w:rsid w:val="00AE1A1C"/>
    <w:rsid w:val="00AE3BCC"/>
    <w:rsid w:val="00AE79A4"/>
    <w:rsid w:val="00AF4A6B"/>
    <w:rsid w:val="00AF61A2"/>
    <w:rsid w:val="00AF77E0"/>
    <w:rsid w:val="00B0158D"/>
    <w:rsid w:val="00B03505"/>
    <w:rsid w:val="00B0718B"/>
    <w:rsid w:val="00B1269F"/>
    <w:rsid w:val="00B128FC"/>
    <w:rsid w:val="00B131E8"/>
    <w:rsid w:val="00B20EB5"/>
    <w:rsid w:val="00B22ED4"/>
    <w:rsid w:val="00B278E6"/>
    <w:rsid w:val="00B27C07"/>
    <w:rsid w:val="00B3125C"/>
    <w:rsid w:val="00B35338"/>
    <w:rsid w:val="00B354D5"/>
    <w:rsid w:val="00B425C3"/>
    <w:rsid w:val="00B4373D"/>
    <w:rsid w:val="00B440AD"/>
    <w:rsid w:val="00B44695"/>
    <w:rsid w:val="00B479BB"/>
    <w:rsid w:val="00B53AEB"/>
    <w:rsid w:val="00B53E7E"/>
    <w:rsid w:val="00B54F88"/>
    <w:rsid w:val="00B555A9"/>
    <w:rsid w:val="00B55FF5"/>
    <w:rsid w:val="00B56B4A"/>
    <w:rsid w:val="00B6235A"/>
    <w:rsid w:val="00B62E18"/>
    <w:rsid w:val="00B6342E"/>
    <w:rsid w:val="00B64FCC"/>
    <w:rsid w:val="00B7113F"/>
    <w:rsid w:val="00B71678"/>
    <w:rsid w:val="00B80F7E"/>
    <w:rsid w:val="00B8567A"/>
    <w:rsid w:val="00B85E26"/>
    <w:rsid w:val="00B9600B"/>
    <w:rsid w:val="00BA2BCF"/>
    <w:rsid w:val="00BA4A9C"/>
    <w:rsid w:val="00BA5B14"/>
    <w:rsid w:val="00BA613C"/>
    <w:rsid w:val="00BA73B6"/>
    <w:rsid w:val="00BA7E27"/>
    <w:rsid w:val="00BB2603"/>
    <w:rsid w:val="00BB4FCD"/>
    <w:rsid w:val="00BC0013"/>
    <w:rsid w:val="00BC04E9"/>
    <w:rsid w:val="00BC1B49"/>
    <w:rsid w:val="00BC1BBA"/>
    <w:rsid w:val="00BC1BED"/>
    <w:rsid w:val="00BD13EA"/>
    <w:rsid w:val="00BE3808"/>
    <w:rsid w:val="00BE489E"/>
    <w:rsid w:val="00BE4CB5"/>
    <w:rsid w:val="00BE52FF"/>
    <w:rsid w:val="00BE7A83"/>
    <w:rsid w:val="00BF09DA"/>
    <w:rsid w:val="00BF20A1"/>
    <w:rsid w:val="00BF5DB7"/>
    <w:rsid w:val="00BF67AC"/>
    <w:rsid w:val="00C03B88"/>
    <w:rsid w:val="00C062E9"/>
    <w:rsid w:val="00C064F0"/>
    <w:rsid w:val="00C07B64"/>
    <w:rsid w:val="00C11F5F"/>
    <w:rsid w:val="00C13721"/>
    <w:rsid w:val="00C139BE"/>
    <w:rsid w:val="00C14FE4"/>
    <w:rsid w:val="00C17F41"/>
    <w:rsid w:val="00C25086"/>
    <w:rsid w:val="00C26D2A"/>
    <w:rsid w:val="00C3066D"/>
    <w:rsid w:val="00C30A5D"/>
    <w:rsid w:val="00C320C4"/>
    <w:rsid w:val="00C41BDE"/>
    <w:rsid w:val="00C42BD2"/>
    <w:rsid w:val="00C4597D"/>
    <w:rsid w:val="00C47C12"/>
    <w:rsid w:val="00C502C1"/>
    <w:rsid w:val="00C52416"/>
    <w:rsid w:val="00C524F7"/>
    <w:rsid w:val="00C543F4"/>
    <w:rsid w:val="00C6291C"/>
    <w:rsid w:val="00C633CB"/>
    <w:rsid w:val="00C649E0"/>
    <w:rsid w:val="00C664CD"/>
    <w:rsid w:val="00C704AC"/>
    <w:rsid w:val="00C70CE5"/>
    <w:rsid w:val="00C71B76"/>
    <w:rsid w:val="00C736B7"/>
    <w:rsid w:val="00C81D4A"/>
    <w:rsid w:val="00C86079"/>
    <w:rsid w:val="00C8762C"/>
    <w:rsid w:val="00C938BA"/>
    <w:rsid w:val="00C97326"/>
    <w:rsid w:val="00CA008D"/>
    <w:rsid w:val="00CA00F9"/>
    <w:rsid w:val="00CA1D1F"/>
    <w:rsid w:val="00CA2961"/>
    <w:rsid w:val="00CA3AEA"/>
    <w:rsid w:val="00CA40E4"/>
    <w:rsid w:val="00CA6708"/>
    <w:rsid w:val="00CB1BD2"/>
    <w:rsid w:val="00CB50D7"/>
    <w:rsid w:val="00CB7177"/>
    <w:rsid w:val="00CB7CED"/>
    <w:rsid w:val="00CC070F"/>
    <w:rsid w:val="00CC09DA"/>
    <w:rsid w:val="00CC1998"/>
    <w:rsid w:val="00CC1DFA"/>
    <w:rsid w:val="00CC4946"/>
    <w:rsid w:val="00CC64A1"/>
    <w:rsid w:val="00CD3080"/>
    <w:rsid w:val="00CD5C5B"/>
    <w:rsid w:val="00CD633B"/>
    <w:rsid w:val="00CE4B47"/>
    <w:rsid w:val="00CF0725"/>
    <w:rsid w:val="00CF3B11"/>
    <w:rsid w:val="00CF47F6"/>
    <w:rsid w:val="00D1600F"/>
    <w:rsid w:val="00D2155C"/>
    <w:rsid w:val="00D21878"/>
    <w:rsid w:val="00D227A0"/>
    <w:rsid w:val="00D270A4"/>
    <w:rsid w:val="00D277D2"/>
    <w:rsid w:val="00D31FE9"/>
    <w:rsid w:val="00D34E1B"/>
    <w:rsid w:val="00D376BA"/>
    <w:rsid w:val="00D434A0"/>
    <w:rsid w:val="00D443EB"/>
    <w:rsid w:val="00D45634"/>
    <w:rsid w:val="00D45F78"/>
    <w:rsid w:val="00D5539B"/>
    <w:rsid w:val="00D5568A"/>
    <w:rsid w:val="00D56000"/>
    <w:rsid w:val="00D57BAD"/>
    <w:rsid w:val="00D63D73"/>
    <w:rsid w:val="00D64029"/>
    <w:rsid w:val="00D64452"/>
    <w:rsid w:val="00D66B6D"/>
    <w:rsid w:val="00D66E1E"/>
    <w:rsid w:val="00D670DF"/>
    <w:rsid w:val="00D70696"/>
    <w:rsid w:val="00D73306"/>
    <w:rsid w:val="00D75722"/>
    <w:rsid w:val="00D80793"/>
    <w:rsid w:val="00D80CF5"/>
    <w:rsid w:val="00D84387"/>
    <w:rsid w:val="00D84F1F"/>
    <w:rsid w:val="00D954B8"/>
    <w:rsid w:val="00DA0570"/>
    <w:rsid w:val="00DA5BBA"/>
    <w:rsid w:val="00DA7443"/>
    <w:rsid w:val="00DB0007"/>
    <w:rsid w:val="00DB26D2"/>
    <w:rsid w:val="00DB67C9"/>
    <w:rsid w:val="00DB7467"/>
    <w:rsid w:val="00DC0C95"/>
    <w:rsid w:val="00DC143D"/>
    <w:rsid w:val="00DC1BD7"/>
    <w:rsid w:val="00DC4F0B"/>
    <w:rsid w:val="00DC58F2"/>
    <w:rsid w:val="00DC63C6"/>
    <w:rsid w:val="00DD21F7"/>
    <w:rsid w:val="00DD6580"/>
    <w:rsid w:val="00DD746F"/>
    <w:rsid w:val="00DE48D3"/>
    <w:rsid w:val="00DE7193"/>
    <w:rsid w:val="00DE72AD"/>
    <w:rsid w:val="00DF3542"/>
    <w:rsid w:val="00DF7B56"/>
    <w:rsid w:val="00E01D7F"/>
    <w:rsid w:val="00E05C03"/>
    <w:rsid w:val="00E11D7D"/>
    <w:rsid w:val="00E1386D"/>
    <w:rsid w:val="00E149B4"/>
    <w:rsid w:val="00E15A2D"/>
    <w:rsid w:val="00E16BC0"/>
    <w:rsid w:val="00E17C72"/>
    <w:rsid w:val="00E2115D"/>
    <w:rsid w:val="00E21FC6"/>
    <w:rsid w:val="00E23241"/>
    <w:rsid w:val="00E23D3B"/>
    <w:rsid w:val="00E278AE"/>
    <w:rsid w:val="00E40BD6"/>
    <w:rsid w:val="00E431A9"/>
    <w:rsid w:val="00E45EDC"/>
    <w:rsid w:val="00E47184"/>
    <w:rsid w:val="00E66294"/>
    <w:rsid w:val="00E6699C"/>
    <w:rsid w:val="00E669E2"/>
    <w:rsid w:val="00E705C8"/>
    <w:rsid w:val="00E70B43"/>
    <w:rsid w:val="00E72704"/>
    <w:rsid w:val="00E76135"/>
    <w:rsid w:val="00E774E7"/>
    <w:rsid w:val="00E8033F"/>
    <w:rsid w:val="00E8082B"/>
    <w:rsid w:val="00E82F4F"/>
    <w:rsid w:val="00E84CA3"/>
    <w:rsid w:val="00E864DF"/>
    <w:rsid w:val="00E933F8"/>
    <w:rsid w:val="00E93AEF"/>
    <w:rsid w:val="00EB0D7C"/>
    <w:rsid w:val="00EB2CC3"/>
    <w:rsid w:val="00EB3F8C"/>
    <w:rsid w:val="00EB7B8C"/>
    <w:rsid w:val="00EC1D6D"/>
    <w:rsid w:val="00EC2844"/>
    <w:rsid w:val="00EC2F38"/>
    <w:rsid w:val="00EC5500"/>
    <w:rsid w:val="00ED1637"/>
    <w:rsid w:val="00ED18F8"/>
    <w:rsid w:val="00ED2A3D"/>
    <w:rsid w:val="00EE61EF"/>
    <w:rsid w:val="00EE6EDA"/>
    <w:rsid w:val="00EE778E"/>
    <w:rsid w:val="00EF189E"/>
    <w:rsid w:val="00EF3262"/>
    <w:rsid w:val="00EF5FBA"/>
    <w:rsid w:val="00EF64FE"/>
    <w:rsid w:val="00EF6719"/>
    <w:rsid w:val="00EF6C6C"/>
    <w:rsid w:val="00EF7A74"/>
    <w:rsid w:val="00F01983"/>
    <w:rsid w:val="00F056FC"/>
    <w:rsid w:val="00F0632F"/>
    <w:rsid w:val="00F069AE"/>
    <w:rsid w:val="00F10476"/>
    <w:rsid w:val="00F10FDC"/>
    <w:rsid w:val="00F12718"/>
    <w:rsid w:val="00F12EEF"/>
    <w:rsid w:val="00F135D8"/>
    <w:rsid w:val="00F1627F"/>
    <w:rsid w:val="00F222A1"/>
    <w:rsid w:val="00F26CAF"/>
    <w:rsid w:val="00F31299"/>
    <w:rsid w:val="00F322C6"/>
    <w:rsid w:val="00F3421C"/>
    <w:rsid w:val="00F3534A"/>
    <w:rsid w:val="00F35BFB"/>
    <w:rsid w:val="00F36ACC"/>
    <w:rsid w:val="00F442D7"/>
    <w:rsid w:val="00F4435F"/>
    <w:rsid w:val="00F445AF"/>
    <w:rsid w:val="00F50C82"/>
    <w:rsid w:val="00F51609"/>
    <w:rsid w:val="00F55C25"/>
    <w:rsid w:val="00F5681B"/>
    <w:rsid w:val="00F65AD2"/>
    <w:rsid w:val="00F73727"/>
    <w:rsid w:val="00F74EF7"/>
    <w:rsid w:val="00F764D3"/>
    <w:rsid w:val="00F766A7"/>
    <w:rsid w:val="00F77C4C"/>
    <w:rsid w:val="00F81006"/>
    <w:rsid w:val="00F83C75"/>
    <w:rsid w:val="00F84BA6"/>
    <w:rsid w:val="00F85325"/>
    <w:rsid w:val="00F87288"/>
    <w:rsid w:val="00F93A2A"/>
    <w:rsid w:val="00F93F0C"/>
    <w:rsid w:val="00F9740A"/>
    <w:rsid w:val="00F977AF"/>
    <w:rsid w:val="00FA7159"/>
    <w:rsid w:val="00FA747B"/>
    <w:rsid w:val="00FB125C"/>
    <w:rsid w:val="00FB4D02"/>
    <w:rsid w:val="00FB5715"/>
    <w:rsid w:val="00FC5EE9"/>
    <w:rsid w:val="00FC6DAF"/>
    <w:rsid w:val="00FD0A03"/>
    <w:rsid w:val="00FD1B63"/>
    <w:rsid w:val="00FD22B1"/>
    <w:rsid w:val="00FD33F1"/>
    <w:rsid w:val="00FD3566"/>
    <w:rsid w:val="00FD501D"/>
    <w:rsid w:val="00FE1791"/>
    <w:rsid w:val="00FE1E15"/>
    <w:rsid w:val="00FE21A0"/>
    <w:rsid w:val="00FE30C3"/>
    <w:rsid w:val="00FE5397"/>
    <w:rsid w:val="00FE7DC7"/>
    <w:rsid w:val="00FF4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772A9A"/>
  <w15:docId w15:val="{E1FEE72C-5E8E-4F73-B5C3-7DE5527C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3505"/>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semiHidden/>
    <w:rsid w:val="00B03505"/>
    <w:rPr>
      <w:szCs w:val="24"/>
    </w:rPr>
  </w:style>
  <w:style w:type="character" w:customStyle="1" w:styleId="Heading3Char">
    <w:name w:val="Heading 3 Char"/>
    <w:basedOn w:val="DefaultParagraphFont"/>
    <w:link w:val="Heading3"/>
    <w:rsid w:val="00B03505"/>
    <w:rPr>
      <w:rFonts w:ascii="Arial" w:hAnsi="Arial"/>
      <w:b/>
      <w:sz w:val="26"/>
    </w:rPr>
  </w:style>
  <w:style w:type="paragraph" w:styleId="Bibliography">
    <w:name w:val="Bibliography"/>
    <w:basedOn w:val="Normal"/>
    <w:next w:val="Normal"/>
    <w:uiPriority w:val="37"/>
    <w:unhideWhenUsed/>
    <w:rsid w:val="00525D8D"/>
    <w:pPr>
      <w:spacing w:after="240"/>
      <w:ind w:left="720" w:hanging="720"/>
    </w:pPr>
  </w:style>
  <w:style w:type="paragraph" w:customStyle="1" w:styleId="TableNumber">
    <w:name w:val="Table Number"/>
    <w:basedOn w:val="TableBodyText"/>
    <w:rsid w:val="00437799"/>
    <w:pPr>
      <w:numPr>
        <w:numId w:val="23"/>
      </w:numPr>
      <w:jc w:val="left"/>
    </w:pPr>
  </w:style>
  <w:style w:type="character" w:styleId="Hyperlink">
    <w:name w:val="Hyperlink"/>
    <w:basedOn w:val="DefaultParagraphFont"/>
    <w:rsid w:val="00603604"/>
    <w:rPr>
      <w:color w:val="78A22F" w:themeColor="hyperlink"/>
      <w:u w:val="single"/>
    </w:rPr>
  </w:style>
  <w:style w:type="character" w:customStyle="1" w:styleId="ReferenceChar">
    <w:name w:val="Reference Char"/>
    <w:basedOn w:val="DefaultParagraphFont"/>
    <w:link w:val="Reference"/>
    <w:locked/>
    <w:rsid w:val="00603604"/>
    <w:rPr>
      <w:sz w:val="24"/>
    </w:rPr>
  </w:style>
  <w:style w:type="character" w:styleId="FollowedHyperlink">
    <w:name w:val="FollowedHyperlink"/>
    <w:basedOn w:val="DefaultParagraphFont"/>
    <w:rsid w:val="00603604"/>
    <w:rPr>
      <w:color w:val="387DD2" w:themeColor="followedHyperlink"/>
      <w:u w:val="single"/>
    </w:rPr>
  </w:style>
  <w:style w:type="paragraph" w:styleId="CommentSubject">
    <w:name w:val="annotation subject"/>
    <w:basedOn w:val="CommentText"/>
    <w:next w:val="CommentText"/>
    <w:link w:val="CommentSubjectChar"/>
    <w:rsid w:val="00603604"/>
    <w:pPr>
      <w:spacing w:before="0" w:line="240" w:lineRule="auto"/>
      <w:ind w:left="0" w:firstLine="0"/>
    </w:pPr>
    <w:rPr>
      <w:b/>
      <w:bCs/>
      <w:szCs w:val="20"/>
    </w:rPr>
  </w:style>
  <w:style w:type="character" w:customStyle="1" w:styleId="CommentSubjectChar">
    <w:name w:val="Comment Subject Char"/>
    <w:basedOn w:val="CommentTextChar"/>
    <w:link w:val="CommentSubject"/>
    <w:rsid w:val="00603604"/>
    <w:rPr>
      <w:b/>
      <w:bCs/>
      <w:szCs w:val="24"/>
    </w:rPr>
  </w:style>
  <w:style w:type="paragraph" w:styleId="Revision">
    <w:name w:val="Revision"/>
    <w:hidden/>
    <w:uiPriority w:val="99"/>
    <w:semiHidden/>
    <w:rsid w:val="00603604"/>
    <w:rPr>
      <w:sz w:val="24"/>
      <w:szCs w:val="24"/>
    </w:rPr>
  </w:style>
  <w:style w:type="paragraph" w:customStyle="1" w:styleId="quo">
    <w:name w:val="quo"/>
    <w:basedOn w:val="BodyText"/>
    <w:rsid w:val="000B778B"/>
  </w:style>
  <w:style w:type="character" w:customStyle="1" w:styleId="apple-converted-space">
    <w:name w:val="apple-converted-space"/>
    <w:basedOn w:val="DefaultParagraphFont"/>
    <w:rsid w:val="00AF4A6B"/>
  </w:style>
  <w:style w:type="paragraph" w:styleId="ListParagraph">
    <w:name w:val="List Paragraph"/>
    <w:basedOn w:val="Normal"/>
    <w:uiPriority w:val="34"/>
    <w:qFormat/>
    <w:rsid w:val="008A7B7E"/>
    <w:pPr>
      <w:ind w:left="720"/>
    </w:pPr>
    <w:rPr>
      <w:rFonts w:ascii="Calibri" w:eastAsiaTheme="minorHAnsi" w:hAnsi="Calibri"/>
      <w:sz w:val="22"/>
      <w:szCs w:val="22"/>
      <w:lang w:eastAsia="en-US"/>
    </w:rPr>
  </w:style>
  <w:style w:type="character" w:customStyle="1" w:styleId="BoxChar">
    <w:name w:val="Box Char"/>
    <w:link w:val="Box"/>
    <w:rsid w:val="004C16DE"/>
    <w:rPr>
      <w:rFonts w:ascii="Arial" w:hAnsi="Arial"/>
    </w:rPr>
  </w:style>
  <w:style w:type="character" w:customStyle="1" w:styleId="FootnoteTextChar">
    <w:name w:val="Footnote Text Char"/>
    <w:basedOn w:val="DefaultParagraphFont"/>
    <w:link w:val="FootnoteText"/>
    <w:rsid w:val="0021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0578">
      <w:bodyDiv w:val="1"/>
      <w:marLeft w:val="0"/>
      <w:marRight w:val="0"/>
      <w:marTop w:val="0"/>
      <w:marBottom w:val="0"/>
      <w:divBdr>
        <w:top w:val="none" w:sz="0" w:space="0" w:color="auto"/>
        <w:left w:val="none" w:sz="0" w:space="0" w:color="auto"/>
        <w:bottom w:val="none" w:sz="0" w:space="0" w:color="auto"/>
        <w:right w:val="none" w:sz="0" w:space="0" w:color="auto"/>
      </w:divBdr>
    </w:div>
    <w:div w:id="183442055">
      <w:bodyDiv w:val="1"/>
      <w:marLeft w:val="0"/>
      <w:marRight w:val="0"/>
      <w:marTop w:val="0"/>
      <w:marBottom w:val="0"/>
      <w:divBdr>
        <w:top w:val="none" w:sz="0" w:space="0" w:color="auto"/>
        <w:left w:val="none" w:sz="0" w:space="0" w:color="auto"/>
        <w:bottom w:val="none" w:sz="0" w:space="0" w:color="auto"/>
        <w:right w:val="none" w:sz="0" w:space="0" w:color="auto"/>
      </w:divBdr>
    </w:div>
    <w:div w:id="895579494">
      <w:bodyDiv w:val="1"/>
      <w:marLeft w:val="0"/>
      <w:marRight w:val="0"/>
      <w:marTop w:val="0"/>
      <w:marBottom w:val="0"/>
      <w:divBdr>
        <w:top w:val="none" w:sz="0" w:space="0" w:color="auto"/>
        <w:left w:val="none" w:sz="0" w:space="0" w:color="auto"/>
        <w:bottom w:val="none" w:sz="0" w:space="0" w:color="auto"/>
        <w:right w:val="none" w:sz="0" w:space="0" w:color="auto"/>
      </w:divBdr>
    </w:div>
    <w:div w:id="1643461694">
      <w:bodyDiv w:val="1"/>
      <w:marLeft w:val="0"/>
      <w:marRight w:val="0"/>
      <w:marTop w:val="0"/>
      <w:marBottom w:val="0"/>
      <w:divBdr>
        <w:top w:val="none" w:sz="0" w:space="0" w:color="auto"/>
        <w:left w:val="none" w:sz="0" w:space="0" w:color="auto"/>
        <w:bottom w:val="none" w:sz="0" w:space="0" w:color="auto"/>
        <w:right w:val="none" w:sz="0" w:space="0" w:color="auto"/>
      </w:divBdr>
    </w:div>
    <w:div w:id="187985421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2725-6FEB-4231-AA74-98C2C961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BCFB0B63.dotm</Template>
  <TotalTime>0</TotalTime>
  <Pages>18</Pages>
  <Words>4512</Words>
  <Characters>24822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Trade and Assistance Review User Guide: Re-benchmarking tariff assistance estimates in TAR</vt:lpstr>
    </vt:vector>
  </TitlesOfParts>
  <Manager/>
  <Company>Productivity Commission</Company>
  <LinksUpToDate>false</LinksUpToDate>
  <CharactersWithSpaces>29276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and Assistance Review User Guide: Re-benchmarking tariff assistance estimates in TAR</dc:title>
  <dc:subject/>
  <dc:creator>Productivity Commission</dc:creator>
  <cp:keywords/>
  <cp:lastModifiedBy>Productivity Commission</cp:lastModifiedBy>
  <cp:revision>2</cp:revision>
  <dcterms:created xsi:type="dcterms:W3CDTF">2020-05-06T23:31:00Z</dcterms:created>
  <dcterms:modified xsi:type="dcterms:W3CDTF">2020-05-07T04:14:00Z</dcterms:modified>
</cp:coreProperties>
</file>