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23A1" w:rsidRPr="00E32570" w:rsidRDefault="00EB23A1" w:rsidP="00E32570">
      <w:pPr>
        <w:pStyle w:val="Heading1"/>
        <w:rPr>
          <w:sz w:val="16"/>
          <w:szCs w:val="16"/>
        </w:rPr>
      </w:pPr>
      <w:bookmarkStart w:id="0" w:name="_GoBack"/>
      <w:r w:rsidRPr="00E32570">
        <w:rPr>
          <w:noProof/>
          <w:color w:val="FFFFFF" w:themeColor="background1"/>
          <w:sz w:val="16"/>
          <w:szCs w:val="16"/>
        </w:rPr>
        <w:drawing>
          <wp:anchor distT="0" distB="0" distL="114300" distR="114300" simplePos="0" relativeHeight="251658240" behindDoc="0" locked="0" layoutInCell="1" allowOverlap="1" wp14:anchorId="0CDCB493" wp14:editId="0A08106C">
            <wp:simplePos x="1152525" y="-6400800"/>
            <wp:positionH relativeFrom="page">
              <wp:align>center</wp:align>
            </wp:positionH>
            <wp:positionV relativeFrom="page">
              <wp:align>center</wp:align>
            </wp:positionV>
            <wp:extent cx="7560000" cy="10692000"/>
            <wp:effectExtent l="0" t="0" r="317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AR-2016-17-annex-cove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r w:rsidRPr="00E32570">
        <w:rPr>
          <w:color w:val="FFFFFF" w:themeColor="background1"/>
          <w:sz w:val="16"/>
          <w:szCs w:val="16"/>
        </w:rPr>
        <w:t>Trade and Assistance Review 2016-17 Methodological Annex</w:t>
      </w:r>
      <w:r w:rsidRPr="00E32570">
        <w:rPr>
          <w:color w:val="FFFFFF" w:themeColor="background1"/>
          <w:sz w:val="16"/>
          <w:szCs w:val="16"/>
        </w:rPr>
        <w:br w:type="page"/>
      </w:r>
      <w:bookmarkEnd w:id="0"/>
    </w:p>
    <w:p w:rsidR="00CC6BFA" w:rsidRDefault="00CC6BFA" w:rsidP="00CC6BFA">
      <w:pPr>
        <w:pStyle w:val="Copyrightheading"/>
      </w:pPr>
      <w:r w:rsidRPr="008C305F">
        <w:lastRenderedPageBreak/>
        <w:fldChar w:fldCharType="begin"/>
      </w:r>
      <w:r w:rsidRPr="008C305F">
        <w:instrText>SYMBOL 227 \f "Symbol"</w:instrText>
      </w:r>
      <w:r w:rsidRPr="008C305F">
        <w:fldChar w:fldCharType="end"/>
      </w:r>
      <w:r w:rsidRPr="008C305F">
        <w:t xml:space="preserve"> Commonwealth of Australia </w:t>
      </w:r>
      <w:r>
        <w:t>2018</w:t>
      </w:r>
    </w:p>
    <w:p w:rsidR="00CC6BFA" w:rsidRDefault="00CC6BFA" w:rsidP="00CC6BFA">
      <w:pPr>
        <w:pStyle w:val="BodyText"/>
        <w:spacing w:after="120"/>
      </w:pPr>
      <w:bookmarkStart w:id="1" w:name="ISSN"/>
      <w:bookmarkEnd w:id="1"/>
      <w:r w:rsidRPr="00862D8F">
        <w:rPr>
          <w:noProof/>
          <w:sz w:val="22"/>
          <w:szCs w:val="22"/>
        </w:rPr>
        <w:drawing>
          <wp:inline distT="0" distB="0" distL="0" distR="0" wp14:anchorId="19B2F6ED" wp14:editId="01B79D86">
            <wp:extent cx="843280" cy="295043"/>
            <wp:effectExtent l="0" t="0" r="0" b="0"/>
            <wp:docPr id="16" name="Picture 16" descr="CC BY licen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C-By logo"/>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843280" cy="295043"/>
                    </a:xfrm>
                    <a:prstGeom prst="rect">
                      <a:avLst/>
                    </a:prstGeom>
                    <a:noFill/>
                    <a:ln>
                      <a:noFill/>
                    </a:ln>
                  </pic:spPr>
                </pic:pic>
              </a:graphicData>
            </a:graphic>
          </wp:inline>
        </w:drawing>
      </w:r>
    </w:p>
    <w:p w:rsidR="00CC6BFA" w:rsidRPr="007974DE" w:rsidRDefault="00CC6BFA" w:rsidP="00CC6BFA">
      <w:pPr>
        <w:pStyle w:val="Copyrightbodytext"/>
        <w:rPr>
          <w:sz w:val="20"/>
        </w:rPr>
      </w:pPr>
      <w:r w:rsidRPr="007974DE">
        <w:rPr>
          <w:sz w:val="20"/>
        </w:rPr>
        <w:t xml:space="preserve">Except for the Commonwealth Coat of Arms and content supplied by third parties, this copyright work is licensed under a Creative Commons Attribution 3.0 Australia licence. To view a copy of this licence, visit </w:t>
      </w:r>
      <w:hyperlink r:id="rId10" w:history="1">
        <w:hyperlink r:id="rId11" w:history="1">
          <w:r w:rsidRPr="007974DE">
            <w:rPr>
              <w:sz w:val="20"/>
            </w:rPr>
            <w:t>http://creativecommons.org/licenses/by/3.0/au</w:t>
          </w:r>
        </w:hyperlink>
      </w:hyperlink>
      <w:r w:rsidRPr="007974DE">
        <w:rPr>
          <w:sz w:val="20"/>
        </w:rPr>
        <w:t>. In essence, you are free to copy, communicate and adapt the work, as long as you attribute the work to the Productivity Commission (but not in any way that suggests the Commission endorses you or your use) and abide by the other licence terms.</w:t>
      </w:r>
    </w:p>
    <w:p w:rsidR="00CC6BFA" w:rsidRPr="008A3857" w:rsidRDefault="00CC6BFA" w:rsidP="00CC6BFA">
      <w:pPr>
        <w:pStyle w:val="Copyrightsubtitle"/>
      </w:pPr>
      <w:r w:rsidRPr="008A3857">
        <w:t>Use of the Commonwealth Coat of Arms</w:t>
      </w:r>
    </w:p>
    <w:p w:rsidR="00CC6BFA" w:rsidRPr="007974DE" w:rsidRDefault="00CC6BFA" w:rsidP="00CC6BFA">
      <w:pPr>
        <w:pStyle w:val="Copyrightbodytext"/>
        <w:rPr>
          <w:sz w:val="20"/>
        </w:rPr>
      </w:pPr>
      <w:r w:rsidRPr="007974DE">
        <w:rPr>
          <w:sz w:val="20"/>
        </w:rPr>
        <w:t>Terms of use for the Coat of Arms are available from the Department of the Prime Minister and Cabinet’s website:</w:t>
      </w:r>
      <w:r w:rsidRPr="007974DE">
        <w:rPr>
          <w:spacing w:val="-6"/>
          <w:sz w:val="20"/>
        </w:rPr>
        <w:t xml:space="preserve"> </w:t>
      </w:r>
      <w:hyperlink r:id="rId12" w:history="1">
        <w:r w:rsidRPr="007974DE">
          <w:rPr>
            <w:rStyle w:val="Hyperlink"/>
            <w:sz w:val="20"/>
          </w:rPr>
          <w:t>https://</w:t>
        </w:r>
        <w:proofErr w:type="spellStart"/>
        <w:r w:rsidRPr="007974DE">
          <w:rPr>
            <w:rStyle w:val="Hyperlink"/>
            <w:sz w:val="20"/>
          </w:rPr>
          <w:t>www.pmc.gov.au</w:t>
        </w:r>
        <w:proofErr w:type="spellEnd"/>
        <w:r w:rsidRPr="007974DE">
          <w:rPr>
            <w:rStyle w:val="Hyperlink"/>
            <w:sz w:val="20"/>
          </w:rPr>
          <w:t>/government/commonwealth-coat-arms</w:t>
        </w:r>
      </w:hyperlink>
    </w:p>
    <w:p w:rsidR="00CC6BFA" w:rsidRPr="008A3857" w:rsidRDefault="00CC6BFA" w:rsidP="00CC6BFA">
      <w:pPr>
        <w:pStyle w:val="Copyrightsubtitle"/>
      </w:pPr>
      <w:r w:rsidRPr="008A3857">
        <w:t>Third party copyright</w:t>
      </w:r>
    </w:p>
    <w:p w:rsidR="00CC6BFA" w:rsidRPr="007974DE" w:rsidRDefault="00CC6BFA" w:rsidP="00CC6BFA">
      <w:pPr>
        <w:pStyle w:val="Copyrightbodytext"/>
        <w:rPr>
          <w:sz w:val="20"/>
        </w:rPr>
      </w:pPr>
      <w:r w:rsidRPr="007974DE">
        <w:rPr>
          <w:sz w:val="20"/>
        </w:rPr>
        <w:t>Wherever a third party holds copyright in this material, the copyright remains with that party. Their permission may be required to use the material, please contact them directly.</w:t>
      </w:r>
    </w:p>
    <w:p w:rsidR="00CC6BFA" w:rsidRPr="008A3857" w:rsidRDefault="00CC6BFA" w:rsidP="00CC6BFA">
      <w:pPr>
        <w:pStyle w:val="Copyrightsubtitle"/>
      </w:pPr>
      <w:r w:rsidRPr="008A3857">
        <w:t>Attribution</w:t>
      </w:r>
    </w:p>
    <w:p w:rsidR="00CC6BFA" w:rsidRPr="007974DE" w:rsidRDefault="00CC6BFA" w:rsidP="00CC6BFA">
      <w:pPr>
        <w:pStyle w:val="Copyrightbodytext"/>
        <w:rPr>
          <w:sz w:val="20"/>
        </w:rPr>
      </w:pPr>
      <w:r w:rsidRPr="007974DE">
        <w:rPr>
          <w:sz w:val="20"/>
        </w:rPr>
        <w:t xml:space="preserve">This work should be attributed as follows, </w:t>
      </w:r>
      <w:r w:rsidRPr="007974DE">
        <w:rPr>
          <w:i/>
          <w:sz w:val="20"/>
        </w:rPr>
        <w:t>Source: Productivity Commission, Trade and Assistance Review 2016-17</w:t>
      </w:r>
      <w:r w:rsidR="00B92BF6">
        <w:rPr>
          <w:i/>
          <w:sz w:val="20"/>
        </w:rPr>
        <w:t xml:space="preserve">: </w:t>
      </w:r>
      <w:r w:rsidR="00B92BF6">
        <w:rPr>
          <w:i/>
          <w:sz w:val="20"/>
        </w:rPr>
        <w:t>Methodological Annex</w:t>
      </w:r>
      <w:r w:rsidRPr="007974DE">
        <w:rPr>
          <w:sz w:val="20"/>
        </w:rPr>
        <w:t>.</w:t>
      </w:r>
    </w:p>
    <w:p w:rsidR="00CC6BFA" w:rsidRPr="007974DE" w:rsidRDefault="00CC6BFA" w:rsidP="00CC6BFA">
      <w:pPr>
        <w:pStyle w:val="Copyrightbodytext"/>
        <w:spacing w:before="120"/>
        <w:rPr>
          <w:sz w:val="20"/>
        </w:rPr>
      </w:pPr>
      <w:r w:rsidRPr="007974DE">
        <w:rPr>
          <w:sz w:val="20"/>
        </w:rPr>
        <w:t xml:space="preserve">If you have adapted, modified or transformed this work in anyway, please use the following, </w:t>
      </w:r>
      <w:r w:rsidRPr="007974DE">
        <w:rPr>
          <w:i/>
          <w:sz w:val="20"/>
        </w:rPr>
        <w:t>Source: based on Productivity Commission data, Trade and Assistance Review 2016-17</w:t>
      </w:r>
      <w:r w:rsidR="00B92BF6">
        <w:rPr>
          <w:i/>
          <w:sz w:val="20"/>
        </w:rPr>
        <w:t xml:space="preserve">: </w:t>
      </w:r>
      <w:r w:rsidR="00B92BF6">
        <w:rPr>
          <w:i/>
          <w:sz w:val="20"/>
        </w:rPr>
        <w:t>Methodological Annex</w:t>
      </w:r>
      <w:r w:rsidRPr="007974DE">
        <w:rPr>
          <w:sz w:val="20"/>
        </w:rPr>
        <w:t>.</w:t>
      </w:r>
    </w:p>
    <w:p w:rsidR="00CC6BFA" w:rsidRPr="008A3857" w:rsidRDefault="00CC6BFA" w:rsidP="00CC6BFA">
      <w:pPr>
        <w:pStyle w:val="Copyrightsubtitle"/>
      </w:pPr>
      <w:r w:rsidRPr="008A3857">
        <w:t xml:space="preserve">An appropriate </w:t>
      </w:r>
      <w:r>
        <w:t>reference</w:t>
      </w:r>
      <w:r w:rsidRPr="008A3857">
        <w:t xml:space="preserve"> for this publication is:</w:t>
      </w:r>
    </w:p>
    <w:p w:rsidR="00CC6BFA" w:rsidRPr="007974DE" w:rsidRDefault="00CC6BFA" w:rsidP="00CC6BFA">
      <w:pPr>
        <w:pStyle w:val="Copyrightbodytext"/>
        <w:rPr>
          <w:i/>
          <w:sz w:val="20"/>
        </w:rPr>
      </w:pPr>
      <w:r w:rsidRPr="007974DE">
        <w:rPr>
          <w:sz w:val="20"/>
        </w:rPr>
        <w:t xml:space="preserve">Productivity Commission 2018, </w:t>
      </w:r>
      <w:r w:rsidRPr="007974DE">
        <w:rPr>
          <w:i/>
          <w:sz w:val="20"/>
        </w:rPr>
        <w:t>Trade and Assistance Review 2016-17</w:t>
      </w:r>
      <w:r w:rsidR="00B92BF6">
        <w:rPr>
          <w:i/>
          <w:sz w:val="20"/>
        </w:rPr>
        <w:t xml:space="preserve">: </w:t>
      </w:r>
      <w:r w:rsidR="00B92BF6">
        <w:rPr>
          <w:i/>
          <w:sz w:val="20"/>
        </w:rPr>
        <w:t>Methodological Annex,</w:t>
      </w:r>
      <w:r w:rsidRPr="007974DE">
        <w:rPr>
          <w:sz w:val="20"/>
        </w:rPr>
        <w:t xml:space="preserve"> Annual Report Series, Canberra</w:t>
      </w:r>
      <w:r w:rsidRPr="007974DE">
        <w:rPr>
          <w:i/>
          <w:sz w:val="20"/>
        </w:rPr>
        <w:t>.</w:t>
      </w:r>
    </w:p>
    <w:p w:rsidR="00CC6BFA" w:rsidRPr="008A3857" w:rsidRDefault="00CC6BFA" w:rsidP="00CC6BFA">
      <w:pPr>
        <w:pStyle w:val="Copyrightsubtitle"/>
      </w:pPr>
      <w:bookmarkStart w:id="2" w:name="JEL"/>
      <w:bookmarkEnd w:id="2"/>
      <w:r w:rsidRPr="008A3857">
        <w:t>Publications enquiries</w:t>
      </w:r>
    </w:p>
    <w:p w:rsidR="00CC6BFA" w:rsidRPr="007974DE" w:rsidRDefault="00CC6BFA" w:rsidP="00CC6BFA">
      <w:pPr>
        <w:pStyle w:val="Copyrightbodytext"/>
        <w:rPr>
          <w:sz w:val="20"/>
        </w:rPr>
      </w:pPr>
      <w:r w:rsidRPr="007974DE">
        <w:rPr>
          <w:sz w:val="20"/>
        </w:rPr>
        <w:t>Media, Publications and Web, phone: (03) 9653 2244 or email: mpw@pc.gov.au</w:t>
      </w:r>
    </w:p>
    <w:p w:rsidR="00CC6BFA" w:rsidRDefault="00CC6BFA" w:rsidP="00CC6BFA">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CC6BFA" w:rsidTr="000B139A">
        <w:trPr>
          <w:tblHeader/>
        </w:trPr>
        <w:tc>
          <w:tcPr>
            <w:tcW w:w="5000" w:type="pct"/>
            <w:tcBorders>
              <w:top w:val="single" w:sz="6" w:space="0" w:color="78A22F"/>
              <w:left w:val="nil"/>
              <w:bottom w:val="nil"/>
              <w:right w:val="nil"/>
            </w:tcBorders>
            <w:shd w:val="clear" w:color="auto" w:fill="F2F2F2" w:themeFill="background1" w:themeFillShade="F2"/>
          </w:tcPr>
          <w:p w:rsidR="00CC6BFA" w:rsidRPr="008A3857" w:rsidRDefault="00CC6BFA" w:rsidP="000B139A">
            <w:pPr>
              <w:pStyle w:val="BoxTitle"/>
              <w:rPr>
                <w:sz w:val="22"/>
                <w:szCs w:val="22"/>
              </w:rPr>
            </w:pPr>
            <w:r w:rsidRPr="008A3857">
              <w:rPr>
                <w:sz w:val="22"/>
                <w:szCs w:val="22"/>
              </w:rPr>
              <w:t>The Productivity Commission</w:t>
            </w:r>
          </w:p>
        </w:tc>
      </w:tr>
      <w:tr w:rsidR="00CC6BFA" w:rsidTr="000B139A">
        <w:tc>
          <w:tcPr>
            <w:tcW w:w="5000" w:type="pct"/>
            <w:tcBorders>
              <w:top w:val="nil"/>
              <w:left w:val="nil"/>
              <w:bottom w:val="nil"/>
              <w:right w:val="nil"/>
            </w:tcBorders>
            <w:shd w:val="clear" w:color="auto" w:fill="F2F2F2" w:themeFill="background1" w:themeFillShade="F2"/>
          </w:tcPr>
          <w:p w:rsidR="00CC6BFA" w:rsidRDefault="00CC6BFA" w:rsidP="000B139A">
            <w:pPr>
              <w:pStyle w:val="Box"/>
            </w:pPr>
            <w:r w:rsidRPr="00BB5DCF">
              <w:t>The Productivity Commission is the Australian Government’s independent research and advisory body on a range of economic, social and environmental issues affecting the welfare of Australians. Its role, expressed most simply, is to help governments make better policies, in the long term interest of the Australian community.</w:t>
            </w:r>
          </w:p>
          <w:p w:rsidR="00CC6BFA" w:rsidRDefault="00CC6BFA" w:rsidP="000B139A">
            <w:pPr>
              <w:pStyle w:val="Box"/>
            </w:pPr>
            <w:r w:rsidRPr="00BB5DCF">
              <w:t>The Commission’s independence is underpinned by an Act of Parliament. Its processes and outputs are open to public scrutiny and are driven by concern for the wellbeing of the community as a whole.</w:t>
            </w:r>
          </w:p>
          <w:p w:rsidR="00CC6BFA" w:rsidRDefault="00CC6BFA" w:rsidP="000B139A">
            <w:pPr>
              <w:pStyle w:val="Box"/>
            </w:pPr>
            <w:r w:rsidRPr="00BB5DCF">
              <w:rPr>
                <w:szCs w:val="24"/>
              </w:rPr>
              <w:t>Further information on the Productivity Commission can be obtained from the Commission’s website (</w:t>
            </w:r>
            <w:proofErr w:type="spellStart"/>
            <w:r>
              <w:fldChar w:fldCharType="begin"/>
            </w:r>
            <w:r>
              <w:instrText xml:space="preserve"> HYPERLINK "http://www.pc.gov.au/" </w:instrText>
            </w:r>
            <w:r>
              <w:fldChar w:fldCharType="separate"/>
            </w:r>
            <w:r w:rsidRPr="00805FD7">
              <w:t>www.pc.gov.au</w:t>
            </w:r>
            <w:proofErr w:type="spellEnd"/>
            <w:r>
              <w:fldChar w:fldCharType="end"/>
            </w:r>
            <w:r w:rsidRPr="00BB5DCF">
              <w:rPr>
                <w:szCs w:val="24"/>
              </w:rPr>
              <w:t>)</w:t>
            </w:r>
            <w:r>
              <w:rPr>
                <w:szCs w:val="24"/>
              </w:rPr>
              <w:t>.</w:t>
            </w:r>
          </w:p>
        </w:tc>
      </w:tr>
      <w:tr w:rsidR="00CC6BFA" w:rsidTr="000B139A">
        <w:tc>
          <w:tcPr>
            <w:tcW w:w="5000" w:type="pct"/>
            <w:tcBorders>
              <w:top w:val="nil"/>
              <w:left w:val="nil"/>
              <w:bottom w:val="single" w:sz="6" w:space="0" w:color="78A22F"/>
              <w:right w:val="nil"/>
            </w:tcBorders>
            <w:shd w:val="clear" w:color="auto" w:fill="F2F2F2" w:themeFill="background1" w:themeFillShade="F2"/>
          </w:tcPr>
          <w:p w:rsidR="00CC6BFA" w:rsidRDefault="00CC6BFA" w:rsidP="000B139A">
            <w:pPr>
              <w:pStyle w:val="Box"/>
              <w:spacing w:before="0" w:line="120" w:lineRule="exact"/>
            </w:pPr>
          </w:p>
        </w:tc>
      </w:tr>
    </w:tbl>
    <w:p w:rsidR="006F732E" w:rsidRDefault="006F732E" w:rsidP="00EA06CD">
      <w:pPr>
        <w:pStyle w:val="Heading1NotTOC"/>
        <w:sectPr w:rsidR="006F732E" w:rsidSect="000A4629">
          <w:footerReference w:type="default" r:id="rId13"/>
          <w:pgSz w:w="11907" w:h="16840" w:code="9"/>
          <w:pgMar w:top="1304" w:right="1304" w:bottom="567" w:left="1814" w:header="1701" w:footer="397" w:gutter="0"/>
          <w:pgNumType w:start="1" w:chapSep="period"/>
          <w:cols w:space="720"/>
          <w:docGrid w:linePitch="326"/>
        </w:sectPr>
      </w:pPr>
      <w:bookmarkStart w:id="3" w:name="cov"/>
      <w:bookmarkEnd w:id="3"/>
    </w:p>
    <w:p w:rsidR="00EA06CD" w:rsidRPr="00EA06CD" w:rsidRDefault="00EA06CD" w:rsidP="00EA06CD">
      <w:pPr>
        <w:pStyle w:val="Heading1NotTOC"/>
      </w:pPr>
      <w:r w:rsidRPr="00EA06CD">
        <w:lastRenderedPageBreak/>
        <w:t>Contents</w:t>
      </w:r>
      <w:bookmarkStart w:id="4" w:name="InsertContents"/>
      <w:bookmarkEnd w:id="4"/>
    </w:p>
    <w:p w:rsidR="00EA06CD" w:rsidRDefault="00EA06CD" w:rsidP="00EA06CD">
      <w:pPr>
        <w:pStyle w:val="TOC1"/>
        <w:rPr>
          <w:rFonts w:asciiTheme="minorHAnsi" w:eastAsiaTheme="minorEastAsia" w:hAnsiTheme="minorHAnsi" w:cstheme="minorBidi"/>
          <w:b w:val="0"/>
          <w:noProof/>
          <w:sz w:val="22"/>
          <w:szCs w:val="22"/>
          <w:lang w:eastAsia="en-AU"/>
        </w:rPr>
      </w:pPr>
      <w:r>
        <w:rPr>
          <w:noProof/>
        </w:rPr>
        <w:t>1</w:t>
      </w:r>
      <w:r>
        <w:rPr>
          <w:rFonts w:asciiTheme="minorHAnsi" w:eastAsiaTheme="minorEastAsia" w:hAnsiTheme="minorHAnsi" w:cstheme="minorBidi"/>
          <w:b w:val="0"/>
          <w:noProof/>
          <w:sz w:val="22"/>
          <w:szCs w:val="22"/>
          <w:lang w:eastAsia="en-AU"/>
        </w:rPr>
        <w:tab/>
      </w:r>
      <w:r>
        <w:rPr>
          <w:noProof/>
        </w:rPr>
        <w:t>About this annex</w:t>
      </w:r>
      <w:r>
        <w:rPr>
          <w:noProof/>
        </w:rPr>
        <w:tab/>
        <w:t>1</w:t>
      </w:r>
    </w:p>
    <w:p w:rsidR="00EA06CD" w:rsidRDefault="00EA06CD" w:rsidP="00EA06CD">
      <w:pPr>
        <w:pStyle w:val="TOC1"/>
        <w:rPr>
          <w:noProof/>
        </w:rPr>
      </w:pPr>
      <w:r>
        <w:rPr>
          <w:noProof/>
        </w:rPr>
        <w:t>2</w:t>
      </w:r>
      <w:r>
        <w:rPr>
          <w:rFonts w:asciiTheme="minorHAnsi" w:eastAsiaTheme="minorEastAsia" w:hAnsiTheme="minorHAnsi" w:cstheme="minorBidi"/>
          <w:b w:val="0"/>
          <w:noProof/>
          <w:sz w:val="22"/>
          <w:szCs w:val="22"/>
          <w:lang w:eastAsia="en-AU"/>
        </w:rPr>
        <w:tab/>
      </w:r>
      <w:r w:rsidRPr="00CC6BFA">
        <w:rPr>
          <w:noProof/>
        </w:rPr>
        <w:t>Programs added to the assistance estimates in 2016</w:t>
      </w:r>
      <w:r w:rsidRPr="00CC6BFA">
        <w:rPr>
          <w:rFonts w:ascii="MS Gothic" w:hAnsi="MS Gothic" w:cs="MS Gothic"/>
          <w:noProof/>
        </w:rPr>
        <w:t>‑</w:t>
      </w:r>
      <w:r w:rsidRPr="00CC6BFA">
        <w:rPr>
          <w:noProof/>
        </w:rPr>
        <w:t>17</w:t>
      </w:r>
      <w:r>
        <w:rPr>
          <w:noProof/>
        </w:rPr>
        <w:tab/>
        <w:t>3</w:t>
      </w:r>
    </w:p>
    <w:p w:rsidR="00EA06CD" w:rsidRDefault="00EA06CD" w:rsidP="00EA06CD">
      <w:pPr>
        <w:pStyle w:val="TOC1"/>
        <w:rPr>
          <w:rFonts w:asciiTheme="minorHAnsi" w:eastAsiaTheme="minorEastAsia" w:hAnsiTheme="minorHAnsi" w:cstheme="minorBidi"/>
          <w:b w:val="0"/>
          <w:noProof/>
          <w:sz w:val="22"/>
          <w:szCs w:val="22"/>
          <w:lang w:eastAsia="en-AU"/>
        </w:rPr>
      </w:pPr>
      <w:r>
        <w:rPr>
          <w:noProof/>
        </w:rPr>
        <w:t>3</w:t>
      </w:r>
      <w:r>
        <w:rPr>
          <w:rFonts w:asciiTheme="minorHAnsi" w:eastAsiaTheme="minorEastAsia" w:hAnsiTheme="minorHAnsi" w:cstheme="minorBidi"/>
          <w:b w:val="0"/>
          <w:noProof/>
          <w:sz w:val="22"/>
          <w:szCs w:val="22"/>
          <w:lang w:eastAsia="en-AU"/>
        </w:rPr>
        <w:tab/>
      </w:r>
      <w:r w:rsidRPr="00CC6BFA">
        <w:rPr>
          <w:noProof/>
        </w:rPr>
        <w:t>Programs previously included in the estimates that had zero assistance in 2016 17</w:t>
      </w:r>
      <w:r>
        <w:rPr>
          <w:noProof/>
        </w:rPr>
        <w:tab/>
      </w:r>
      <w:r w:rsidR="006F732E">
        <w:rPr>
          <w:noProof/>
        </w:rPr>
        <w:t>8</w:t>
      </w:r>
    </w:p>
    <w:p w:rsidR="00EA06CD" w:rsidRDefault="00EA06CD" w:rsidP="00EA06CD">
      <w:pPr>
        <w:pStyle w:val="TOC1"/>
        <w:rPr>
          <w:noProof/>
        </w:rPr>
      </w:pPr>
      <w:r>
        <w:rPr>
          <w:noProof/>
        </w:rPr>
        <w:t>4</w:t>
      </w:r>
      <w:r>
        <w:rPr>
          <w:rFonts w:asciiTheme="minorHAnsi" w:eastAsiaTheme="minorEastAsia" w:hAnsiTheme="minorHAnsi" w:cstheme="minorBidi"/>
          <w:b w:val="0"/>
          <w:noProof/>
          <w:sz w:val="22"/>
          <w:szCs w:val="22"/>
          <w:lang w:eastAsia="en-AU"/>
        </w:rPr>
        <w:tab/>
      </w:r>
      <w:r w:rsidRPr="00CC6BFA">
        <w:rPr>
          <w:noProof/>
        </w:rPr>
        <w:t>Methodological changes to the estimates</w:t>
      </w:r>
      <w:r>
        <w:rPr>
          <w:noProof/>
        </w:rPr>
        <w:tab/>
        <w:t>1</w:t>
      </w:r>
      <w:r w:rsidR="006F732E">
        <w:rPr>
          <w:noProof/>
        </w:rPr>
        <w:t>0</w:t>
      </w:r>
    </w:p>
    <w:p w:rsidR="00EA06CD" w:rsidRDefault="00EA06CD" w:rsidP="00EA06CD">
      <w:pPr>
        <w:pStyle w:val="TOC2"/>
        <w:spacing w:before="360"/>
        <w:ind w:hanging="1134"/>
        <w:rPr>
          <w:b/>
        </w:rPr>
      </w:pPr>
      <w:r w:rsidRPr="00CC6BFA">
        <w:rPr>
          <w:b/>
        </w:rPr>
        <w:t>References</w:t>
      </w:r>
      <w:r w:rsidRPr="00CC6BFA">
        <w:rPr>
          <w:b/>
        </w:rPr>
        <w:tab/>
        <w:t>1</w:t>
      </w:r>
      <w:r w:rsidR="006F732E">
        <w:rPr>
          <w:b/>
        </w:rPr>
        <w:t>3</w:t>
      </w:r>
    </w:p>
    <w:p w:rsidR="006F732E" w:rsidRDefault="006F732E" w:rsidP="00EA06CD">
      <w:pPr>
        <w:pStyle w:val="TOC2"/>
        <w:spacing w:before="360"/>
        <w:ind w:hanging="1134"/>
        <w:rPr>
          <w:b/>
        </w:rPr>
      </w:pPr>
    </w:p>
    <w:p w:rsidR="006F732E" w:rsidRDefault="006F732E" w:rsidP="00EA06CD">
      <w:pPr>
        <w:pStyle w:val="BodyText"/>
        <w:sectPr w:rsidR="006F732E" w:rsidSect="00BB507B">
          <w:headerReference w:type="even" r:id="rId14"/>
          <w:headerReference w:type="default" r:id="rId15"/>
          <w:footerReference w:type="even" r:id="rId16"/>
          <w:pgSz w:w="11907" w:h="16840" w:code="9"/>
          <w:pgMar w:top="1985" w:right="1304" w:bottom="1247" w:left="1814" w:header="1701" w:footer="397" w:gutter="0"/>
          <w:pgNumType w:fmt="lowerRoman" w:chapSep="period"/>
          <w:cols w:space="720"/>
          <w:docGrid w:linePitch="326"/>
        </w:sectPr>
      </w:pPr>
    </w:p>
    <w:p w:rsidR="00C83A3D" w:rsidRDefault="00C83A3D" w:rsidP="003D6704">
      <w:pPr>
        <w:pStyle w:val="Heading1"/>
        <w:spacing w:before="0"/>
      </w:pPr>
      <w:r>
        <w:t>1</w:t>
      </w:r>
      <w:r>
        <w:tab/>
      </w:r>
      <w:bookmarkStart w:id="5" w:name="ChapterTitle"/>
      <w:r>
        <w:t>About this annex</w:t>
      </w:r>
      <w:bookmarkEnd w:id="5"/>
    </w:p>
    <w:p w:rsidR="00C83A3D" w:rsidRDefault="00C83A3D" w:rsidP="003D6704">
      <w:pPr>
        <w:pStyle w:val="BodyText"/>
      </w:pPr>
      <w:bookmarkStart w:id="6" w:name="begin"/>
      <w:bookmarkEnd w:id="6"/>
      <w:r>
        <w:t xml:space="preserve">Under its establishing Act, the Productivity Commission is required to report annually on industry assistance and its effects on the economy. As part of fulfilling this function, the Commission publishes quantitative estimates of assistance to Australian industry each year in its </w:t>
      </w:r>
      <w:r w:rsidRPr="002144FB">
        <w:rPr>
          <w:i/>
        </w:rPr>
        <w:t>Trade &amp; Assistance Review</w:t>
      </w:r>
      <w:r>
        <w:t xml:space="preserve">. Quantifying industry assistance helps to show who is advantaged and who is disadvantaged by industry assistance and can enable governments to make better informed policy decisions, potentially leading to improvements in the allocation of the community’s scarce resources and, through this, improve community welfare. </w:t>
      </w:r>
    </w:p>
    <w:p w:rsidR="00C83A3D" w:rsidRDefault="00C83A3D" w:rsidP="003D6704">
      <w:pPr>
        <w:pStyle w:val="BodyText"/>
      </w:pPr>
      <w:r>
        <w:t xml:space="preserve">The Commission and its predecessors commenced publishing assistance estimates in the early </w:t>
      </w:r>
      <w:proofErr w:type="spellStart"/>
      <w:r>
        <w:t>1970s</w:t>
      </w:r>
      <w:proofErr w:type="spellEnd"/>
      <w:r>
        <w:t xml:space="preserve">. The estimates initially focused on the main forms of import protection for the manufacturing sector and domestic marketing arrangements for agriculture. Over time, the coverage has been expanded to include a broader range of measures, most notably budgetary outlays and tax concessions. </w:t>
      </w:r>
    </w:p>
    <w:p w:rsidR="00C83A3D" w:rsidRDefault="00C83A3D" w:rsidP="003D6704">
      <w:pPr>
        <w:pStyle w:val="BodyText"/>
      </w:pPr>
      <w:r>
        <w:t xml:space="preserve">The Commission’s estimates focus on the main forms of support — tariffs, budgetary outlays and tax concessions — that selectively assist firms, activities or industries and that can be quantified on an annual basis given practical constraints in measurement and data availability. </w:t>
      </w:r>
    </w:p>
    <w:p w:rsidR="00C83A3D" w:rsidRDefault="00C83A3D" w:rsidP="003D6704">
      <w:pPr>
        <w:pStyle w:val="BodyText"/>
      </w:pPr>
      <w:r>
        <w:t xml:space="preserve">This annex reports on changes made to the Commission’s assistance estimates for </w:t>
      </w:r>
      <w:r w:rsidRPr="00C66E80">
        <w:rPr>
          <w:i/>
        </w:rPr>
        <w:t>Trade &amp; Assistance Review 201</w:t>
      </w:r>
      <w:r>
        <w:rPr>
          <w:i/>
        </w:rPr>
        <w:t>6</w:t>
      </w:r>
      <w:r>
        <w:rPr>
          <w:i/>
        </w:rPr>
        <w:noBreakHyphen/>
      </w:r>
      <w:r w:rsidRPr="00C66E80">
        <w:rPr>
          <w:i/>
        </w:rPr>
        <w:t>1</w:t>
      </w:r>
      <w:r>
        <w:rPr>
          <w:i/>
        </w:rPr>
        <w:t>7</w:t>
      </w:r>
      <w:r>
        <w:t>. These changes comprise:</w:t>
      </w:r>
    </w:p>
    <w:p w:rsidR="00C83A3D" w:rsidRDefault="00C83A3D" w:rsidP="003D6704">
      <w:pPr>
        <w:pStyle w:val="ListBullet"/>
      </w:pPr>
      <w:r>
        <w:t>programs added to the estimates for 2016</w:t>
      </w:r>
      <w:r>
        <w:noBreakHyphen/>
        <w:t>17 (chapter</w:t>
      </w:r>
      <w:r w:rsidR="003D6704">
        <w:t> </w:t>
      </w:r>
      <w:r>
        <w:t xml:space="preserve">2) </w:t>
      </w:r>
    </w:p>
    <w:p w:rsidR="00C83A3D" w:rsidRDefault="00C83A3D" w:rsidP="003D6704">
      <w:pPr>
        <w:pStyle w:val="ListBullet"/>
      </w:pPr>
      <w:r>
        <w:t>programs for which funding ceased in 2016</w:t>
      </w:r>
      <w:r>
        <w:noBreakHyphen/>
        <w:t>17 (chapter</w:t>
      </w:r>
      <w:r w:rsidR="003D6704">
        <w:t> </w:t>
      </w:r>
      <w:r>
        <w:t xml:space="preserve">3) </w:t>
      </w:r>
    </w:p>
    <w:p w:rsidR="00C83A3D" w:rsidRDefault="00C83A3D" w:rsidP="003D6704">
      <w:pPr>
        <w:pStyle w:val="ListBullet"/>
      </w:pPr>
      <w:r>
        <w:t>methodological changes to the assistance estimates for the R&amp;D Tax Incentive scheme (chapter</w:t>
      </w:r>
      <w:r w:rsidR="003D6704">
        <w:t> </w:t>
      </w:r>
      <w:r>
        <w:t xml:space="preserve">4). </w:t>
      </w:r>
    </w:p>
    <w:p w:rsidR="00C83A3D" w:rsidRDefault="00C83A3D" w:rsidP="003D6704">
      <w:pPr>
        <w:pStyle w:val="BodyText"/>
      </w:pPr>
      <w:r>
        <w:t>This annex is the latest in a series that provides detailed information and updates on the Commission’s assistance estimates and methodologies. Other relevant annexes, published since 2000, are listed in table</w:t>
      </w:r>
      <w:r w:rsidR="003D6704">
        <w:t> </w:t>
      </w:r>
      <w:r>
        <w:t xml:space="preserve">1.1. The Methodological Annex to the </w:t>
      </w:r>
      <w:r w:rsidRPr="00F10F98">
        <w:rPr>
          <w:i/>
        </w:rPr>
        <w:t>Trade &amp; Assistance Review 201</w:t>
      </w:r>
      <w:r>
        <w:rPr>
          <w:i/>
        </w:rPr>
        <w:t>1</w:t>
      </w:r>
      <w:r>
        <w:rPr>
          <w:i/>
        </w:rPr>
        <w:noBreakHyphen/>
        <w:t>12</w:t>
      </w:r>
      <w:r>
        <w:t xml:space="preserve">, </w:t>
      </w:r>
      <w:r w:rsidRPr="00F10F98">
        <w:rPr>
          <w:i/>
        </w:rPr>
        <w:t>Estimation Framework, Coverage and Re</w:t>
      </w:r>
      <w:r w:rsidR="003D6704">
        <w:rPr>
          <w:i/>
        </w:rPr>
        <w:noBreakHyphen/>
      </w:r>
      <w:r w:rsidRPr="00F10F98">
        <w:rPr>
          <w:i/>
        </w:rPr>
        <w:t>benchmarking of Estimates</w:t>
      </w:r>
      <w:r>
        <w:t xml:space="preserve">, contains a comprehensive benchmark listing of budgetary items included in assistance estimates. Updates to that list are notified in each subsequent annex. </w:t>
      </w:r>
    </w:p>
    <w:p w:rsidR="00C83A3D" w:rsidRDefault="00C83A3D" w:rsidP="003D6704">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C83A3D" w:rsidTr="003D6704">
        <w:trPr>
          <w:tblHeader/>
        </w:trPr>
        <w:tc>
          <w:tcPr>
            <w:tcW w:w="5000" w:type="pct"/>
            <w:tcBorders>
              <w:top w:val="single" w:sz="6" w:space="0" w:color="78A22F"/>
              <w:left w:val="nil"/>
              <w:bottom w:val="nil"/>
              <w:right w:val="nil"/>
            </w:tcBorders>
            <w:shd w:val="clear" w:color="auto" w:fill="auto"/>
          </w:tcPr>
          <w:p w:rsidR="00C83A3D" w:rsidRPr="00784A05" w:rsidRDefault="00C83A3D" w:rsidP="003D6704">
            <w:pPr>
              <w:pStyle w:val="TableTitle"/>
            </w:pPr>
            <w:r>
              <w:rPr>
                <w:b w:val="0"/>
              </w:rPr>
              <w:t>Table 1.</w:t>
            </w:r>
            <w:r>
              <w:rPr>
                <w:b w:val="0"/>
                <w:noProof/>
              </w:rPr>
              <w:t>1</w:t>
            </w:r>
            <w:r>
              <w:tab/>
            </w:r>
            <w:r w:rsidRPr="00B92BF6">
              <w:rPr>
                <w:spacing w:val="-6"/>
              </w:rPr>
              <w:t xml:space="preserve">Previous methodological annexes to </w:t>
            </w:r>
            <w:r w:rsidRPr="00B92BF6">
              <w:rPr>
                <w:i/>
                <w:spacing w:val="-6"/>
              </w:rPr>
              <w:t>Trade &amp; Assistance Review</w:t>
            </w:r>
          </w:p>
        </w:tc>
      </w:tr>
      <w:tr w:rsidR="00C83A3D" w:rsidTr="003D6704">
        <w:tc>
          <w:tcPr>
            <w:tcW w:w="5000" w:type="pct"/>
            <w:tcBorders>
              <w:top w:val="nil"/>
              <w:left w:val="nil"/>
              <w:bottom w:val="nil"/>
              <w:right w:val="nil"/>
            </w:tcBorders>
            <w:shd w:val="clear" w:color="auto" w:fill="auto"/>
          </w:tcPr>
          <w:tbl>
            <w:tblPr>
              <w:tblW w:w="8505" w:type="dxa"/>
              <w:tblCellMar>
                <w:top w:w="28" w:type="dxa"/>
                <w:left w:w="0" w:type="dxa"/>
                <w:right w:w="0" w:type="dxa"/>
              </w:tblCellMar>
              <w:tblLook w:val="0000" w:firstRow="0" w:lastRow="0" w:firstColumn="0" w:lastColumn="0" w:noHBand="0" w:noVBand="0"/>
            </w:tblPr>
            <w:tblGrid>
              <w:gridCol w:w="1701"/>
              <w:gridCol w:w="3402"/>
              <w:gridCol w:w="3402"/>
            </w:tblGrid>
            <w:tr w:rsidR="00C83A3D" w:rsidTr="003D6704">
              <w:trPr>
                <w:tblHeader/>
              </w:trPr>
              <w:tc>
                <w:tcPr>
                  <w:tcW w:w="1000" w:type="pct"/>
                  <w:tcBorders>
                    <w:top w:val="single" w:sz="6" w:space="0" w:color="BFBFBF"/>
                    <w:bottom w:val="single" w:sz="6" w:space="0" w:color="BFBFBF"/>
                  </w:tcBorders>
                  <w:shd w:val="clear" w:color="auto" w:fill="auto"/>
                  <w:tcMar>
                    <w:top w:w="28" w:type="dxa"/>
                  </w:tcMar>
                  <w:vAlign w:val="center"/>
                </w:tcPr>
                <w:p w:rsidR="00C83A3D" w:rsidRDefault="00C83A3D" w:rsidP="003D6704">
                  <w:pPr>
                    <w:pStyle w:val="TableColumnHeading"/>
                    <w:jc w:val="left"/>
                  </w:pPr>
                  <w:r>
                    <w:t>Date</w:t>
                  </w:r>
                </w:p>
              </w:tc>
              <w:tc>
                <w:tcPr>
                  <w:tcW w:w="2000" w:type="pct"/>
                  <w:tcBorders>
                    <w:top w:val="single" w:sz="6" w:space="0" w:color="BFBFBF"/>
                    <w:bottom w:val="single" w:sz="6" w:space="0" w:color="BFBFBF"/>
                  </w:tcBorders>
                  <w:shd w:val="clear" w:color="auto" w:fill="auto"/>
                  <w:tcMar>
                    <w:top w:w="28" w:type="dxa"/>
                  </w:tcMar>
                  <w:vAlign w:val="center"/>
                </w:tcPr>
                <w:p w:rsidR="00C83A3D" w:rsidRDefault="00C83A3D" w:rsidP="003D6704">
                  <w:pPr>
                    <w:pStyle w:val="TableColumnHeading"/>
                    <w:jc w:val="left"/>
                  </w:pPr>
                  <w:r>
                    <w:t>Title</w:t>
                  </w:r>
                </w:p>
              </w:tc>
              <w:tc>
                <w:tcPr>
                  <w:tcW w:w="2000" w:type="pct"/>
                  <w:tcBorders>
                    <w:top w:val="single" w:sz="6" w:space="0" w:color="BFBFBF"/>
                    <w:bottom w:val="single" w:sz="6" w:space="0" w:color="BFBFBF"/>
                  </w:tcBorders>
                  <w:shd w:val="clear" w:color="auto" w:fill="auto"/>
                  <w:tcMar>
                    <w:top w:w="28" w:type="dxa"/>
                  </w:tcMar>
                  <w:vAlign w:val="center"/>
                </w:tcPr>
                <w:p w:rsidR="00C83A3D" w:rsidRDefault="00C83A3D" w:rsidP="003D6704">
                  <w:pPr>
                    <w:pStyle w:val="TableColumnHeading"/>
                    <w:ind w:right="28"/>
                    <w:jc w:val="left"/>
                  </w:pPr>
                  <w:r>
                    <w:t>Details</w:t>
                  </w:r>
                </w:p>
              </w:tc>
            </w:tr>
            <w:tr w:rsidR="00C83A3D" w:rsidTr="003D6704">
              <w:tc>
                <w:tcPr>
                  <w:tcW w:w="1000" w:type="pct"/>
                  <w:tcBorders>
                    <w:top w:val="single" w:sz="6" w:space="0" w:color="BFBFBF"/>
                  </w:tcBorders>
                </w:tcPr>
                <w:p w:rsidR="00C83A3D" w:rsidRPr="00D773BF" w:rsidRDefault="00C83A3D" w:rsidP="000B5BB7">
                  <w:pPr>
                    <w:pStyle w:val="TableBodyText"/>
                    <w:spacing w:before="60"/>
                    <w:jc w:val="left"/>
                  </w:pPr>
                  <w:r w:rsidRPr="00D773BF">
                    <w:t>December 2000</w:t>
                  </w:r>
                </w:p>
              </w:tc>
              <w:tc>
                <w:tcPr>
                  <w:tcW w:w="2000" w:type="pct"/>
                  <w:tcBorders>
                    <w:top w:val="single" w:sz="6" w:space="0" w:color="BFBFBF"/>
                  </w:tcBorders>
                </w:tcPr>
                <w:p w:rsidR="00C83A3D" w:rsidRPr="00D773BF" w:rsidRDefault="00C83A3D" w:rsidP="000B5BB7">
                  <w:pPr>
                    <w:pStyle w:val="TableBodyText"/>
                    <w:spacing w:before="60"/>
                    <w:jc w:val="left"/>
                  </w:pPr>
                  <w:r w:rsidRPr="00D773BF">
                    <w:t xml:space="preserve">Allocating Budgetary Assistance by 27 </w:t>
                  </w:r>
                  <w:proofErr w:type="spellStart"/>
                  <w:r w:rsidRPr="00D773BF">
                    <w:t>ANZSIC</w:t>
                  </w:r>
                  <w:proofErr w:type="spellEnd"/>
                  <w:r w:rsidR="003D6704">
                    <w:noBreakHyphen/>
                  </w:r>
                  <w:r w:rsidRPr="00D773BF">
                    <w:t>based Industry Groupings</w:t>
                  </w:r>
                </w:p>
              </w:tc>
              <w:tc>
                <w:tcPr>
                  <w:tcW w:w="2000" w:type="pct"/>
                  <w:tcBorders>
                    <w:top w:val="single" w:sz="6" w:space="0" w:color="BFBFBF"/>
                  </w:tcBorders>
                </w:tcPr>
                <w:p w:rsidR="00C83A3D" w:rsidRDefault="00C83A3D" w:rsidP="000B5BB7">
                  <w:pPr>
                    <w:pStyle w:val="TableBodyText"/>
                    <w:spacing w:before="60" w:after="0"/>
                    <w:jc w:val="left"/>
                  </w:pPr>
                  <w:r w:rsidRPr="00D773BF">
                    <w:t xml:space="preserve">Methodological Annex: </w:t>
                  </w:r>
                </w:p>
                <w:p w:rsidR="00C83A3D" w:rsidRPr="00D773BF" w:rsidRDefault="00C83A3D" w:rsidP="000B5BB7">
                  <w:pPr>
                    <w:pStyle w:val="TableBodyText"/>
                    <w:jc w:val="left"/>
                  </w:pPr>
                  <w:r w:rsidRPr="00D773BF">
                    <w:t>Trade &amp; Assistance Review 1999</w:t>
                  </w:r>
                  <w:r>
                    <w:noBreakHyphen/>
                  </w:r>
                  <w:r w:rsidRPr="00D773BF">
                    <w:t>2000</w:t>
                  </w:r>
                </w:p>
              </w:tc>
            </w:tr>
            <w:tr w:rsidR="00C83A3D" w:rsidTr="003D6704">
              <w:tc>
                <w:tcPr>
                  <w:tcW w:w="1000" w:type="pct"/>
                </w:tcPr>
                <w:p w:rsidR="00C83A3D" w:rsidRPr="00D773BF" w:rsidRDefault="00C83A3D" w:rsidP="000B5BB7">
                  <w:pPr>
                    <w:pStyle w:val="TableBodyText"/>
                    <w:spacing w:before="60"/>
                    <w:jc w:val="left"/>
                  </w:pPr>
                  <w:r w:rsidRPr="00D773BF">
                    <w:t>December 2002</w:t>
                  </w:r>
                </w:p>
              </w:tc>
              <w:tc>
                <w:tcPr>
                  <w:tcW w:w="2000" w:type="pct"/>
                </w:tcPr>
                <w:p w:rsidR="00C83A3D" w:rsidRPr="00D773BF" w:rsidRDefault="00C83A3D" w:rsidP="000B5BB7">
                  <w:pPr>
                    <w:pStyle w:val="TableBodyText"/>
                    <w:spacing w:before="60"/>
                    <w:jc w:val="left"/>
                  </w:pPr>
                  <w:r w:rsidRPr="00D773BF">
                    <w:t>The Commission’s Assistance Measurement System</w:t>
                  </w:r>
                </w:p>
              </w:tc>
              <w:tc>
                <w:tcPr>
                  <w:tcW w:w="2000" w:type="pct"/>
                </w:tcPr>
                <w:p w:rsidR="00C83A3D" w:rsidRDefault="00C83A3D" w:rsidP="000B5BB7">
                  <w:pPr>
                    <w:pStyle w:val="TableBodyText"/>
                    <w:spacing w:before="60"/>
                    <w:jc w:val="left"/>
                  </w:pPr>
                  <w:r w:rsidRPr="00D773BF">
                    <w:t xml:space="preserve">Methodological Annex A: </w:t>
                  </w:r>
                </w:p>
                <w:p w:rsidR="00C83A3D" w:rsidRPr="00D773BF" w:rsidRDefault="00C83A3D" w:rsidP="000B5BB7">
                  <w:pPr>
                    <w:pStyle w:val="TableBodyText"/>
                    <w:jc w:val="left"/>
                  </w:pPr>
                  <w:r w:rsidRPr="00D773BF">
                    <w:t>Trade &amp; Assistance Review 2001</w:t>
                  </w:r>
                  <w:r>
                    <w:noBreakHyphen/>
                  </w:r>
                  <w:r w:rsidRPr="00D773BF">
                    <w:t>02</w:t>
                  </w:r>
                </w:p>
              </w:tc>
            </w:tr>
            <w:tr w:rsidR="00C83A3D" w:rsidTr="003D6704">
              <w:tc>
                <w:tcPr>
                  <w:tcW w:w="1000" w:type="pct"/>
                </w:tcPr>
                <w:p w:rsidR="00C83A3D" w:rsidRPr="00D773BF" w:rsidRDefault="00C83A3D" w:rsidP="000B5BB7">
                  <w:pPr>
                    <w:pStyle w:val="TableBodyText"/>
                    <w:spacing w:before="60"/>
                    <w:jc w:val="left"/>
                  </w:pPr>
                  <w:r w:rsidRPr="00D773BF">
                    <w:lastRenderedPageBreak/>
                    <w:t>December 2002</w:t>
                  </w:r>
                </w:p>
              </w:tc>
              <w:tc>
                <w:tcPr>
                  <w:tcW w:w="2000" w:type="pct"/>
                </w:tcPr>
                <w:p w:rsidR="00C83A3D" w:rsidRPr="00D773BF" w:rsidRDefault="00C83A3D" w:rsidP="000B5BB7">
                  <w:pPr>
                    <w:pStyle w:val="TableBodyText"/>
                    <w:spacing w:before="60"/>
                    <w:jc w:val="left"/>
                  </w:pPr>
                  <w:r w:rsidRPr="00D773BF">
                    <w:t xml:space="preserve">Allocating Budgetary Assistance to Primary Production by 10 </w:t>
                  </w:r>
                  <w:proofErr w:type="spellStart"/>
                  <w:r w:rsidRPr="00D773BF">
                    <w:t>ANZSIC</w:t>
                  </w:r>
                  <w:proofErr w:type="spellEnd"/>
                  <w:r w:rsidR="003D6704">
                    <w:noBreakHyphen/>
                  </w:r>
                  <w:r w:rsidRPr="00D773BF">
                    <w:t>based Industry Groupings</w:t>
                  </w:r>
                </w:p>
              </w:tc>
              <w:tc>
                <w:tcPr>
                  <w:tcW w:w="2000" w:type="pct"/>
                </w:tcPr>
                <w:p w:rsidR="00C83A3D" w:rsidRDefault="00C83A3D" w:rsidP="000B5BB7">
                  <w:pPr>
                    <w:pStyle w:val="TableBodyText"/>
                    <w:spacing w:before="60" w:after="0"/>
                    <w:jc w:val="left"/>
                  </w:pPr>
                  <w:r w:rsidRPr="00D773BF">
                    <w:t>Methodological Annex B:</w:t>
                  </w:r>
                  <w:r>
                    <w:t xml:space="preserve"> </w:t>
                  </w:r>
                </w:p>
                <w:p w:rsidR="00C83A3D" w:rsidRPr="00D773BF" w:rsidRDefault="00C83A3D" w:rsidP="000B5BB7">
                  <w:pPr>
                    <w:pStyle w:val="TableBodyText"/>
                    <w:jc w:val="left"/>
                  </w:pPr>
                  <w:r w:rsidRPr="00D773BF">
                    <w:t>Trade &amp; Assistance Review 2001</w:t>
                  </w:r>
                  <w:r>
                    <w:noBreakHyphen/>
                  </w:r>
                  <w:r w:rsidRPr="00D773BF">
                    <w:t>02</w:t>
                  </w:r>
                </w:p>
              </w:tc>
            </w:tr>
            <w:tr w:rsidR="00C83A3D" w:rsidTr="003D6704">
              <w:tc>
                <w:tcPr>
                  <w:tcW w:w="1000" w:type="pct"/>
                </w:tcPr>
                <w:p w:rsidR="00C83A3D" w:rsidRPr="00D773BF" w:rsidRDefault="00C83A3D" w:rsidP="000B5BB7">
                  <w:pPr>
                    <w:pStyle w:val="TableBodyText"/>
                    <w:spacing w:before="60"/>
                    <w:jc w:val="left"/>
                  </w:pPr>
                  <w:r w:rsidRPr="00D773BF">
                    <w:t>June 2006</w:t>
                  </w:r>
                </w:p>
              </w:tc>
              <w:tc>
                <w:tcPr>
                  <w:tcW w:w="2000" w:type="pct"/>
                </w:tcPr>
                <w:p w:rsidR="00C83A3D" w:rsidRPr="00D773BF" w:rsidRDefault="00C83A3D" w:rsidP="000B5BB7">
                  <w:pPr>
                    <w:pStyle w:val="TableBodyText"/>
                    <w:spacing w:before="60"/>
                    <w:jc w:val="left"/>
                  </w:pPr>
                  <w:r w:rsidRPr="00D773BF">
                    <w:t>Allocating Budgetary Assistance by Industry Groupings: Recent Revisions</w:t>
                  </w:r>
                </w:p>
              </w:tc>
              <w:tc>
                <w:tcPr>
                  <w:tcW w:w="2000" w:type="pct"/>
                </w:tcPr>
                <w:p w:rsidR="00C83A3D" w:rsidRDefault="00C83A3D" w:rsidP="000B5BB7">
                  <w:pPr>
                    <w:pStyle w:val="TableBodyText"/>
                    <w:spacing w:before="60" w:after="0"/>
                    <w:jc w:val="left"/>
                  </w:pPr>
                  <w:r w:rsidRPr="00D773BF">
                    <w:t xml:space="preserve">Methodological Annex: </w:t>
                  </w:r>
                </w:p>
                <w:p w:rsidR="00C83A3D" w:rsidRPr="00D773BF" w:rsidRDefault="00C83A3D" w:rsidP="000B5BB7">
                  <w:pPr>
                    <w:pStyle w:val="TableBodyText"/>
                    <w:jc w:val="left"/>
                  </w:pPr>
                  <w:r w:rsidRPr="00D773BF">
                    <w:t>Trade &amp; Assistance Review 2004</w:t>
                  </w:r>
                  <w:r>
                    <w:noBreakHyphen/>
                  </w:r>
                  <w:r w:rsidRPr="00D773BF">
                    <w:t>05</w:t>
                  </w:r>
                </w:p>
              </w:tc>
            </w:tr>
            <w:tr w:rsidR="00C83A3D" w:rsidTr="003D6704">
              <w:tc>
                <w:tcPr>
                  <w:tcW w:w="1000" w:type="pct"/>
                </w:tcPr>
                <w:p w:rsidR="00C83A3D" w:rsidRPr="00720F49" w:rsidRDefault="00C83A3D" w:rsidP="000B5BB7">
                  <w:pPr>
                    <w:pStyle w:val="TableBodyText"/>
                    <w:spacing w:before="60"/>
                    <w:jc w:val="left"/>
                  </w:pPr>
                  <w:r w:rsidRPr="00720F49">
                    <w:t>December 2008</w:t>
                  </w:r>
                </w:p>
              </w:tc>
              <w:tc>
                <w:tcPr>
                  <w:tcW w:w="2000" w:type="pct"/>
                </w:tcPr>
                <w:p w:rsidR="00C83A3D" w:rsidRPr="005B1232" w:rsidRDefault="00C83A3D" w:rsidP="000B5BB7">
                  <w:pPr>
                    <w:pStyle w:val="TableBodyText"/>
                    <w:spacing w:before="60"/>
                    <w:jc w:val="left"/>
                  </w:pPr>
                  <w:r w:rsidRPr="005B1232">
                    <w:t>The ‘2001 02’ series of assistance estimates</w:t>
                  </w:r>
                </w:p>
              </w:tc>
              <w:tc>
                <w:tcPr>
                  <w:tcW w:w="2000" w:type="pct"/>
                </w:tcPr>
                <w:p w:rsidR="00C83A3D" w:rsidRDefault="00C83A3D" w:rsidP="000B5BB7">
                  <w:pPr>
                    <w:pStyle w:val="TableBodyText"/>
                    <w:spacing w:before="60" w:after="0"/>
                    <w:jc w:val="left"/>
                  </w:pPr>
                  <w:r w:rsidRPr="00D773BF">
                    <w:t xml:space="preserve">Methodological Annex: </w:t>
                  </w:r>
                </w:p>
                <w:p w:rsidR="00C83A3D" w:rsidRPr="00D773BF" w:rsidRDefault="00C83A3D" w:rsidP="000B5BB7">
                  <w:pPr>
                    <w:pStyle w:val="TableBodyText"/>
                    <w:ind w:right="28"/>
                    <w:jc w:val="left"/>
                  </w:pPr>
                  <w:r w:rsidRPr="00D773BF">
                    <w:t>Trade &amp; Assistance Review 200</w:t>
                  </w:r>
                  <w:r>
                    <w:t>5</w:t>
                  </w:r>
                  <w:r>
                    <w:noBreakHyphen/>
                  </w:r>
                  <w:r w:rsidRPr="00D773BF">
                    <w:t>0</w:t>
                  </w:r>
                  <w:r>
                    <w:t>6 and 2006</w:t>
                  </w:r>
                  <w:r>
                    <w:noBreakHyphen/>
                    <w:t>07</w:t>
                  </w:r>
                </w:p>
              </w:tc>
            </w:tr>
            <w:tr w:rsidR="00C83A3D" w:rsidTr="003D6704">
              <w:tc>
                <w:tcPr>
                  <w:tcW w:w="1000" w:type="pct"/>
                </w:tcPr>
                <w:p w:rsidR="00C83A3D" w:rsidRPr="00720F49" w:rsidRDefault="00C83A3D" w:rsidP="000B5BB7">
                  <w:pPr>
                    <w:pStyle w:val="TableBodyText"/>
                    <w:spacing w:before="60"/>
                    <w:jc w:val="left"/>
                  </w:pPr>
                  <w:r w:rsidRPr="00720F49">
                    <w:t>December 2011</w:t>
                  </w:r>
                </w:p>
              </w:tc>
              <w:tc>
                <w:tcPr>
                  <w:tcW w:w="2000" w:type="pct"/>
                </w:tcPr>
                <w:p w:rsidR="00C83A3D" w:rsidRPr="005B1232" w:rsidRDefault="00C83A3D" w:rsidP="000B5BB7">
                  <w:pPr>
                    <w:pStyle w:val="TableBodyText"/>
                    <w:spacing w:before="60"/>
                    <w:jc w:val="left"/>
                  </w:pPr>
                  <w:r w:rsidRPr="005B1232">
                    <w:t>Methodological Annex: for Reviews Commencing 2008 09</w:t>
                  </w:r>
                </w:p>
              </w:tc>
              <w:tc>
                <w:tcPr>
                  <w:tcW w:w="2000" w:type="pct"/>
                </w:tcPr>
                <w:p w:rsidR="00C83A3D" w:rsidRDefault="00C83A3D" w:rsidP="000B5BB7">
                  <w:pPr>
                    <w:pStyle w:val="TableBodyText"/>
                    <w:spacing w:before="60" w:after="0"/>
                    <w:jc w:val="left"/>
                  </w:pPr>
                  <w:r w:rsidRPr="00D773BF">
                    <w:t xml:space="preserve">Methodological Annex: </w:t>
                  </w:r>
                </w:p>
                <w:p w:rsidR="00C83A3D" w:rsidRDefault="00C83A3D" w:rsidP="000B5BB7">
                  <w:pPr>
                    <w:pStyle w:val="TableBodyText"/>
                    <w:jc w:val="left"/>
                  </w:pPr>
                  <w:r w:rsidRPr="00D773BF">
                    <w:t>Trade &amp; Assistance Review 200</w:t>
                  </w:r>
                  <w:r>
                    <w:t>8</w:t>
                  </w:r>
                  <w:r>
                    <w:noBreakHyphen/>
                  </w:r>
                  <w:r w:rsidRPr="00D773BF">
                    <w:t>0</w:t>
                  </w:r>
                  <w:r>
                    <w:t>9</w:t>
                  </w:r>
                </w:p>
              </w:tc>
            </w:tr>
            <w:tr w:rsidR="00C83A3D" w:rsidTr="003D6704">
              <w:tc>
                <w:tcPr>
                  <w:tcW w:w="1000" w:type="pct"/>
                </w:tcPr>
                <w:p w:rsidR="00C83A3D" w:rsidRPr="00720F49" w:rsidRDefault="00C83A3D" w:rsidP="000B5BB7">
                  <w:pPr>
                    <w:pStyle w:val="TableBodyText"/>
                    <w:spacing w:before="60"/>
                    <w:jc w:val="left"/>
                  </w:pPr>
                  <w:r w:rsidRPr="00720F49">
                    <w:t>June 2012</w:t>
                  </w:r>
                </w:p>
              </w:tc>
              <w:tc>
                <w:tcPr>
                  <w:tcW w:w="2000" w:type="pct"/>
                </w:tcPr>
                <w:p w:rsidR="00C83A3D" w:rsidRPr="005B1232" w:rsidRDefault="00C83A3D" w:rsidP="000B5BB7">
                  <w:pPr>
                    <w:pStyle w:val="TableBodyText"/>
                    <w:spacing w:before="60"/>
                    <w:jc w:val="left"/>
                  </w:pPr>
                  <w:r w:rsidRPr="005B1232">
                    <w:t>Changes to the Commission’s Assistance Estimates</w:t>
                  </w:r>
                </w:p>
              </w:tc>
              <w:tc>
                <w:tcPr>
                  <w:tcW w:w="2000" w:type="pct"/>
                </w:tcPr>
                <w:p w:rsidR="00C83A3D" w:rsidRDefault="00C83A3D" w:rsidP="000B5BB7">
                  <w:pPr>
                    <w:pStyle w:val="TableBodyText"/>
                    <w:spacing w:before="60" w:after="0"/>
                    <w:jc w:val="left"/>
                  </w:pPr>
                  <w:r w:rsidRPr="00D773BF">
                    <w:t xml:space="preserve">Methodological Annex: </w:t>
                  </w:r>
                </w:p>
                <w:p w:rsidR="00C83A3D" w:rsidRDefault="00C83A3D" w:rsidP="000B5BB7">
                  <w:pPr>
                    <w:pStyle w:val="TableBodyText"/>
                    <w:jc w:val="left"/>
                  </w:pPr>
                  <w:r w:rsidRPr="00D773BF">
                    <w:t>Trade &amp; Assistance Review 20</w:t>
                  </w:r>
                  <w:r>
                    <w:t>10</w:t>
                  </w:r>
                  <w:r>
                    <w:noBreakHyphen/>
                    <w:t>11</w:t>
                  </w:r>
                </w:p>
              </w:tc>
            </w:tr>
            <w:tr w:rsidR="00C83A3D" w:rsidTr="003D6704">
              <w:tc>
                <w:tcPr>
                  <w:tcW w:w="1000" w:type="pct"/>
                </w:tcPr>
                <w:p w:rsidR="00C83A3D" w:rsidRPr="00720F49" w:rsidRDefault="00C83A3D" w:rsidP="000B5BB7">
                  <w:pPr>
                    <w:pStyle w:val="TableBodyText"/>
                    <w:spacing w:before="60"/>
                    <w:jc w:val="left"/>
                  </w:pPr>
                  <w:r w:rsidRPr="00720F49">
                    <w:t>February 2014</w:t>
                  </w:r>
                </w:p>
              </w:tc>
              <w:tc>
                <w:tcPr>
                  <w:tcW w:w="2000" w:type="pct"/>
                </w:tcPr>
                <w:p w:rsidR="00C83A3D" w:rsidRPr="005B1232" w:rsidRDefault="00C83A3D" w:rsidP="000B5BB7">
                  <w:pPr>
                    <w:pStyle w:val="TableBodyText"/>
                    <w:spacing w:before="60"/>
                    <w:jc w:val="left"/>
                  </w:pPr>
                  <w:r w:rsidRPr="005B1232">
                    <w:t>Estimation Framework, Coverage and Re</w:t>
                  </w:r>
                  <w:r w:rsidR="003D6704">
                    <w:noBreakHyphen/>
                  </w:r>
                  <w:r w:rsidRPr="005B1232">
                    <w:t>benchmarking of Estimates</w:t>
                  </w:r>
                </w:p>
              </w:tc>
              <w:tc>
                <w:tcPr>
                  <w:tcW w:w="2000" w:type="pct"/>
                </w:tcPr>
                <w:p w:rsidR="00C83A3D" w:rsidRDefault="00C83A3D" w:rsidP="000B5BB7">
                  <w:pPr>
                    <w:pStyle w:val="TableBodyText"/>
                    <w:spacing w:before="60" w:after="0"/>
                    <w:jc w:val="left"/>
                  </w:pPr>
                  <w:r w:rsidRPr="00D773BF">
                    <w:t xml:space="preserve">Methodological Annex: </w:t>
                  </w:r>
                </w:p>
                <w:p w:rsidR="00C83A3D" w:rsidRDefault="00C83A3D" w:rsidP="000B5BB7">
                  <w:pPr>
                    <w:pStyle w:val="TableBodyText"/>
                    <w:ind w:right="28"/>
                    <w:jc w:val="left"/>
                  </w:pPr>
                  <w:r w:rsidRPr="00D773BF">
                    <w:t>Trade &amp; Assistance Review 20</w:t>
                  </w:r>
                  <w:r>
                    <w:t>11</w:t>
                  </w:r>
                  <w:r>
                    <w:noBreakHyphen/>
                    <w:t>12</w:t>
                  </w:r>
                </w:p>
              </w:tc>
            </w:tr>
            <w:tr w:rsidR="00C83A3D" w:rsidTr="003D6704">
              <w:tc>
                <w:tcPr>
                  <w:tcW w:w="1000" w:type="pct"/>
                </w:tcPr>
                <w:p w:rsidR="00C83A3D" w:rsidRDefault="00C83A3D" w:rsidP="000B5BB7">
                  <w:pPr>
                    <w:pStyle w:val="TableBodyText"/>
                    <w:spacing w:before="60"/>
                    <w:jc w:val="left"/>
                  </w:pPr>
                  <w:r w:rsidRPr="00720F49">
                    <w:t>October 2014</w:t>
                  </w:r>
                </w:p>
              </w:tc>
              <w:tc>
                <w:tcPr>
                  <w:tcW w:w="2000" w:type="pct"/>
                </w:tcPr>
                <w:p w:rsidR="00C83A3D" w:rsidRDefault="00C83A3D" w:rsidP="000B5BB7">
                  <w:pPr>
                    <w:pStyle w:val="TableBodyText"/>
                    <w:spacing w:before="60"/>
                    <w:jc w:val="left"/>
                  </w:pPr>
                  <w:r w:rsidRPr="005B1232">
                    <w:t>Changes to the Commission’s Assistance Estimates</w:t>
                  </w:r>
                </w:p>
              </w:tc>
              <w:tc>
                <w:tcPr>
                  <w:tcW w:w="2000" w:type="pct"/>
                </w:tcPr>
                <w:p w:rsidR="00C83A3D" w:rsidRDefault="00C83A3D" w:rsidP="000B5BB7">
                  <w:pPr>
                    <w:pStyle w:val="TableBodyText"/>
                    <w:spacing w:before="60" w:after="0"/>
                    <w:jc w:val="left"/>
                  </w:pPr>
                  <w:r w:rsidRPr="00D773BF">
                    <w:t xml:space="preserve">Methodological Annex: </w:t>
                  </w:r>
                </w:p>
                <w:p w:rsidR="00C83A3D" w:rsidRDefault="00C83A3D" w:rsidP="000B5BB7">
                  <w:pPr>
                    <w:pStyle w:val="TableBodyText"/>
                    <w:ind w:right="28"/>
                    <w:jc w:val="left"/>
                  </w:pPr>
                  <w:r w:rsidRPr="00D773BF">
                    <w:t>Trade &amp; Assistance Review 20</w:t>
                  </w:r>
                  <w:r>
                    <w:t>12</w:t>
                  </w:r>
                  <w:r>
                    <w:noBreakHyphen/>
                    <w:t>13</w:t>
                  </w:r>
                </w:p>
              </w:tc>
            </w:tr>
            <w:tr w:rsidR="00C83A3D" w:rsidTr="003D6704">
              <w:tc>
                <w:tcPr>
                  <w:tcW w:w="1000" w:type="pct"/>
                </w:tcPr>
                <w:p w:rsidR="00C83A3D" w:rsidRDefault="00C83A3D" w:rsidP="000B5BB7">
                  <w:pPr>
                    <w:pStyle w:val="TableBodyText"/>
                    <w:spacing w:before="60"/>
                    <w:jc w:val="left"/>
                  </w:pPr>
                  <w:r>
                    <w:t>November 2015</w:t>
                  </w:r>
                </w:p>
              </w:tc>
              <w:tc>
                <w:tcPr>
                  <w:tcW w:w="2000" w:type="pct"/>
                </w:tcPr>
                <w:p w:rsidR="00C83A3D" w:rsidRDefault="00C83A3D" w:rsidP="000B5BB7">
                  <w:pPr>
                    <w:pStyle w:val="TableBodyText"/>
                    <w:spacing w:before="60"/>
                    <w:jc w:val="left"/>
                  </w:pPr>
                  <w:r>
                    <w:t>Changes to the Commission’s Assistance Estimates</w:t>
                  </w:r>
                </w:p>
              </w:tc>
              <w:tc>
                <w:tcPr>
                  <w:tcW w:w="2000" w:type="pct"/>
                </w:tcPr>
                <w:p w:rsidR="00C83A3D" w:rsidRDefault="00C83A3D" w:rsidP="000B5BB7">
                  <w:pPr>
                    <w:pStyle w:val="TableBodyText"/>
                    <w:spacing w:before="60" w:after="0"/>
                    <w:jc w:val="left"/>
                  </w:pPr>
                  <w:r w:rsidRPr="00D773BF">
                    <w:t xml:space="preserve">Methodological Annex: </w:t>
                  </w:r>
                </w:p>
                <w:p w:rsidR="00C83A3D" w:rsidRDefault="00C83A3D" w:rsidP="000B5BB7">
                  <w:pPr>
                    <w:pStyle w:val="TableBodyText"/>
                    <w:ind w:right="28"/>
                    <w:jc w:val="left"/>
                  </w:pPr>
                  <w:r w:rsidRPr="00D773BF">
                    <w:t>Trade &amp; Assistance Review 20</w:t>
                  </w:r>
                  <w:r>
                    <w:t>13</w:t>
                  </w:r>
                  <w:r>
                    <w:noBreakHyphen/>
                    <w:t>14</w:t>
                  </w:r>
                </w:p>
              </w:tc>
            </w:tr>
            <w:tr w:rsidR="00C83A3D" w:rsidTr="003D6704">
              <w:tc>
                <w:tcPr>
                  <w:tcW w:w="1000" w:type="pct"/>
                  <w:tcBorders>
                    <w:bottom w:val="single" w:sz="6" w:space="0" w:color="BFBFBF"/>
                  </w:tcBorders>
                  <w:shd w:val="clear" w:color="auto" w:fill="auto"/>
                </w:tcPr>
                <w:p w:rsidR="00C83A3D" w:rsidRDefault="00C83A3D" w:rsidP="000B5BB7">
                  <w:pPr>
                    <w:pStyle w:val="TableBodyText"/>
                    <w:spacing w:before="60"/>
                    <w:jc w:val="left"/>
                  </w:pPr>
                  <w:r>
                    <w:t>October 2017</w:t>
                  </w:r>
                </w:p>
              </w:tc>
              <w:tc>
                <w:tcPr>
                  <w:tcW w:w="2000" w:type="pct"/>
                  <w:tcBorders>
                    <w:bottom w:val="single" w:sz="6" w:space="0" w:color="BFBFBF"/>
                  </w:tcBorders>
                  <w:shd w:val="clear" w:color="auto" w:fill="auto"/>
                </w:tcPr>
                <w:p w:rsidR="00C83A3D" w:rsidRDefault="00C83A3D" w:rsidP="000B5BB7">
                  <w:pPr>
                    <w:pStyle w:val="TableBodyText"/>
                    <w:spacing w:before="60"/>
                    <w:jc w:val="left"/>
                  </w:pPr>
                  <w:r w:rsidRPr="005B1232">
                    <w:t>Estimation Framework, Coverage and Re</w:t>
                  </w:r>
                  <w:r w:rsidR="003D6704">
                    <w:noBreakHyphen/>
                  </w:r>
                  <w:r w:rsidRPr="005B1232">
                    <w:t>benchmarking of Estimates</w:t>
                  </w:r>
                </w:p>
              </w:tc>
              <w:tc>
                <w:tcPr>
                  <w:tcW w:w="2000" w:type="pct"/>
                  <w:tcBorders>
                    <w:bottom w:val="single" w:sz="6" w:space="0" w:color="BFBFBF"/>
                  </w:tcBorders>
                  <w:shd w:val="clear" w:color="auto" w:fill="auto"/>
                </w:tcPr>
                <w:p w:rsidR="00C83A3D" w:rsidRDefault="00C83A3D" w:rsidP="000B5BB7">
                  <w:pPr>
                    <w:pStyle w:val="TableBodyText"/>
                    <w:spacing w:before="60" w:after="0"/>
                    <w:jc w:val="left"/>
                  </w:pPr>
                  <w:r w:rsidRPr="00D773BF">
                    <w:t xml:space="preserve">Methodological Annex: </w:t>
                  </w:r>
                </w:p>
                <w:p w:rsidR="00C83A3D" w:rsidRDefault="00C83A3D" w:rsidP="000B5BB7">
                  <w:pPr>
                    <w:pStyle w:val="TableBodyText"/>
                    <w:ind w:right="28"/>
                    <w:jc w:val="left"/>
                  </w:pPr>
                  <w:r w:rsidRPr="00D773BF">
                    <w:t>Trade &amp; Assistance Review 20</w:t>
                  </w:r>
                  <w:r>
                    <w:t>15</w:t>
                  </w:r>
                  <w:r>
                    <w:noBreakHyphen/>
                    <w:t>16</w:t>
                  </w:r>
                </w:p>
              </w:tc>
            </w:tr>
          </w:tbl>
          <w:p w:rsidR="00C83A3D" w:rsidRDefault="00C83A3D" w:rsidP="003D6704">
            <w:pPr>
              <w:pStyle w:val="Box"/>
            </w:pPr>
          </w:p>
        </w:tc>
      </w:tr>
      <w:tr w:rsidR="00C83A3D" w:rsidTr="003D6704">
        <w:tc>
          <w:tcPr>
            <w:tcW w:w="5000" w:type="pct"/>
            <w:tcBorders>
              <w:top w:val="nil"/>
              <w:left w:val="nil"/>
              <w:bottom w:val="nil"/>
              <w:right w:val="nil"/>
            </w:tcBorders>
            <w:shd w:val="clear" w:color="auto" w:fill="auto"/>
          </w:tcPr>
          <w:p w:rsidR="00C83A3D" w:rsidRDefault="00C83A3D" w:rsidP="003D6704">
            <w:pPr>
              <w:pStyle w:val="Source"/>
            </w:pPr>
            <w:r>
              <w:rPr>
                <w:i/>
              </w:rPr>
              <w:lastRenderedPageBreak/>
              <w:t>Source</w:t>
            </w:r>
            <w:r w:rsidRPr="00167F06">
              <w:t>:</w:t>
            </w:r>
            <w:r>
              <w:t xml:space="preserve"> </w:t>
            </w:r>
            <w:proofErr w:type="spellStart"/>
            <w:r w:rsidRPr="000343CD">
              <w:t>www.pc.gov.au</w:t>
            </w:r>
            <w:proofErr w:type="spellEnd"/>
            <w:r w:rsidRPr="000343CD">
              <w:t>/research/ongoing/trade</w:t>
            </w:r>
            <w:r w:rsidR="003D6704">
              <w:noBreakHyphen/>
            </w:r>
            <w:r w:rsidRPr="000343CD">
              <w:t>assistance</w:t>
            </w:r>
            <w:r>
              <w:t>.</w:t>
            </w:r>
          </w:p>
        </w:tc>
      </w:tr>
      <w:tr w:rsidR="00C83A3D" w:rsidTr="003D6704">
        <w:tc>
          <w:tcPr>
            <w:tcW w:w="5000" w:type="pct"/>
            <w:tcBorders>
              <w:top w:val="nil"/>
              <w:left w:val="nil"/>
              <w:bottom w:val="single" w:sz="6" w:space="0" w:color="78A22F"/>
              <w:right w:val="nil"/>
            </w:tcBorders>
            <w:shd w:val="clear" w:color="auto" w:fill="auto"/>
          </w:tcPr>
          <w:p w:rsidR="00C83A3D" w:rsidRDefault="00C83A3D" w:rsidP="003D6704">
            <w:pPr>
              <w:pStyle w:val="Box"/>
              <w:spacing w:before="0" w:line="120" w:lineRule="exact"/>
            </w:pPr>
          </w:p>
        </w:tc>
      </w:tr>
      <w:tr w:rsidR="00C83A3D" w:rsidRPr="000863A5" w:rsidTr="003D6704">
        <w:tc>
          <w:tcPr>
            <w:tcW w:w="5000" w:type="pct"/>
            <w:tcBorders>
              <w:top w:val="single" w:sz="6" w:space="0" w:color="78A22F"/>
              <w:left w:val="nil"/>
              <w:bottom w:val="nil"/>
              <w:right w:val="nil"/>
            </w:tcBorders>
          </w:tcPr>
          <w:p w:rsidR="00C83A3D" w:rsidRPr="00626D32" w:rsidRDefault="00C83A3D" w:rsidP="003D6704">
            <w:pPr>
              <w:pStyle w:val="BoxSpaceBelow"/>
            </w:pPr>
          </w:p>
        </w:tc>
      </w:tr>
    </w:tbl>
    <w:p w:rsidR="00C83A3D" w:rsidRDefault="00C83A3D" w:rsidP="00120072">
      <w:pPr>
        <w:pStyle w:val="BodyText"/>
      </w:pPr>
      <w:r w:rsidRPr="000343CD">
        <w:t xml:space="preserve">A full list of the Commission’s </w:t>
      </w:r>
      <w:r w:rsidRPr="000343CD">
        <w:rPr>
          <w:i/>
        </w:rPr>
        <w:t>Trade &amp; Assistance Reviews</w:t>
      </w:r>
      <w:r w:rsidRPr="000343CD">
        <w:t xml:space="preserve"> can be found at http://</w:t>
      </w:r>
      <w:proofErr w:type="spellStart"/>
      <w:r w:rsidRPr="000343CD">
        <w:t>www.pc.gov.au</w:t>
      </w:r>
      <w:proofErr w:type="spellEnd"/>
      <w:r w:rsidRPr="000343CD">
        <w:t>/research/ongoing/trade</w:t>
      </w:r>
      <w:r w:rsidR="003D6704">
        <w:noBreakHyphen/>
      </w:r>
      <w:r w:rsidRPr="000343CD">
        <w:t>assistance.</w:t>
      </w:r>
      <w:r>
        <w:t xml:space="preserve"> </w:t>
      </w:r>
    </w:p>
    <w:p w:rsidR="00C83A3D" w:rsidRDefault="00C83A3D" w:rsidP="00120072">
      <w:pPr>
        <w:pStyle w:val="BodyText"/>
      </w:pPr>
    </w:p>
    <w:p w:rsidR="00C83A3D" w:rsidRDefault="00C83A3D" w:rsidP="00C83A3D">
      <w:pPr>
        <w:sectPr w:rsidR="00C83A3D" w:rsidSect="00BB507B">
          <w:headerReference w:type="even" r:id="rId17"/>
          <w:headerReference w:type="default" r:id="rId18"/>
          <w:footerReference w:type="even" r:id="rId19"/>
          <w:footerReference w:type="default" r:id="rId20"/>
          <w:pgSz w:w="11907" w:h="16840" w:code="9"/>
          <w:pgMar w:top="1985" w:right="1304" w:bottom="1247" w:left="1814" w:header="1701" w:footer="397" w:gutter="0"/>
          <w:pgNumType w:start="1" w:chapSep="period"/>
          <w:cols w:space="720"/>
          <w:docGrid w:linePitch="326"/>
        </w:sectPr>
      </w:pPr>
    </w:p>
    <w:p w:rsidR="00C83A3D" w:rsidRDefault="00C83A3D" w:rsidP="003D6704">
      <w:pPr>
        <w:pStyle w:val="Heading1"/>
        <w:spacing w:before="0"/>
      </w:pPr>
      <w:r>
        <w:lastRenderedPageBreak/>
        <w:t>2</w:t>
      </w:r>
      <w:r>
        <w:tab/>
        <w:t>Programs added to the assistance estimates in 2016</w:t>
      </w:r>
      <w:r>
        <w:rPr>
          <w:rFonts w:ascii="Cambria Math" w:hAnsi="Cambria Math" w:cs="Cambria Math"/>
        </w:rPr>
        <w:t>‑</w:t>
      </w:r>
      <w:r>
        <w:t>17</w:t>
      </w:r>
    </w:p>
    <w:p w:rsidR="00C83A3D" w:rsidRDefault="00C83A3D" w:rsidP="003D6704">
      <w:pPr>
        <w:pStyle w:val="BodyText"/>
        <w:keepNext/>
        <w:keepLines/>
      </w:pPr>
      <w:r w:rsidRPr="007E004B">
        <w:t xml:space="preserve">This chapter describes Australian Government budgetary programs, including both new and existing programs, added to the assistance estimates for </w:t>
      </w:r>
      <w:r w:rsidRPr="00340038">
        <w:rPr>
          <w:i/>
        </w:rPr>
        <w:t>Trade &amp; Assistance Review 2016</w:t>
      </w:r>
      <w:r w:rsidRPr="00340038">
        <w:rPr>
          <w:i/>
        </w:rPr>
        <w:noBreakHyphen/>
        <w:t>17</w:t>
      </w:r>
      <w:r w:rsidRPr="007E004B">
        <w:t>. Table</w:t>
      </w:r>
      <w:r w:rsidR="003D6704">
        <w:t> </w:t>
      </w:r>
      <w:r w:rsidRPr="007E004B">
        <w:t>2.1 lists these measures.</w:t>
      </w:r>
    </w:p>
    <w:p w:rsidR="00C83A3D" w:rsidRDefault="00C83A3D" w:rsidP="003D6704">
      <w:pPr>
        <w:pStyle w:val="BoxSpaceAbove"/>
        <w:keepLines/>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C83A3D" w:rsidTr="003D6704">
        <w:trPr>
          <w:tblHeader/>
        </w:trPr>
        <w:tc>
          <w:tcPr>
            <w:tcW w:w="5000" w:type="pct"/>
            <w:tcBorders>
              <w:top w:val="single" w:sz="6" w:space="0" w:color="78A22F"/>
              <w:left w:val="nil"/>
              <w:bottom w:val="nil"/>
              <w:right w:val="nil"/>
            </w:tcBorders>
            <w:shd w:val="clear" w:color="auto" w:fill="auto"/>
          </w:tcPr>
          <w:p w:rsidR="00C83A3D" w:rsidRPr="00784A05" w:rsidRDefault="00C83A3D" w:rsidP="003D6704">
            <w:pPr>
              <w:pStyle w:val="TableTitle"/>
            </w:pPr>
            <w:r>
              <w:rPr>
                <w:b w:val="0"/>
              </w:rPr>
              <w:t>Table 2.</w:t>
            </w:r>
            <w:r>
              <w:rPr>
                <w:b w:val="0"/>
                <w:noProof/>
              </w:rPr>
              <w:t>1</w:t>
            </w:r>
            <w:r>
              <w:tab/>
              <w:t xml:space="preserve">Budgetary measures added to the assistance estimates for </w:t>
            </w:r>
            <w:r w:rsidRPr="00340038">
              <w:rPr>
                <w:i/>
              </w:rPr>
              <w:t>Trade &amp; Assistance Review 2016</w:t>
            </w:r>
            <w:r w:rsidRPr="00340038">
              <w:rPr>
                <w:i/>
              </w:rPr>
              <w:noBreakHyphen/>
              <w:t>17</w:t>
            </w:r>
          </w:p>
        </w:tc>
      </w:tr>
      <w:tr w:rsidR="00C83A3D" w:rsidTr="005B1382">
        <w:tc>
          <w:tcPr>
            <w:tcW w:w="5000" w:type="pct"/>
            <w:tcBorders>
              <w:top w:val="nil"/>
              <w:left w:val="nil"/>
              <w:bottom w:val="nil"/>
              <w:right w:val="nil"/>
            </w:tcBorders>
            <w:shd w:val="clear" w:color="auto" w:fill="auto"/>
          </w:tcPr>
          <w:tbl>
            <w:tblPr>
              <w:tblW w:w="8500" w:type="dxa"/>
              <w:tblCellMar>
                <w:top w:w="28" w:type="dxa"/>
                <w:left w:w="0" w:type="dxa"/>
                <w:right w:w="0" w:type="dxa"/>
              </w:tblCellMar>
              <w:tblLook w:val="0000" w:firstRow="0" w:lastRow="0" w:firstColumn="0" w:lastColumn="0" w:noHBand="0" w:noVBand="0"/>
            </w:tblPr>
            <w:tblGrid>
              <w:gridCol w:w="3401"/>
              <w:gridCol w:w="792"/>
              <w:gridCol w:w="3035"/>
              <w:gridCol w:w="1272"/>
            </w:tblGrid>
            <w:tr w:rsidR="00C83A3D" w:rsidTr="003D6704">
              <w:trPr>
                <w:tblHeader/>
              </w:trPr>
              <w:tc>
                <w:tcPr>
                  <w:tcW w:w="2001" w:type="pct"/>
                  <w:tcBorders>
                    <w:top w:val="single" w:sz="6" w:space="0" w:color="BFBFBF"/>
                    <w:bottom w:val="single" w:sz="6" w:space="0" w:color="BFBFBF"/>
                  </w:tcBorders>
                  <w:shd w:val="clear" w:color="auto" w:fill="auto"/>
                  <w:tcMar>
                    <w:top w:w="28" w:type="dxa"/>
                  </w:tcMar>
                  <w:vAlign w:val="bottom"/>
                </w:tcPr>
                <w:p w:rsidR="00C83A3D" w:rsidRDefault="00C83A3D" w:rsidP="003D6704">
                  <w:pPr>
                    <w:pStyle w:val="TableColumnHeading"/>
                    <w:jc w:val="left"/>
                  </w:pPr>
                  <w:r>
                    <w:t>Program</w:t>
                  </w:r>
                </w:p>
              </w:tc>
              <w:tc>
                <w:tcPr>
                  <w:tcW w:w="466" w:type="pct"/>
                  <w:tcBorders>
                    <w:top w:val="single" w:sz="6" w:space="0" w:color="BFBFBF"/>
                    <w:bottom w:val="single" w:sz="6" w:space="0" w:color="BFBFBF"/>
                  </w:tcBorders>
                  <w:vAlign w:val="bottom"/>
                </w:tcPr>
                <w:p w:rsidR="00C83A3D" w:rsidRDefault="00C83A3D" w:rsidP="003D6704">
                  <w:pPr>
                    <w:pStyle w:val="TableColumnHeading"/>
                  </w:pPr>
                  <w:r>
                    <w:t>Form</w:t>
                  </w:r>
                  <w:r>
                    <w:rPr>
                      <w:rStyle w:val="NoteLabel"/>
                    </w:rPr>
                    <w:t>a</w:t>
                  </w:r>
                </w:p>
              </w:tc>
              <w:tc>
                <w:tcPr>
                  <w:tcW w:w="1785" w:type="pct"/>
                  <w:tcBorders>
                    <w:top w:val="single" w:sz="6" w:space="0" w:color="BFBFBF"/>
                    <w:bottom w:val="single" w:sz="6" w:space="0" w:color="BFBFBF"/>
                  </w:tcBorders>
                  <w:shd w:val="clear" w:color="auto" w:fill="auto"/>
                  <w:tcMar>
                    <w:top w:w="28" w:type="dxa"/>
                  </w:tcMar>
                  <w:vAlign w:val="bottom"/>
                </w:tcPr>
                <w:p w:rsidR="00C83A3D" w:rsidRDefault="00C83A3D" w:rsidP="003D6704">
                  <w:pPr>
                    <w:pStyle w:val="TableColumnHeading"/>
                    <w:jc w:val="left"/>
                  </w:pPr>
                  <w:r>
                    <w:t>Initial benefiting industry</w:t>
                  </w:r>
                </w:p>
              </w:tc>
              <w:tc>
                <w:tcPr>
                  <w:tcW w:w="748" w:type="pct"/>
                  <w:tcBorders>
                    <w:top w:val="single" w:sz="6" w:space="0" w:color="BFBFBF"/>
                    <w:bottom w:val="single" w:sz="6" w:space="0" w:color="BFBFBF"/>
                  </w:tcBorders>
                  <w:shd w:val="clear" w:color="auto" w:fill="auto"/>
                  <w:tcMar>
                    <w:top w:w="28" w:type="dxa"/>
                  </w:tcMar>
                  <w:vAlign w:val="bottom"/>
                </w:tcPr>
                <w:p w:rsidR="00C83A3D" w:rsidRDefault="00C83A3D" w:rsidP="003D6704">
                  <w:pPr>
                    <w:pStyle w:val="TableColumnHeading"/>
                    <w:ind w:right="28"/>
                  </w:pPr>
                  <w:r>
                    <w:t>Assistance value 2016</w:t>
                  </w:r>
                  <w:r>
                    <w:noBreakHyphen/>
                    <w:t>17</w:t>
                  </w:r>
                </w:p>
              </w:tc>
            </w:tr>
            <w:tr w:rsidR="00C83A3D" w:rsidRPr="00FE5BF2" w:rsidTr="003D6704">
              <w:tc>
                <w:tcPr>
                  <w:tcW w:w="2001" w:type="pct"/>
                  <w:tcBorders>
                    <w:top w:val="single" w:sz="6" w:space="0" w:color="BFBFBF"/>
                  </w:tcBorders>
                </w:tcPr>
                <w:p w:rsidR="00C83A3D" w:rsidRPr="00FE5BF2" w:rsidRDefault="00C83A3D" w:rsidP="003D6704">
                  <w:pPr>
                    <w:pStyle w:val="TableUnitsRow"/>
                    <w:rPr>
                      <w:i/>
                    </w:rPr>
                  </w:pPr>
                </w:p>
              </w:tc>
              <w:tc>
                <w:tcPr>
                  <w:tcW w:w="466" w:type="pct"/>
                  <w:tcBorders>
                    <w:top w:val="single" w:sz="6" w:space="0" w:color="BFBFBF"/>
                  </w:tcBorders>
                </w:tcPr>
                <w:p w:rsidR="00C83A3D" w:rsidRPr="00FE5BF2" w:rsidRDefault="00C83A3D" w:rsidP="003D6704">
                  <w:pPr>
                    <w:pStyle w:val="TableUnitsRow"/>
                    <w:rPr>
                      <w:i/>
                    </w:rPr>
                  </w:pPr>
                </w:p>
              </w:tc>
              <w:tc>
                <w:tcPr>
                  <w:tcW w:w="1785" w:type="pct"/>
                  <w:tcBorders>
                    <w:top w:val="single" w:sz="6" w:space="0" w:color="BFBFBF"/>
                  </w:tcBorders>
                </w:tcPr>
                <w:p w:rsidR="00C83A3D" w:rsidRPr="00FE5BF2" w:rsidRDefault="00C83A3D" w:rsidP="003D6704">
                  <w:pPr>
                    <w:pStyle w:val="TableUnitsRow"/>
                    <w:rPr>
                      <w:i/>
                    </w:rPr>
                  </w:pPr>
                </w:p>
              </w:tc>
              <w:tc>
                <w:tcPr>
                  <w:tcW w:w="748" w:type="pct"/>
                  <w:tcBorders>
                    <w:top w:val="single" w:sz="6" w:space="0" w:color="BFBFBF"/>
                  </w:tcBorders>
                </w:tcPr>
                <w:p w:rsidR="00C83A3D" w:rsidRPr="00FE5BF2" w:rsidRDefault="00C83A3D" w:rsidP="003D6704">
                  <w:pPr>
                    <w:pStyle w:val="TableUnitsRow"/>
                    <w:ind w:right="57"/>
                    <w:rPr>
                      <w:i/>
                    </w:rPr>
                  </w:pPr>
                  <w:r w:rsidRPr="00FE5BF2">
                    <w:rPr>
                      <w:i/>
                    </w:rPr>
                    <w:t>$m</w:t>
                  </w:r>
                </w:p>
              </w:tc>
            </w:tr>
            <w:tr w:rsidR="00C83A3D" w:rsidTr="003D6704">
              <w:tc>
                <w:tcPr>
                  <w:tcW w:w="2001" w:type="pct"/>
                </w:tcPr>
                <w:p w:rsidR="00C83A3D" w:rsidRDefault="00C83A3D" w:rsidP="000B5BB7">
                  <w:pPr>
                    <w:pStyle w:val="TableBodyText"/>
                    <w:spacing w:before="60"/>
                    <w:jc w:val="left"/>
                  </w:pPr>
                  <w:r w:rsidRPr="00FE2656">
                    <w:t>Farm Business Concessional Loans Scheme</w:t>
                  </w:r>
                </w:p>
              </w:tc>
              <w:tc>
                <w:tcPr>
                  <w:tcW w:w="466" w:type="pct"/>
                </w:tcPr>
                <w:p w:rsidR="00C83A3D" w:rsidRDefault="00C83A3D" w:rsidP="000B5BB7">
                  <w:pPr>
                    <w:pStyle w:val="TableUnitsRow"/>
                    <w:spacing w:before="60"/>
                  </w:pPr>
                  <w:r>
                    <w:t>BO</w:t>
                  </w:r>
                  <w:r w:rsidR="003D6704">
                    <w:t>  </w:t>
                  </w:r>
                </w:p>
              </w:tc>
              <w:tc>
                <w:tcPr>
                  <w:tcW w:w="1785" w:type="pct"/>
                </w:tcPr>
                <w:p w:rsidR="00C83A3D" w:rsidRDefault="00C83A3D" w:rsidP="000B5BB7">
                  <w:pPr>
                    <w:pStyle w:val="TableBodyText"/>
                    <w:spacing w:before="60"/>
                    <w:jc w:val="left"/>
                  </w:pPr>
                  <w:r>
                    <w:t>Unallocated primary production</w:t>
                  </w:r>
                </w:p>
              </w:tc>
              <w:tc>
                <w:tcPr>
                  <w:tcW w:w="748" w:type="pct"/>
                </w:tcPr>
                <w:p w:rsidR="00C83A3D" w:rsidRPr="00FE5BF2" w:rsidRDefault="00C83A3D" w:rsidP="000B5BB7">
                  <w:pPr>
                    <w:pStyle w:val="TableBodyText"/>
                    <w:spacing w:before="60"/>
                    <w:ind w:right="28"/>
                  </w:pPr>
                  <w:r w:rsidRPr="00FE5BF2">
                    <w:t>3.6</w:t>
                  </w:r>
                </w:p>
              </w:tc>
            </w:tr>
            <w:tr w:rsidR="00C83A3D" w:rsidTr="003D6704">
              <w:tc>
                <w:tcPr>
                  <w:tcW w:w="2001" w:type="pct"/>
                </w:tcPr>
                <w:p w:rsidR="00C83A3D" w:rsidRDefault="00C83A3D" w:rsidP="000B5BB7">
                  <w:pPr>
                    <w:pStyle w:val="TableBodyText"/>
                    <w:spacing w:before="60"/>
                    <w:jc w:val="left"/>
                  </w:pPr>
                  <w:r w:rsidRPr="00FE5BF2">
                    <w:t>Alcoa Portland Assistance</w:t>
                  </w:r>
                </w:p>
              </w:tc>
              <w:tc>
                <w:tcPr>
                  <w:tcW w:w="466" w:type="pct"/>
                </w:tcPr>
                <w:p w:rsidR="00C83A3D" w:rsidRDefault="00C83A3D" w:rsidP="000B5BB7">
                  <w:pPr>
                    <w:pStyle w:val="TableBodyText"/>
                    <w:spacing w:before="60"/>
                  </w:pPr>
                  <w:r>
                    <w:t>BO</w:t>
                  </w:r>
                  <w:r w:rsidR="003D6704">
                    <w:t>  </w:t>
                  </w:r>
                </w:p>
              </w:tc>
              <w:tc>
                <w:tcPr>
                  <w:tcW w:w="1785" w:type="pct"/>
                </w:tcPr>
                <w:p w:rsidR="00C83A3D" w:rsidRDefault="00C83A3D" w:rsidP="000B5BB7">
                  <w:pPr>
                    <w:pStyle w:val="TableBodyText"/>
                    <w:spacing w:before="60"/>
                    <w:jc w:val="left"/>
                  </w:pPr>
                  <w:r w:rsidRPr="00FB2D1C">
                    <w:t>Primary metal and metal products</w:t>
                  </w:r>
                </w:p>
              </w:tc>
              <w:tc>
                <w:tcPr>
                  <w:tcW w:w="748" w:type="pct"/>
                </w:tcPr>
                <w:p w:rsidR="00C83A3D" w:rsidRPr="00FE5BF2" w:rsidRDefault="00C83A3D" w:rsidP="000B5BB7">
                  <w:pPr>
                    <w:pStyle w:val="TableBodyText"/>
                    <w:spacing w:before="60"/>
                    <w:ind w:right="28"/>
                  </w:pPr>
                  <w:r w:rsidRPr="00FE5BF2">
                    <w:t>30.0</w:t>
                  </w:r>
                </w:p>
              </w:tc>
            </w:tr>
            <w:tr w:rsidR="00C83A3D" w:rsidTr="003D6704">
              <w:tc>
                <w:tcPr>
                  <w:tcW w:w="2001" w:type="pct"/>
                </w:tcPr>
                <w:p w:rsidR="00C83A3D" w:rsidRDefault="00C83A3D" w:rsidP="000B5BB7">
                  <w:pPr>
                    <w:pStyle w:val="TableBodyText"/>
                    <w:spacing w:before="60"/>
                    <w:jc w:val="left"/>
                  </w:pPr>
                  <w:r w:rsidRPr="00FE5BF2">
                    <w:t>Centre for Defence Industry Capability Program</w:t>
                  </w:r>
                </w:p>
              </w:tc>
              <w:tc>
                <w:tcPr>
                  <w:tcW w:w="466" w:type="pct"/>
                </w:tcPr>
                <w:p w:rsidR="00C83A3D" w:rsidRDefault="00C83A3D" w:rsidP="000B5BB7">
                  <w:pPr>
                    <w:pStyle w:val="TableBodyText"/>
                    <w:spacing w:before="60"/>
                  </w:pPr>
                  <w:r>
                    <w:t>BO</w:t>
                  </w:r>
                  <w:r w:rsidR="003D6704">
                    <w:t>  </w:t>
                  </w:r>
                </w:p>
              </w:tc>
              <w:tc>
                <w:tcPr>
                  <w:tcW w:w="1785" w:type="pct"/>
                </w:tcPr>
                <w:p w:rsidR="00C83A3D" w:rsidRDefault="00C83A3D" w:rsidP="000B5BB7">
                  <w:pPr>
                    <w:pStyle w:val="TableBodyText"/>
                    <w:spacing w:before="60"/>
                    <w:jc w:val="left"/>
                  </w:pPr>
                  <w:r>
                    <w:t>Unallocated manufacturing</w:t>
                  </w:r>
                </w:p>
              </w:tc>
              <w:tc>
                <w:tcPr>
                  <w:tcW w:w="748" w:type="pct"/>
                </w:tcPr>
                <w:p w:rsidR="00C83A3D" w:rsidRPr="00FE5BF2" w:rsidRDefault="00C83A3D" w:rsidP="000B5BB7">
                  <w:pPr>
                    <w:pStyle w:val="TableBodyText"/>
                    <w:spacing w:before="60"/>
                    <w:ind w:right="28"/>
                  </w:pPr>
                  <w:r w:rsidRPr="00FE5BF2">
                    <w:t>0.4</w:t>
                  </w:r>
                </w:p>
              </w:tc>
            </w:tr>
            <w:tr w:rsidR="00C83A3D" w:rsidTr="003D6704">
              <w:tc>
                <w:tcPr>
                  <w:tcW w:w="2001" w:type="pct"/>
                </w:tcPr>
                <w:p w:rsidR="00C83A3D" w:rsidRDefault="00C83A3D" w:rsidP="000B5BB7">
                  <w:pPr>
                    <w:pStyle w:val="TableBodyText"/>
                    <w:spacing w:before="60"/>
                    <w:jc w:val="left"/>
                  </w:pPr>
                  <w:r w:rsidRPr="00FE5BF2">
                    <w:t>Data Retention Industry Grants Programme</w:t>
                  </w:r>
                </w:p>
              </w:tc>
              <w:tc>
                <w:tcPr>
                  <w:tcW w:w="466" w:type="pct"/>
                </w:tcPr>
                <w:p w:rsidR="00C83A3D" w:rsidRDefault="00C83A3D" w:rsidP="000B5BB7">
                  <w:pPr>
                    <w:pStyle w:val="TableBodyText"/>
                    <w:spacing w:before="60"/>
                  </w:pPr>
                  <w:r>
                    <w:t>BO</w:t>
                  </w:r>
                  <w:r w:rsidR="003D6704">
                    <w:t>  </w:t>
                  </w:r>
                </w:p>
              </w:tc>
              <w:tc>
                <w:tcPr>
                  <w:tcW w:w="1785" w:type="pct"/>
                </w:tcPr>
                <w:p w:rsidR="00C83A3D" w:rsidRDefault="00C83A3D" w:rsidP="000B5BB7">
                  <w:pPr>
                    <w:pStyle w:val="TableBodyText"/>
                    <w:spacing w:before="60"/>
                    <w:jc w:val="left"/>
                  </w:pPr>
                  <w:r w:rsidRPr="008F517A">
                    <w:t>Information media and telecommunications</w:t>
                  </w:r>
                  <w:r>
                    <w:t xml:space="preserve"> services</w:t>
                  </w:r>
                </w:p>
              </w:tc>
              <w:tc>
                <w:tcPr>
                  <w:tcW w:w="748" w:type="pct"/>
                </w:tcPr>
                <w:p w:rsidR="00C83A3D" w:rsidRPr="00FE5BF2" w:rsidRDefault="00C83A3D" w:rsidP="000B5BB7">
                  <w:pPr>
                    <w:pStyle w:val="TableBodyText"/>
                    <w:spacing w:before="60"/>
                    <w:ind w:right="28"/>
                  </w:pPr>
                  <w:r w:rsidRPr="00FE5BF2">
                    <w:t>120.1</w:t>
                  </w:r>
                </w:p>
              </w:tc>
            </w:tr>
            <w:tr w:rsidR="00C83A3D" w:rsidTr="003D6704">
              <w:tc>
                <w:tcPr>
                  <w:tcW w:w="2001" w:type="pct"/>
                </w:tcPr>
                <w:p w:rsidR="00C83A3D" w:rsidRDefault="00C83A3D" w:rsidP="000B5BB7">
                  <w:pPr>
                    <w:pStyle w:val="TableBodyText"/>
                    <w:spacing w:before="60"/>
                    <w:jc w:val="left"/>
                  </w:pPr>
                  <w:r w:rsidRPr="00FE5BF2">
                    <w:t>Exploration Development Incentive</w:t>
                  </w:r>
                </w:p>
              </w:tc>
              <w:tc>
                <w:tcPr>
                  <w:tcW w:w="466" w:type="pct"/>
                </w:tcPr>
                <w:p w:rsidR="00C83A3D" w:rsidRDefault="00C83A3D" w:rsidP="000B5BB7">
                  <w:pPr>
                    <w:pStyle w:val="TableBodyText"/>
                    <w:spacing w:before="60"/>
                  </w:pPr>
                  <w:proofErr w:type="spellStart"/>
                  <w:r>
                    <w:t>TE</w:t>
                  </w:r>
                  <w:proofErr w:type="spellEnd"/>
                  <w:r w:rsidR="003D6704">
                    <w:t>  </w:t>
                  </w:r>
                </w:p>
              </w:tc>
              <w:tc>
                <w:tcPr>
                  <w:tcW w:w="1785" w:type="pct"/>
                </w:tcPr>
                <w:p w:rsidR="00C83A3D" w:rsidRDefault="00C83A3D" w:rsidP="000B5BB7">
                  <w:pPr>
                    <w:pStyle w:val="TableBodyText"/>
                    <w:spacing w:before="60"/>
                    <w:jc w:val="left"/>
                  </w:pPr>
                  <w:r>
                    <w:t>Mining</w:t>
                  </w:r>
                </w:p>
              </w:tc>
              <w:tc>
                <w:tcPr>
                  <w:tcW w:w="748" w:type="pct"/>
                </w:tcPr>
                <w:p w:rsidR="00C83A3D" w:rsidRPr="00FE5BF2" w:rsidRDefault="00C83A3D" w:rsidP="000B5BB7">
                  <w:pPr>
                    <w:pStyle w:val="TableBodyText"/>
                    <w:spacing w:before="60"/>
                    <w:ind w:right="28"/>
                  </w:pPr>
                  <w:r w:rsidRPr="00FE5BF2">
                    <w:t>13.3</w:t>
                  </w:r>
                </w:p>
              </w:tc>
            </w:tr>
            <w:tr w:rsidR="00C83A3D" w:rsidTr="003D6704">
              <w:tc>
                <w:tcPr>
                  <w:tcW w:w="2001" w:type="pct"/>
                </w:tcPr>
                <w:p w:rsidR="00C83A3D" w:rsidRDefault="00C83A3D" w:rsidP="000B5BB7">
                  <w:pPr>
                    <w:pStyle w:val="TableBodyText"/>
                    <w:spacing w:before="60"/>
                    <w:jc w:val="left"/>
                  </w:pPr>
                  <w:r w:rsidRPr="00FE5BF2">
                    <w:t xml:space="preserve">Funding for major films </w:t>
                  </w:r>
                  <w:r>
                    <w:t>–</w:t>
                  </w:r>
                  <w:r w:rsidRPr="00FE5BF2">
                    <w:t xml:space="preserve"> Alien: Covenant and Thor: </w:t>
                  </w:r>
                  <w:proofErr w:type="spellStart"/>
                  <w:r w:rsidRPr="00FE5BF2">
                    <w:t>Ragnarok</w:t>
                  </w:r>
                  <w:proofErr w:type="spellEnd"/>
                </w:p>
              </w:tc>
              <w:tc>
                <w:tcPr>
                  <w:tcW w:w="466" w:type="pct"/>
                </w:tcPr>
                <w:p w:rsidR="00C83A3D" w:rsidRDefault="00C83A3D" w:rsidP="000B5BB7">
                  <w:pPr>
                    <w:pStyle w:val="TableBodyText"/>
                    <w:spacing w:before="60"/>
                  </w:pPr>
                  <w:r>
                    <w:t>BO</w:t>
                  </w:r>
                  <w:r w:rsidR="003D6704">
                    <w:t>  </w:t>
                  </w:r>
                </w:p>
              </w:tc>
              <w:tc>
                <w:tcPr>
                  <w:tcW w:w="1785" w:type="pct"/>
                </w:tcPr>
                <w:p w:rsidR="00C83A3D" w:rsidRDefault="00C83A3D" w:rsidP="000B5BB7">
                  <w:pPr>
                    <w:pStyle w:val="TableBodyText"/>
                    <w:spacing w:before="60"/>
                    <w:jc w:val="left"/>
                  </w:pPr>
                  <w:r w:rsidRPr="008F517A">
                    <w:t>Arts and recreation services</w:t>
                  </w:r>
                </w:p>
              </w:tc>
              <w:tc>
                <w:tcPr>
                  <w:tcW w:w="748" w:type="pct"/>
                </w:tcPr>
                <w:p w:rsidR="00C83A3D" w:rsidRPr="00FE5BF2" w:rsidRDefault="00C83A3D" w:rsidP="000B5BB7">
                  <w:pPr>
                    <w:pStyle w:val="TableBodyText"/>
                    <w:spacing w:before="60"/>
                    <w:ind w:right="28"/>
                  </w:pPr>
                  <w:r w:rsidRPr="00FE5BF2">
                    <w:t>17.6</w:t>
                  </w:r>
                </w:p>
              </w:tc>
            </w:tr>
            <w:tr w:rsidR="00C83A3D" w:rsidTr="003D6704">
              <w:tc>
                <w:tcPr>
                  <w:tcW w:w="2001" w:type="pct"/>
                </w:tcPr>
                <w:p w:rsidR="00C83A3D" w:rsidRDefault="00C83A3D" w:rsidP="000B5BB7">
                  <w:pPr>
                    <w:pStyle w:val="TableBodyText"/>
                    <w:spacing w:before="60"/>
                    <w:jc w:val="left"/>
                  </w:pPr>
                  <w:r w:rsidRPr="00FE5BF2">
                    <w:t xml:space="preserve">Funding for major films </w:t>
                  </w:r>
                  <w:r>
                    <w:t>–</w:t>
                  </w:r>
                  <w:r w:rsidRPr="00FE5BF2">
                    <w:t xml:space="preserve"> Pirates of the Caribbean: Dead Men tell No Tales</w:t>
                  </w:r>
                </w:p>
              </w:tc>
              <w:tc>
                <w:tcPr>
                  <w:tcW w:w="466" w:type="pct"/>
                </w:tcPr>
                <w:p w:rsidR="00C83A3D" w:rsidRDefault="00C83A3D" w:rsidP="000B5BB7">
                  <w:pPr>
                    <w:pStyle w:val="TableBodyText"/>
                    <w:spacing w:before="60"/>
                  </w:pPr>
                  <w:r>
                    <w:t>BO</w:t>
                  </w:r>
                  <w:r w:rsidR="003D6704">
                    <w:t>  </w:t>
                  </w:r>
                </w:p>
              </w:tc>
              <w:tc>
                <w:tcPr>
                  <w:tcW w:w="1785" w:type="pct"/>
                </w:tcPr>
                <w:p w:rsidR="00C83A3D" w:rsidRDefault="00C83A3D" w:rsidP="000B5BB7">
                  <w:pPr>
                    <w:pStyle w:val="TableBodyText"/>
                    <w:spacing w:before="60"/>
                    <w:jc w:val="left"/>
                  </w:pPr>
                  <w:r w:rsidRPr="008F517A">
                    <w:t>Arts and recreation services</w:t>
                  </w:r>
                </w:p>
              </w:tc>
              <w:tc>
                <w:tcPr>
                  <w:tcW w:w="748" w:type="pct"/>
                </w:tcPr>
                <w:p w:rsidR="00C83A3D" w:rsidRPr="00FE5BF2" w:rsidRDefault="00C83A3D" w:rsidP="000B5BB7">
                  <w:pPr>
                    <w:pStyle w:val="TableBodyText"/>
                    <w:spacing w:before="60"/>
                    <w:ind w:right="28"/>
                  </w:pPr>
                  <w:r w:rsidRPr="00FE5BF2">
                    <w:t>21.6</w:t>
                  </w:r>
                </w:p>
              </w:tc>
            </w:tr>
            <w:tr w:rsidR="00C83A3D" w:rsidTr="003D6704">
              <w:tc>
                <w:tcPr>
                  <w:tcW w:w="2001" w:type="pct"/>
                  <w:shd w:val="clear" w:color="auto" w:fill="auto"/>
                </w:tcPr>
                <w:p w:rsidR="00C83A3D" w:rsidRDefault="00C83A3D" w:rsidP="000B5BB7">
                  <w:pPr>
                    <w:pStyle w:val="TableBodyText"/>
                    <w:spacing w:before="60"/>
                    <w:jc w:val="left"/>
                  </w:pPr>
                  <w:r w:rsidRPr="00FE2656">
                    <w:t>Unincorporated Small Business Tax Discount</w:t>
                  </w:r>
                </w:p>
              </w:tc>
              <w:tc>
                <w:tcPr>
                  <w:tcW w:w="466" w:type="pct"/>
                </w:tcPr>
                <w:p w:rsidR="00C83A3D" w:rsidRDefault="00C83A3D" w:rsidP="000B5BB7">
                  <w:pPr>
                    <w:pStyle w:val="TableBodyText"/>
                    <w:spacing w:before="60"/>
                  </w:pPr>
                  <w:proofErr w:type="spellStart"/>
                  <w:r>
                    <w:t>TE</w:t>
                  </w:r>
                  <w:proofErr w:type="spellEnd"/>
                  <w:r w:rsidR="003D6704">
                    <w:t>  </w:t>
                  </w:r>
                </w:p>
              </w:tc>
              <w:tc>
                <w:tcPr>
                  <w:tcW w:w="1785" w:type="pct"/>
                  <w:shd w:val="clear" w:color="auto" w:fill="auto"/>
                </w:tcPr>
                <w:p w:rsidR="00C83A3D" w:rsidRDefault="00C83A3D" w:rsidP="000B5BB7">
                  <w:pPr>
                    <w:pStyle w:val="TableBodyText"/>
                    <w:spacing w:before="60"/>
                    <w:jc w:val="left"/>
                  </w:pPr>
                  <w:r>
                    <w:t>Unallocated other</w:t>
                  </w:r>
                </w:p>
              </w:tc>
              <w:tc>
                <w:tcPr>
                  <w:tcW w:w="748" w:type="pct"/>
                  <w:shd w:val="clear" w:color="auto" w:fill="auto"/>
                </w:tcPr>
                <w:p w:rsidR="00C83A3D" w:rsidRPr="00FE5BF2" w:rsidRDefault="00C83A3D" w:rsidP="000B5BB7">
                  <w:pPr>
                    <w:pStyle w:val="TableBodyText"/>
                    <w:spacing w:before="60"/>
                    <w:ind w:right="28"/>
                  </w:pPr>
                  <w:r w:rsidRPr="00FE5BF2">
                    <w:t>550.0</w:t>
                  </w:r>
                </w:p>
              </w:tc>
            </w:tr>
            <w:tr w:rsidR="00C83A3D" w:rsidRPr="007A31E2" w:rsidTr="003D6704">
              <w:tc>
                <w:tcPr>
                  <w:tcW w:w="2001" w:type="pct"/>
                  <w:tcBorders>
                    <w:bottom w:val="single" w:sz="6" w:space="0" w:color="BFBFBF"/>
                  </w:tcBorders>
                  <w:shd w:val="clear" w:color="auto" w:fill="auto"/>
                </w:tcPr>
                <w:p w:rsidR="00C83A3D" w:rsidRPr="007A31E2" w:rsidRDefault="00C83A3D" w:rsidP="003D6704">
                  <w:pPr>
                    <w:pStyle w:val="TableBodyText"/>
                    <w:spacing w:before="120"/>
                    <w:jc w:val="left"/>
                    <w:rPr>
                      <w:b/>
                    </w:rPr>
                  </w:pPr>
                  <w:r w:rsidRPr="007A31E2">
                    <w:rPr>
                      <w:b/>
                    </w:rPr>
                    <w:t>TOTAL</w:t>
                  </w:r>
                </w:p>
              </w:tc>
              <w:tc>
                <w:tcPr>
                  <w:tcW w:w="466" w:type="pct"/>
                  <w:tcBorders>
                    <w:bottom w:val="single" w:sz="6" w:space="0" w:color="BFBFBF"/>
                  </w:tcBorders>
                </w:tcPr>
                <w:p w:rsidR="00C83A3D" w:rsidRPr="007A31E2" w:rsidRDefault="00C83A3D" w:rsidP="003D6704">
                  <w:pPr>
                    <w:pStyle w:val="TableBodyText"/>
                    <w:rPr>
                      <w:b/>
                    </w:rPr>
                  </w:pPr>
                </w:p>
              </w:tc>
              <w:tc>
                <w:tcPr>
                  <w:tcW w:w="1785" w:type="pct"/>
                  <w:tcBorders>
                    <w:bottom w:val="single" w:sz="6" w:space="0" w:color="BFBFBF"/>
                  </w:tcBorders>
                  <w:shd w:val="clear" w:color="auto" w:fill="auto"/>
                </w:tcPr>
                <w:p w:rsidR="00C83A3D" w:rsidRPr="007A31E2" w:rsidRDefault="00C83A3D" w:rsidP="003D6704">
                  <w:pPr>
                    <w:pStyle w:val="TableBodyText"/>
                    <w:jc w:val="left"/>
                    <w:rPr>
                      <w:b/>
                    </w:rPr>
                  </w:pPr>
                </w:p>
              </w:tc>
              <w:tc>
                <w:tcPr>
                  <w:tcW w:w="748" w:type="pct"/>
                  <w:tcBorders>
                    <w:bottom w:val="single" w:sz="6" w:space="0" w:color="BFBFBF"/>
                  </w:tcBorders>
                  <w:shd w:val="clear" w:color="auto" w:fill="auto"/>
                </w:tcPr>
                <w:p w:rsidR="00C83A3D" w:rsidRPr="007A31E2" w:rsidRDefault="00C83A3D" w:rsidP="003D6704">
                  <w:pPr>
                    <w:pStyle w:val="TableBodyText"/>
                    <w:spacing w:before="120"/>
                    <w:rPr>
                      <w:b/>
                    </w:rPr>
                  </w:pPr>
                  <w:r w:rsidRPr="007A31E2">
                    <w:rPr>
                      <w:b/>
                    </w:rPr>
                    <w:t>756.6</w:t>
                  </w:r>
                </w:p>
              </w:tc>
            </w:tr>
          </w:tbl>
          <w:p w:rsidR="00C83A3D" w:rsidRDefault="00C83A3D" w:rsidP="003D6704">
            <w:pPr>
              <w:pStyle w:val="Box"/>
              <w:keepLines/>
            </w:pPr>
          </w:p>
        </w:tc>
      </w:tr>
      <w:tr w:rsidR="00C83A3D" w:rsidTr="005B1382">
        <w:tc>
          <w:tcPr>
            <w:tcW w:w="5000" w:type="pct"/>
            <w:tcBorders>
              <w:top w:val="nil"/>
              <w:left w:val="nil"/>
              <w:bottom w:val="nil"/>
              <w:right w:val="nil"/>
            </w:tcBorders>
            <w:shd w:val="clear" w:color="auto" w:fill="auto"/>
          </w:tcPr>
          <w:p w:rsidR="00C83A3D" w:rsidRDefault="00C83A3D" w:rsidP="00F54468">
            <w:pPr>
              <w:pStyle w:val="Note"/>
              <w:rPr>
                <w:i/>
              </w:rPr>
            </w:pPr>
            <w:r w:rsidRPr="008E77FE">
              <w:rPr>
                <w:rStyle w:val="NoteLabel"/>
              </w:rPr>
              <w:t>a</w:t>
            </w:r>
            <w:r>
              <w:t xml:space="preserve"> BO: budgetary outlay. </w:t>
            </w:r>
            <w:proofErr w:type="spellStart"/>
            <w:r>
              <w:t>TE</w:t>
            </w:r>
            <w:proofErr w:type="spellEnd"/>
            <w:r>
              <w:t xml:space="preserve">: tax expenditure. </w:t>
            </w:r>
          </w:p>
        </w:tc>
      </w:tr>
      <w:tr w:rsidR="00C83A3D" w:rsidTr="005B1382">
        <w:tc>
          <w:tcPr>
            <w:tcW w:w="5000" w:type="pct"/>
            <w:tcBorders>
              <w:top w:val="nil"/>
              <w:left w:val="nil"/>
              <w:bottom w:val="nil"/>
              <w:right w:val="nil"/>
            </w:tcBorders>
            <w:shd w:val="clear" w:color="auto" w:fill="auto"/>
          </w:tcPr>
          <w:p w:rsidR="00C83A3D" w:rsidRDefault="00C83A3D" w:rsidP="003D6704">
            <w:pPr>
              <w:pStyle w:val="Source"/>
            </w:pPr>
            <w:r>
              <w:rPr>
                <w:i/>
              </w:rPr>
              <w:t>Source</w:t>
            </w:r>
            <w:r w:rsidRPr="00167F06">
              <w:t>:</w:t>
            </w:r>
            <w:r>
              <w:t xml:space="preserve"> Australian Government department and agency reports (various years) and departmental personal communications.</w:t>
            </w:r>
          </w:p>
        </w:tc>
      </w:tr>
      <w:tr w:rsidR="00C83A3D" w:rsidTr="005B1382">
        <w:tc>
          <w:tcPr>
            <w:tcW w:w="5000" w:type="pct"/>
            <w:tcBorders>
              <w:top w:val="nil"/>
              <w:left w:val="nil"/>
              <w:bottom w:val="single" w:sz="6" w:space="0" w:color="78A22F"/>
              <w:right w:val="nil"/>
            </w:tcBorders>
            <w:shd w:val="clear" w:color="auto" w:fill="auto"/>
          </w:tcPr>
          <w:p w:rsidR="00C83A3D" w:rsidRDefault="00C83A3D" w:rsidP="00846637">
            <w:pPr>
              <w:pStyle w:val="Box"/>
              <w:spacing w:before="0" w:line="120" w:lineRule="exact"/>
            </w:pPr>
          </w:p>
        </w:tc>
      </w:tr>
      <w:tr w:rsidR="00C83A3D" w:rsidRPr="000863A5" w:rsidTr="005B1382">
        <w:tc>
          <w:tcPr>
            <w:tcW w:w="5000" w:type="pct"/>
            <w:tcBorders>
              <w:top w:val="single" w:sz="6" w:space="0" w:color="78A22F"/>
              <w:left w:val="nil"/>
              <w:bottom w:val="nil"/>
              <w:right w:val="nil"/>
            </w:tcBorders>
          </w:tcPr>
          <w:p w:rsidR="00C83A3D" w:rsidRPr="00626D32" w:rsidRDefault="00C83A3D" w:rsidP="00784A05">
            <w:pPr>
              <w:pStyle w:val="BoxSpaceBelow"/>
            </w:pPr>
          </w:p>
        </w:tc>
      </w:tr>
    </w:tbl>
    <w:p w:rsidR="000B5BB7" w:rsidRDefault="000B5BB7" w:rsidP="00455FFC">
      <w:pPr>
        <w:pStyle w:val="BodyText"/>
        <w:rPr>
          <w:rFonts w:ascii="Arial" w:hAnsi="Arial"/>
          <w:sz w:val="32"/>
        </w:rPr>
      </w:pPr>
      <w:r>
        <w:br w:type="page"/>
      </w:r>
    </w:p>
    <w:p w:rsidR="00C83A3D" w:rsidRDefault="00C83A3D" w:rsidP="003D6704">
      <w:pPr>
        <w:pStyle w:val="Heading2nosectionno"/>
      </w:pPr>
      <w:r w:rsidRPr="006420C6">
        <w:lastRenderedPageBreak/>
        <w:t>Farm Business Concessional Loans Scheme</w:t>
      </w:r>
    </w:p>
    <w:p w:rsidR="00C83A3D" w:rsidRDefault="00C83A3D" w:rsidP="003D6704">
      <w:pPr>
        <w:pStyle w:val="BodyText"/>
      </w:pPr>
      <w:r>
        <w:t xml:space="preserve">In November 2016, the Australian Government announced the introduction of the new Farm Business Concessional Loans Scheme intended to support farm businesses dealing with and recovering from drought. The scheme forms part of the governments $2.5 billion 10 year commitment to concessional loans as outlined in the government’s Agricultural Competitiveness White Paper. The scheme brings together differing loan products previously provided by the government including drought concessional loans, drought recovery concessional loans and dairy recovery concessional loans. Under the scheme, loans will be provided at 2.47 per cent interest rate over a 10 year term while loan amounts will be up to 50 per cent of a farm business’ final debt position to a maximum of $1 million (Joyce 2016). </w:t>
      </w:r>
    </w:p>
    <w:p w:rsidR="00C83A3D" w:rsidRDefault="00C83A3D" w:rsidP="003D6704">
      <w:pPr>
        <w:pStyle w:val="BodyText"/>
      </w:pPr>
      <w:r>
        <w:t>The value of Australian Government administered expenses for 2016</w:t>
      </w:r>
      <w:r>
        <w:noBreakHyphen/>
        <w:t>17 was $3.6 million (</w:t>
      </w:r>
      <w:proofErr w:type="spellStart"/>
      <w:r>
        <w:t>DAWR</w:t>
      </w:r>
      <w:proofErr w:type="spellEnd"/>
      <w:r>
        <w:t xml:space="preserve"> 2017, pp.</w:t>
      </w:r>
      <w:r w:rsidR="003D6704">
        <w:t> </w:t>
      </w:r>
      <w:r>
        <w:t xml:space="preserve">128, 129). </w:t>
      </w:r>
    </w:p>
    <w:p w:rsidR="00C83A3D" w:rsidRDefault="00C83A3D" w:rsidP="00120072">
      <w:pPr>
        <w:pStyle w:val="BodyText"/>
      </w:pPr>
      <w:r w:rsidRPr="00FF233F">
        <w:t>The program is assessed as initially benefiting primary production activities. However, information on the specific industry incidence of the program has not been readily available. Accordingly, the budgetary outlay has been classified to the Unallocated primary production industry grouping.</w:t>
      </w:r>
      <w:r>
        <w:rPr>
          <w:rStyle w:val="FootnoteReference"/>
        </w:rPr>
        <w:footnoteReference w:id="1"/>
      </w:r>
    </w:p>
    <w:p w:rsidR="00C83A3D" w:rsidRDefault="00C83A3D" w:rsidP="003D6704">
      <w:pPr>
        <w:pStyle w:val="Heading2nosectionno"/>
      </w:pPr>
      <w:r w:rsidRPr="006420C6">
        <w:t>Alcoa Portland Assistance</w:t>
      </w:r>
    </w:p>
    <w:p w:rsidR="00C83A3D" w:rsidRDefault="00C83A3D" w:rsidP="003D6704">
      <w:pPr>
        <w:pStyle w:val="BodyText"/>
      </w:pPr>
      <w:r>
        <w:t>In January 2017, the Australian Government announced it would provide a $30 million direct grant to the Alcoa Portland Aluminium Smelter. The grant is intended to restore operations at the smelter following a power supply failure in 2016 that caused damage to production lines and reduced the operating capacity of the smelter. The funds provided can be used for capital improvements, maintenance and repairs to damage caused by the power outage. The support is conditional on operations at the smelter continuing until at least 30 June 2021 and maintaining production to at least 90 per cent of pre</w:t>
      </w:r>
      <w:r w:rsidR="003D6704">
        <w:noBreakHyphen/>
      </w:r>
      <w:r>
        <w:t xml:space="preserve">power outage levels (Hunt 2017). </w:t>
      </w:r>
    </w:p>
    <w:p w:rsidR="00C83A3D" w:rsidRDefault="00C83A3D" w:rsidP="003D6704">
      <w:pPr>
        <w:pStyle w:val="BodyText"/>
      </w:pPr>
      <w:r>
        <w:t>The value of Australian Government administered expenses for 2016</w:t>
      </w:r>
      <w:r>
        <w:noBreakHyphen/>
        <w:t xml:space="preserve">17 was $30 million (DIIS 2017, pers. comm., November 2017). </w:t>
      </w:r>
    </w:p>
    <w:p w:rsidR="00C83A3D" w:rsidRDefault="00C83A3D" w:rsidP="00120072">
      <w:pPr>
        <w:pStyle w:val="BodyText"/>
      </w:pPr>
      <w:r>
        <w:t xml:space="preserve">The program is assessed as initially benefiting Alcoa’s Aluminium smelting operations in Portland Victoria and has been allocated to the </w:t>
      </w:r>
      <w:r w:rsidRPr="008E5A8C">
        <w:rPr>
          <w:i/>
        </w:rPr>
        <w:t>Metal and fabricated metal products</w:t>
      </w:r>
      <w:r>
        <w:t xml:space="preserve"> industry grouping. </w:t>
      </w:r>
    </w:p>
    <w:p w:rsidR="00C83A3D" w:rsidRDefault="00C83A3D" w:rsidP="003D6704">
      <w:pPr>
        <w:pStyle w:val="Heading2nosectionno"/>
      </w:pPr>
      <w:r w:rsidRPr="006420C6">
        <w:t>Centre for Defence Industry Capability Program</w:t>
      </w:r>
    </w:p>
    <w:p w:rsidR="00C83A3D" w:rsidRDefault="00C83A3D" w:rsidP="003D6704">
      <w:pPr>
        <w:pStyle w:val="BodyText"/>
      </w:pPr>
      <w:r>
        <w:t>The Centre for Defence Industry Capability (</w:t>
      </w:r>
      <w:proofErr w:type="spellStart"/>
      <w:r>
        <w:t>CDIC</w:t>
      </w:r>
      <w:proofErr w:type="spellEnd"/>
      <w:r>
        <w:t xml:space="preserve">) program is an initiative announced as part of the Australian Governments 2016 Defence Industry Policy Statement. The </w:t>
      </w:r>
      <w:proofErr w:type="spellStart"/>
      <w:r>
        <w:t>CDIC</w:t>
      </w:r>
      <w:proofErr w:type="spellEnd"/>
      <w:r>
        <w:t xml:space="preserve"> is intended to help consolidate existing defence industry programs and to provide a transparent, focused interface between </w:t>
      </w:r>
      <w:r>
        <w:lastRenderedPageBreak/>
        <w:t xml:space="preserve">Defence and Australian industry. The </w:t>
      </w:r>
      <w:proofErr w:type="spellStart"/>
      <w:r>
        <w:t>CDIC</w:t>
      </w:r>
      <w:proofErr w:type="spellEnd"/>
      <w:r>
        <w:t xml:space="preserve"> focuses on three core streams of activity: industry development, facilitating innovation and business competitiveness and exports. </w:t>
      </w:r>
    </w:p>
    <w:p w:rsidR="00C83A3D" w:rsidRDefault="00C83A3D" w:rsidP="003D6704">
      <w:pPr>
        <w:pStyle w:val="ListBullet"/>
      </w:pPr>
      <w:r>
        <w:t>The Industry Development Stream will identify and support sector</w:t>
      </w:r>
      <w:r w:rsidR="003D6704">
        <w:noBreakHyphen/>
      </w:r>
      <w:r>
        <w:t>wide initiatives</w:t>
      </w:r>
    </w:p>
    <w:p w:rsidR="00C83A3D" w:rsidRDefault="00C83A3D" w:rsidP="003D6704">
      <w:pPr>
        <w:pStyle w:val="ListBullet"/>
      </w:pPr>
      <w:r>
        <w:t>The Business Competitiveness and Exports Stream will provide defence</w:t>
      </w:r>
      <w:r w:rsidR="003D6704">
        <w:noBreakHyphen/>
      </w:r>
      <w:r>
        <w:t>specific business advice and development support for small to medium enterprises to improve their productivity and global competitiveness in areas of specific interest to Defence</w:t>
      </w:r>
    </w:p>
    <w:p w:rsidR="00C83A3D" w:rsidRDefault="00C83A3D" w:rsidP="003D6704">
      <w:pPr>
        <w:pStyle w:val="ListBullet"/>
      </w:pPr>
      <w:r>
        <w:t xml:space="preserve">Facilitating innovation will assist Australian industry to access Defence innovation funding, develop industry awareness and provide information about Defence innovation requirements (DD 2016). </w:t>
      </w:r>
    </w:p>
    <w:p w:rsidR="00C83A3D" w:rsidRDefault="00C83A3D" w:rsidP="00120072">
      <w:pPr>
        <w:pStyle w:val="BodyText"/>
      </w:pPr>
      <w:r>
        <w:t xml:space="preserve">The </w:t>
      </w:r>
      <w:proofErr w:type="spellStart"/>
      <w:r>
        <w:t>CDIC</w:t>
      </w:r>
      <w:proofErr w:type="spellEnd"/>
      <w:r>
        <w:t xml:space="preserve"> will be headquartered in Adelaide and will receive around $230 million in funding over the next decade to 2025</w:t>
      </w:r>
      <w:r>
        <w:noBreakHyphen/>
        <w:t>26 (</w:t>
      </w:r>
      <w:proofErr w:type="spellStart"/>
      <w:r>
        <w:t>Pyne</w:t>
      </w:r>
      <w:proofErr w:type="spellEnd"/>
      <w:r>
        <w:t xml:space="preserve"> 2016). </w:t>
      </w:r>
    </w:p>
    <w:p w:rsidR="00C83A3D" w:rsidRDefault="00C83A3D" w:rsidP="00120072">
      <w:pPr>
        <w:pStyle w:val="BodyText"/>
      </w:pPr>
      <w:r>
        <w:t>The value of Australian Government administered expenses for 2016</w:t>
      </w:r>
      <w:r>
        <w:noBreakHyphen/>
        <w:t xml:space="preserve">17 was $0.4 million (DD 2017). </w:t>
      </w:r>
    </w:p>
    <w:p w:rsidR="00C83A3D" w:rsidRDefault="00C83A3D" w:rsidP="00120072">
      <w:pPr>
        <w:pStyle w:val="BodyText"/>
      </w:pPr>
      <w:r>
        <w:t xml:space="preserve">The program is assessed as initially benefiting firms predominately in the manufacturing sector. However, information on the specific industry incidence of the program has not been readily available. Accordingly, the budgetary outlay has been classified to the </w:t>
      </w:r>
      <w:r w:rsidRPr="00FC7A94">
        <w:rPr>
          <w:i/>
        </w:rPr>
        <w:t>Unallocated manufacturing</w:t>
      </w:r>
      <w:r>
        <w:t xml:space="preserve"> industry grouping. </w:t>
      </w:r>
    </w:p>
    <w:p w:rsidR="00C83A3D" w:rsidRDefault="00C83A3D" w:rsidP="003D6704">
      <w:pPr>
        <w:pStyle w:val="Heading2nosectionno"/>
      </w:pPr>
      <w:r w:rsidRPr="006420C6">
        <w:t>Data Retention Industry Grants Programme</w:t>
      </w:r>
    </w:p>
    <w:p w:rsidR="00C83A3D" w:rsidRDefault="00C83A3D" w:rsidP="00120072">
      <w:pPr>
        <w:pStyle w:val="BodyText"/>
      </w:pPr>
      <w:r>
        <w:t xml:space="preserve">In January 2016, the Australian Government announced the opening of the </w:t>
      </w:r>
      <w:r w:rsidRPr="00924289">
        <w:t>$128.4 million</w:t>
      </w:r>
      <w:r>
        <w:t xml:space="preserve"> Data Retention Industry Grants (</w:t>
      </w:r>
      <w:proofErr w:type="spellStart"/>
      <w:r>
        <w:t>DRIG</w:t>
      </w:r>
      <w:proofErr w:type="spellEnd"/>
      <w:r>
        <w:t xml:space="preserve">) </w:t>
      </w:r>
      <w:proofErr w:type="spellStart"/>
      <w:r>
        <w:t>Programme</w:t>
      </w:r>
      <w:proofErr w:type="spellEnd"/>
      <w:r>
        <w:t>. The program is intended t</w:t>
      </w:r>
      <w:r w:rsidRPr="00924289">
        <w:t>o assist the telecommunications industry with upfront costs of meeting their data retention obligations</w:t>
      </w:r>
      <w:r>
        <w:t xml:space="preserve"> as stated in the </w:t>
      </w:r>
      <w:r w:rsidRPr="00A330D7">
        <w:rPr>
          <w:i/>
        </w:rPr>
        <w:t>Telecommunications (Interception and Access) Amendment (Data Retention) Act 2015</w:t>
      </w:r>
      <w:r w:rsidRPr="00A330D7">
        <w:t>.</w:t>
      </w:r>
      <w:r>
        <w:t xml:space="preserve"> </w:t>
      </w:r>
      <w:r w:rsidRPr="00924289">
        <w:t xml:space="preserve">The </w:t>
      </w:r>
      <w:proofErr w:type="spellStart"/>
      <w:r>
        <w:t>DRIG</w:t>
      </w:r>
      <w:proofErr w:type="spellEnd"/>
      <w:r>
        <w:t xml:space="preserve"> </w:t>
      </w:r>
      <w:r w:rsidRPr="00924289">
        <w:t>consists of a single funding round open to telecommunications service providers who have data retention obligations.</w:t>
      </w:r>
      <w:r>
        <w:t xml:space="preserve"> These service providers will be required to </w:t>
      </w:r>
      <w:r w:rsidRPr="00E455B8">
        <w:t xml:space="preserve">retain limited communications data for </w:t>
      </w:r>
      <w:r>
        <w:t xml:space="preserve">up to </w:t>
      </w:r>
      <w:r w:rsidRPr="00E455B8">
        <w:t>two years</w:t>
      </w:r>
      <w:r>
        <w:t xml:space="preserve"> (Truss 2016)</w:t>
      </w:r>
      <w:r w:rsidRPr="00E455B8">
        <w:t>.</w:t>
      </w:r>
      <w:r>
        <w:t xml:space="preserve"> </w:t>
      </w:r>
    </w:p>
    <w:p w:rsidR="00C83A3D" w:rsidRDefault="00C83A3D" w:rsidP="003D6704">
      <w:pPr>
        <w:pStyle w:val="BodyText"/>
      </w:pPr>
      <w:r>
        <w:t>The value of Australian Government administered expenses for 2016</w:t>
      </w:r>
      <w:r>
        <w:noBreakHyphen/>
        <w:t>17 was $120.1 million (AG 2018, pers. comm., January 2018).</w:t>
      </w:r>
    </w:p>
    <w:p w:rsidR="00C83A3D" w:rsidRDefault="00C83A3D" w:rsidP="00120072">
      <w:pPr>
        <w:pStyle w:val="BodyText"/>
      </w:pPr>
      <w:r>
        <w:t xml:space="preserve">The program is assessed as initially benefiting firms engaged in telecommunications activities and has been allocated to the </w:t>
      </w:r>
      <w:r w:rsidRPr="00A02B43">
        <w:rPr>
          <w:i/>
        </w:rPr>
        <w:t>Information media and telecommunications</w:t>
      </w:r>
      <w:r>
        <w:t xml:space="preserve"> industry grouping. </w:t>
      </w:r>
    </w:p>
    <w:p w:rsidR="00C83A3D" w:rsidRDefault="00C83A3D" w:rsidP="003D6704">
      <w:pPr>
        <w:pStyle w:val="Heading2nosectionno"/>
      </w:pPr>
      <w:r w:rsidRPr="006420C6">
        <w:t>Exploration Development Incentive</w:t>
      </w:r>
    </w:p>
    <w:p w:rsidR="00C83A3D" w:rsidRDefault="00C83A3D" w:rsidP="00120072">
      <w:pPr>
        <w:pStyle w:val="BodyText"/>
      </w:pPr>
      <w:r>
        <w:t>In the 2014</w:t>
      </w:r>
      <w:r>
        <w:noBreakHyphen/>
        <w:t>15 Budget, the Australian Government announced that it would introduce a tax incentive to Australian resident shareholders of small mineral exploration companies intended to support ‘</w:t>
      </w:r>
      <w:proofErr w:type="spellStart"/>
      <w:r>
        <w:t>greenfields</w:t>
      </w:r>
      <w:proofErr w:type="spellEnd"/>
      <w:r>
        <w:t xml:space="preserve">’ minerals exploration undertaken by these companies in Australia. The scheme is intended to provide an economic incentive to invest in the Australian mining sector. Under the scheme, </w:t>
      </w:r>
      <w:r w:rsidRPr="003C296A">
        <w:t xml:space="preserve">eligible exploration companies </w:t>
      </w:r>
      <w:r>
        <w:t xml:space="preserve">will be able to </w:t>
      </w:r>
      <w:r w:rsidRPr="003C296A">
        <w:t xml:space="preserve">create exploration credits by giving up a portion of their tax losses from </w:t>
      </w:r>
      <w:r>
        <w:t>‘</w:t>
      </w:r>
      <w:proofErr w:type="spellStart"/>
      <w:r w:rsidRPr="003C296A">
        <w:t>greenfields</w:t>
      </w:r>
      <w:proofErr w:type="spellEnd"/>
      <w:r>
        <w:t>’</w:t>
      </w:r>
      <w:r w:rsidRPr="003C296A">
        <w:t xml:space="preserve"> minerals expenditure, and distributing these exploration credits to equity shareholders.</w:t>
      </w:r>
      <w:r>
        <w:t xml:space="preserve"> </w:t>
      </w:r>
      <w:r w:rsidRPr="003C296A">
        <w:t xml:space="preserve">Australian resident shareholders that are issued with an exploration credit will be entitled to a </w:t>
      </w:r>
      <w:r w:rsidRPr="003C296A">
        <w:lastRenderedPageBreak/>
        <w:t>refundable tax offset or additional franking credits. The exploration company’s carry forward losses are reduced proportionately to reflect the amount of exploration credits created</w:t>
      </w:r>
      <w:r>
        <w:t xml:space="preserve"> (</w:t>
      </w:r>
      <w:proofErr w:type="spellStart"/>
      <w:r>
        <w:t>ATO</w:t>
      </w:r>
      <w:proofErr w:type="spellEnd"/>
      <w:r>
        <w:t xml:space="preserve"> </w:t>
      </w:r>
      <w:proofErr w:type="spellStart"/>
      <w:r>
        <w:t>2018a</w:t>
      </w:r>
      <w:proofErr w:type="spellEnd"/>
      <w:r>
        <w:t>)</w:t>
      </w:r>
      <w:r w:rsidRPr="003C296A">
        <w:t>.</w:t>
      </w:r>
      <w:r>
        <w:t xml:space="preserve"> </w:t>
      </w:r>
    </w:p>
    <w:p w:rsidR="00C83A3D" w:rsidRDefault="00C83A3D" w:rsidP="003D6704">
      <w:pPr>
        <w:pStyle w:val="BodyText"/>
      </w:pPr>
      <w:r>
        <w:t>The value of Australian Government administered expenses for 2016</w:t>
      </w:r>
      <w:r>
        <w:noBreakHyphen/>
        <w:t>17 was $13.3 million (</w:t>
      </w:r>
      <w:proofErr w:type="spellStart"/>
      <w:r>
        <w:t>ATO</w:t>
      </w:r>
      <w:proofErr w:type="spellEnd"/>
      <w:r>
        <w:t xml:space="preserve"> </w:t>
      </w:r>
      <w:proofErr w:type="spellStart"/>
      <w:r>
        <w:t>2018a</w:t>
      </w:r>
      <w:proofErr w:type="spellEnd"/>
      <w:r>
        <w:t xml:space="preserve">). Expenditure reported in the </w:t>
      </w:r>
      <w:r w:rsidRPr="00C72DA9">
        <w:rPr>
          <w:i/>
        </w:rPr>
        <w:t>Trade &amp; Assistance Review</w:t>
      </w:r>
      <w:r>
        <w:t xml:space="preserve"> in the two prior years has been rectified in the 2016</w:t>
      </w:r>
      <w:r>
        <w:noBreakHyphen/>
        <w:t>17 edition ($21.1 million for 2014</w:t>
      </w:r>
      <w:r>
        <w:noBreakHyphen/>
        <w:t>15 and $13.7 million for 2015</w:t>
      </w:r>
      <w:r>
        <w:noBreakHyphen/>
        <w:t>16).</w:t>
      </w:r>
    </w:p>
    <w:p w:rsidR="00C83A3D" w:rsidRDefault="00C83A3D" w:rsidP="00120072">
      <w:pPr>
        <w:pStyle w:val="BodyText"/>
      </w:pPr>
      <w:r>
        <w:t xml:space="preserve">This program is assessed as initially benefiting firms engaged in mining activities and has been allocated to the </w:t>
      </w:r>
      <w:r w:rsidRPr="00A02B43">
        <w:rPr>
          <w:i/>
        </w:rPr>
        <w:t>Mining</w:t>
      </w:r>
      <w:r>
        <w:t xml:space="preserve"> industry grouping. </w:t>
      </w:r>
    </w:p>
    <w:p w:rsidR="00C83A3D" w:rsidRDefault="00C83A3D" w:rsidP="003D6704">
      <w:pPr>
        <w:pStyle w:val="Heading2nosectionno"/>
      </w:pPr>
      <w:r>
        <w:t>Funding for major films</w:t>
      </w:r>
    </w:p>
    <w:p w:rsidR="00C83A3D" w:rsidRDefault="00C83A3D" w:rsidP="003D6704">
      <w:pPr>
        <w:pStyle w:val="BodyText"/>
      </w:pPr>
      <w:r>
        <w:t>In October 2014, the Australian Government announced that it would provide a one off grant of $21.6 million towards the production of the film ‘'</w:t>
      </w:r>
      <w:r w:rsidRPr="00BB0E80">
        <w:t>Pirates of the Caribbean: Dead Men tell No Tales</w:t>
      </w:r>
      <w:r>
        <w:t xml:space="preserve">’ (Brandis 2014). </w:t>
      </w:r>
    </w:p>
    <w:p w:rsidR="00C83A3D" w:rsidRDefault="00C83A3D" w:rsidP="003D6704">
      <w:pPr>
        <w:pStyle w:val="BodyText"/>
      </w:pPr>
      <w:r>
        <w:t xml:space="preserve">In October </w:t>
      </w:r>
      <w:r w:rsidRPr="00F44F51">
        <w:t>2015</w:t>
      </w:r>
      <w:r>
        <w:t>, the Australian Government announced that it would provide a one off grant of $47.3 million over two years from 2016</w:t>
      </w:r>
      <w:r>
        <w:noBreakHyphen/>
        <w:t xml:space="preserve">17 for production of two major films in Australia: 'Alien: </w:t>
      </w:r>
      <w:proofErr w:type="spellStart"/>
      <w:r>
        <w:t>Convenant</w:t>
      </w:r>
      <w:proofErr w:type="spellEnd"/>
      <w:r>
        <w:t xml:space="preserve">’ and ‘Thor: </w:t>
      </w:r>
      <w:proofErr w:type="spellStart"/>
      <w:r>
        <w:t>Ragnarok</w:t>
      </w:r>
      <w:proofErr w:type="spellEnd"/>
      <w:r>
        <w:t xml:space="preserve">’ (Bishop 2015). </w:t>
      </w:r>
    </w:p>
    <w:p w:rsidR="00C83A3D" w:rsidRDefault="00C83A3D" w:rsidP="003D6704">
      <w:pPr>
        <w:pStyle w:val="BodyText"/>
      </w:pPr>
      <w:r>
        <w:t>The value of Australian Government administered expenses for 2016</w:t>
      </w:r>
      <w:r>
        <w:noBreakHyphen/>
        <w:t>17 was $39.2 million (Australian Government 2013, p.</w:t>
      </w:r>
      <w:r w:rsidR="003D6704">
        <w:t> </w:t>
      </w:r>
      <w:r>
        <w:t xml:space="preserve">241; </w:t>
      </w:r>
      <w:proofErr w:type="spellStart"/>
      <w:r>
        <w:t>2015a</w:t>
      </w:r>
      <w:proofErr w:type="spellEnd"/>
      <w:r>
        <w:t>, p.</w:t>
      </w:r>
      <w:r w:rsidR="003D6704">
        <w:t> </w:t>
      </w:r>
      <w:r>
        <w:t xml:space="preserve">152). </w:t>
      </w:r>
    </w:p>
    <w:p w:rsidR="00C83A3D" w:rsidRDefault="00C83A3D" w:rsidP="003D6704">
      <w:pPr>
        <w:pStyle w:val="BodyText"/>
      </w:pPr>
      <w:r>
        <w:t xml:space="preserve">Funding for the films has been allocated to the </w:t>
      </w:r>
      <w:r w:rsidRPr="003C296A">
        <w:rPr>
          <w:i/>
        </w:rPr>
        <w:t>Arts and recreation services</w:t>
      </w:r>
      <w:r>
        <w:t xml:space="preserve"> industry grouping. </w:t>
      </w:r>
    </w:p>
    <w:p w:rsidR="00C83A3D" w:rsidRDefault="00C83A3D" w:rsidP="003D6704">
      <w:pPr>
        <w:pStyle w:val="Heading2nosectionno"/>
      </w:pPr>
      <w:r>
        <w:t>Unincorporated Small Business Tax Discount</w:t>
      </w:r>
    </w:p>
    <w:p w:rsidR="00C83A3D" w:rsidRDefault="00C83A3D" w:rsidP="003D6704">
      <w:pPr>
        <w:pStyle w:val="BodyText"/>
      </w:pPr>
      <w:r>
        <w:t>In the 2014</w:t>
      </w:r>
      <w:r>
        <w:noBreakHyphen/>
        <w:t>15 Budget, the Australia Government announced it would introduce a tax discount for unincorporated small businesses. Under the discount unincorporated small businesses will receive a 5 per cent discount on the tax payable on their business income, with the discount capped at $1000 per individual in an income year, with the discount to be delivered as a tax credit in their return. The discount was broadly in</w:t>
      </w:r>
      <w:r w:rsidR="003D6704">
        <w:noBreakHyphen/>
      </w:r>
      <w:r>
        <w:t xml:space="preserve">line with the government’s 1.5 percentage point tax cut for small incorporated companies (Australian Government </w:t>
      </w:r>
      <w:proofErr w:type="spellStart"/>
      <w:r>
        <w:t>2015b</w:t>
      </w:r>
      <w:proofErr w:type="spellEnd"/>
      <w:r>
        <w:t xml:space="preserve">). </w:t>
      </w:r>
    </w:p>
    <w:p w:rsidR="00C83A3D" w:rsidRDefault="00C83A3D" w:rsidP="003D6704">
      <w:pPr>
        <w:pStyle w:val="BodyText"/>
      </w:pPr>
      <w:r>
        <w:t>In the 2016</w:t>
      </w:r>
      <w:r>
        <w:noBreakHyphen/>
        <w:t>17 Budget, the Government announced an increase to the tax discount for unincorporated small businesses incrementally over 10 years from 5 per cent to 16 per cent. From 1 July 2016, the tax discount will increase to 8 per cent and be extended to individual taxpayers with business income from an unincorporated business that has aggregated annual turnover less than $5 million. The tax discount will remain constant at 8 per cent for eight years, then increase to 10 per cent in 2024</w:t>
      </w:r>
      <w:r>
        <w:noBreakHyphen/>
        <w:t>25, 13 per cent in 2025</w:t>
      </w:r>
      <w:r>
        <w:noBreakHyphen/>
        <w:t>26 and finally 16 per cent in 2026</w:t>
      </w:r>
      <w:r>
        <w:noBreakHyphen/>
        <w:t xml:space="preserve">27. </w:t>
      </w:r>
      <w:r w:rsidR="003D6704">
        <w:t>The discount is capped at $1</w:t>
      </w:r>
      <w:r>
        <w:t>000 per individual for each income year and is delivered as a non</w:t>
      </w:r>
      <w:r w:rsidR="003D6704">
        <w:noBreakHyphen/>
      </w:r>
      <w:r>
        <w:t>refundable tax offset (</w:t>
      </w:r>
      <w:proofErr w:type="spellStart"/>
      <w:r>
        <w:t>ATO</w:t>
      </w:r>
      <w:proofErr w:type="spellEnd"/>
      <w:r>
        <w:t xml:space="preserve"> </w:t>
      </w:r>
      <w:proofErr w:type="spellStart"/>
      <w:r>
        <w:t>2018b</w:t>
      </w:r>
      <w:proofErr w:type="spellEnd"/>
      <w:r>
        <w:t xml:space="preserve">). </w:t>
      </w:r>
    </w:p>
    <w:p w:rsidR="00C83A3D" w:rsidRDefault="00C83A3D" w:rsidP="00120072">
      <w:pPr>
        <w:pStyle w:val="BodyText"/>
      </w:pPr>
      <w:r>
        <w:t>The value of the Australian Government tax concession for 2016</w:t>
      </w:r>
      <w:r>
        <w:noBreakHyphen/>
        <w:t xml:space="preserve">17 was $550 million (Australian Government 2018). </w:t>
      </w:r>
    </w:p>
    <w:p w:rsidR="00C83A3D" w:rsidRDefault="00C83A3D" w:rsidP="00120072">
      <w:pPr>
        <w:pStyle w:val="BodyText"/>
      </w:pPr>
      <w:r>
        <w:lastRenderedPageBreak/>
        <w:t xml:space="preserve">This concession is assessed as initially benefiting unincorporated small businesses. However, information on the specific industry incidence of the concession has not been readily available. Accordingly, the tax concession has been classified to the </w:t>
      </w:r>
      <w:r w:rsidRPr="002B1DED">
        <w:rPr>
          <w:i/>
        </w:rPr>
        <w:t>Unallocated other</w:t>
      </w:r>
      <w:r>
        <w:t xml:space="preserve"> industry grouping. </w:t>
      </w:r>
    </w:p>
    <w:p w:rsidR="006F732E" w:rsidRDefault="006F732E" w:rsidP="00120072">
      <w:pPr>
        <w:pStyle w:val="BodyText"/>
        <w:sectPr w:rsidR="006F732E" w:rsidSect="00C83A3D">
          <w:headerReference w:type="even" r:id="rId21"/>
          <w:headerReference w:type="default" r:id="rId22"/>
          <w:footerReference w:type="even" r:id="rId23"/>
          <w:footerReference w:type="default" r:id="rId24"/>
          <w:type w:val="oddPage"/>
          <w:pgSz w:w="11907" w:h="16840" w:code="9"/>
          <w:pgMar w:top="1985" w:right="1304" w:bottom="1247" w:left="1814" w:header="1701" w:footer="397" w:gutter="0"/>
          <w:pgNumType w:chapSep="period"/>
          <w:cols w:space="720"/>
          <w:docGrid w:linePitch="326"/>
        </w:sectPr>
      </w:pPr>
    </w:p>
    <w:p w:rsidR="00C83A3D" w:rsidRDefault="00C83A3D" w:rsidP="003D6704">
      <w:pPr>
        <w:pStyle w:val="Heading1"/>
        <w:spacing w:before="0"/>
      </w:pPr>
      <w:r>
        <w:lastRenderedPageBreak/>
        <w:t>3</w:t>
      </w:r>
      <w:r>
        <w:tab/>
        <w:t>Programs previously included in the estimates that had zero assistance in 2016</w:t>
      </w:r>
      <w:r w:rsidR="003D6704">
        <w:noBreakHyphen/>
      </w:r>
      <w:r>
        <w:t>17</w:t>
      </w:r>
    </w:p>
    <w:p w:rsidR="00C83A3D" w:rsidRDefault="00C83A3D" w:rsidP="00120072">
      <w:pPr>
        <w:pStyle w:val="BodyText"/>
      </w:pPr>
      <w:r w:rsidRPr="0083513E">
        <w:t xml:space="preserve">This chapter presents information on </w:t>
      </w:r>
      <w:r>
        <w:t xml:space="preserve">15 </w:t>
      </w:r>
      <w:r w:rsidRPr="0083513E">
        <w:t>programs which were included in the assistance estimates for 201</w:t>
      </w:r>
      <w:r>
        <w:t>5</w:t>
      </w:r>
      <w:r>
        <w:noBreakHyphen/>
        <w:t>16</w:t>
      </w:r>
      <w:r w:rsidRPr="0083513E">
        <w:t xml:space="preserve"> (and earlier years where applicable), but which had zero assistance in 201</w:t>
      </w:r>
      <w:r>
        <w:t>6</w:t>
      </w:r>
      <w:r>
        <w:noBreakHyphen/>
        <w:t>17</w:t>
      </w:r>
      <w:r w:rsidRPr="0083513E">
        <w:t>. Assistance provided by these programs was $</w:t>
      </w:r>
      <w:r>
        <w:t>85.4</w:t>
      </w:r>
      <w:r w:rsidRPr="0083513E">
        <w:t xml:space="preserve"> million in 201</w:t>
      </w:r>
      <w:r>
        <w:t>5</w:t>
      </w:r>
      <w:r>
        <w:noBreakHyphen/>
        <w:t>16</w:t>
      </w:r>
      <w:r w:rsidRPr="0083513E">
        <w:t xml:space="preserve"> (table</w:t>
      </w:r>
      <w:r w:rsidR="003D6704">
        <w:t> </w:t>
      </w:r>
      <w:r w:rsidRPr="0083513E">
        <w:t>3.1).</w:t>
      </w:r>
      <w:r>
        <w:t xml:space="preserve"> </w:t>
      </w:r>
    </w:p>
    <w:p w:rsidR="00C83A3D" w:rsidRDefault="00C83A3D" w:rsidP="003D6704">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C83A3D" w:rsidTr="003D6704">
        <w:trPr>
          <w:tblHeader/>
        </w:trPr>
        <w:tc>
          <w:tcPr>
            <w:tcW w:w="5000" w:type="pct"/>
            <w:tcBorders>
              <w:top w:val="single" w:sz="6" w:space="0" w:color="78A22F"/>
              <w:left w:val="nil"/>
              <w:bottom w:val="nil"/>
              <w:right w:val="nil"/>
            </w:tcBorders>
            <w:shd w:val="clear" w:color="auto" w:fill="auto"/>
          </w:tcPr>
          <w:p w:rsidR="00C83A3D" w:rsidRPr="00784A05" w:rsidRDefault="00C83A3D" w:rsidP="003D6704">
            <w:pPr>
              <w:pStyle w:val="TableTitle"/>
            </w:pPr>
            <w:r>
              <w:rPr>
                <w:b w:val="0"/>
              </w:rPr>
              <w:t>Table 3.</w:t>
            </w:r>
            <w:r>
              <w:rPr>
                <w:b w:val="0"/>
                <w:noProof/>
              </w:rPr>
              <w:t>1</w:t>
            </w:r>
            <w:r>
              <w:tab/>
            </w:r>
            <w:r w:rsidRPr="00B92BF6">
              <w:rPr>
                <w:spacing w:val="-6"/>
              </w:rPr>
              <w:t>Assistance programs in 2015</w:t>
            </w:r>
            <w:r w:rsidRPr="00B92BF6">
              <w:rPr>
                <w:spacing w:val="-6"/>
              </w:rPr>
              <w:noBreakHyphen/>
              <w:t>16 with zero assistance in 2016</w:t>
            </w:r>
            <w:r w:rsidRPr="00B92BF6">
              <w:rPr>
                <w:spacing w:val="-6"/>
              </w:rPr>
              <w:noBreakHyphen/>
              <w:t>17</w:t>
            </w:r>
          </w:p>
        </w:tc>
      </w:tr>
      <w:tr w:rsidR="00C83A3D" w:rsidTr="003D6704">
        <w:tc>
          <w:tcPr>
            <w:tcW w:w="5000" w:type="pct"/>
            <w:tcBorders>
              <w:top w:val="nil"/>
              <w:left w:val="nil"/>
              <w:bottom w:val="nil"/>
              <w:right w:val="nil"/>
            </w:tcBorders>
            <w:shd w:val="clear" w:color="auto" w:fill="auto"/>
          </w:tcPr>
          <w:tbl>
            <w:tblPr>
              <w:tblW w:w="8505" w:type="dxa"/>
              <w:tblCellMar>
                <w:top w:w="28" w:type="dxa"/>
                <w:left w:w="0" w:type="dxa"/>
                <w:right w:w="0" w:type="dxa"/>
              </w:tblCellMar>
              <w:tblLook w:val="0000" w:firstRow="0" w:lastRow="0" w:firstColumn="0" w:lastColumn="0" w:noHBand="0" w:noVBand="0"/>
            </w:tblPr>
            <w:tblGrid>
              <w:gridCol w:w="3402"/>
              <w:gridCol w:w="794"/>
              <w:gridCol w:w="3404"/>
              <w:gridCol w:w="905"/>
            </w:tblGrid>
            <w:tr w:rsidR="00C83A3D" w:rsidTr="003D6704">
              <w:trPr>
                <w:tblHeader/>
              </w:trPr>
              <w:tc>
                <w:tcPr>
                  <w:tcW w:w="2000" w:type="pct"/>
                  <w:tcBorders>
                    <w:top w:val="single" w:sz="6" w:space="0" w:color="BFBFBF"/>
                    <w:bottom w:val="single" w:sz="6" w:space="0" w:color="BFBFBF"/>
                  </w:tcBorders>
                  <w:shd w:val="clear" w:color="auto" w:fill="auto"/>
                  <w:tcMar>
                    <w:top w:w="28" w:type="dxa"/>
                  </w:tcMar>
                  <w:vAlign w:val="bottom"/>
                </w:tcPr>
                <w:p w:rsidR="00C83A3D" w:rsidRDefault="00C83A3D" w:rsidP="003D6704">
                  <w:pPr>
                    <w:pStyle w:val="TableColumnHeading"/>
                    <w:jc w:val="left"/>
                  </w:pPr>
                  <w:r>
                    <w:t>Program</w:t>
                  </w:r>
                </w:p>
              </w:tc>
              <w:tc>
                <w:tcPr>
                  <w:tcW w:w="467" w:type="pct"/>
                  <w:tcBorders>
                    <w:top w:val="single" w:sz="6" w:space="0" w:color="BFBFBF"/>
                    <w:bottom w:val="single" w:sz="6" w:space="0" w:color="BFBFBF"/>
                  </w:tcBorders>
                  <w:vAlign w:val="bottom"/>
                </w:tcPr>
                <w:p w:rsidR="00C83A3D" w:rsidRDefault="00C83A3D" w:rsidP="000B5BB7">
                  <w:pPr>
                    <w:pStyle w:val="TableColumnHeading"/>
                  </w:pPr>
                  <w:r>
                    <w:t>Form</w:t>
                  </w:r>
                  <w:r>
                    <w:rPr>
                      <w:rStyle w:val="NoteLabel"/>
                    </w:rPr>
                    <w:t>a</w:t>
                  </w:r>
                </w:p>
              </w:tc>
              <w:tc>
                <w:tcPr>
                  <w:tcW w:w="2001" w:type="pct"/>
                  <w:tcBorders>
                    <w:top w:val="single" w:sz="6" w:space="0" w:color="BFBFBF"/>
                    <w:bottom w:val="single" w:sz="6" w:space="0" w:color="BFBFBF"/>
                  </w:tcBorders>
                  <w:shd w:val="clear" w:color="auto" w:fill="auto"/>
                  <w:tcMar>
                    <w:top w:w="28" w:type="dxa"/>
                  </w:tcMar>
                  <w:vAlign w:val="bottom"/>
                </w:tcPr>
                <w:p w:rsidR="00C83A3D" w:rsidRDefault="00C83A3D" w:rsidP="003D6704">
                  <w:pPr>
                    <w:pStyle w:val="TableColumnHeading"/>
                    <w:jc w:val="left"/>
                  </w:pPr>
                  <w:r>
                    <w:t>Initial benefiting industry</w:t>
                  </w:r>
                </w:p>
              </w:tc>
              <w:tc>
                <w:tcPr>
                  <w:tcW w:w="532" w:type="pct"/>
                  <w:tcBorders>
                    <w:top w:val="single" w:sz="6" w:space="0" w:color="BFBFBF"/>
                    <w:bottom w:val="single" w:sz="6" w:space="0" w:color="BFBFBF"/>
                  </w:tcBorders>
                  <w:shd w:val="clear" w:color="auto" w:fill="auto"/>
                  <w:tcMar>
                    <w:top w:w="28" w:type="dxa"/>
                  </w:tcMar>
                  <w:vAlign w:val="bottom"/>
                </w:tcPr>
                <w:p w:rsidR="00C83A3D" w:rsidRDefault="00C83A3D" w:rsidP="003D6704">
                  <w:pPr>
                    <w:pStyle w:val="TableColumnHeading"/>
                    <w:ind w:right="28"/>
                  </w:pPr>
                  <w:r>
                    <w:t>Assistance value 2015</w:t>
                  </w:r>
                  <w:r>
                    <w:noBreakHyphen/>
                    <w:t>16</w:t>
                  </w:r>
                </w:p>
              </w:tc>
            </w:tr>
            <w:tr w:rsidR="00C83A3D" w:rsidTr="003D6704">
              <w:tc>
                <w:tcPr>
                  <w:tcW w:w="2000" w:type="pct"/>
                  <w:tcBorders>
                    <w:top w:val="single" w:sz="6" w:space="0" w:color="BFBFBF"/>
                  </w:tcBorders>
                </w:tcPr>
                <w:p w:rsidR="00C83A3D" w:rsidRDefault="00C83A3D" w:rsidP="003D6704">
                  <w:pPr>
                    <w:pStyle w:val="TableUnitsRow"/>
                    <w:spacing w:before="0"/>
                    <w:jc w:val="left"/>
                  </w:pPr>
                </w:p>
              </w:tc>
              <w:tc>
                <w:tcPr>
                  <w:tcW w:w="467" w:type="pct"/>
                  <w:tcBorders>
                    <w:top w:val="single" w:sz="6" w:space="0" w:color="BFBFBF"/>
                  </w:tcBorders>
                </w:tcPr>
                <w:p w:rsidR="00C83A3D" w:rsidRDefault="00C83A3D" w:rsidP="003D6704">
                  <w:pPr>
                    <w:pStyle w:val="TableUnitsRow"/>
                    <w:spacing w:before="0"/>
                  </w:pPr>
                </w:p>
              </w:tc>
              <w:tc>
                <w:tcPr>
                  <w:tcW w:w="2001" w:type="pct"/>
                  <w:tcBorders>
                    <w:top w:val="single" w:sz="6" w:space="0" w:color="BFBFBF"/>
                  </w:tcBorders>
                </w:tcPr>
                <w:p w:rsidR="00C83A3D" w:rsidRDefault="00C83A3D" w:rsidP="003D6704">
                  <w:pPr>
                    <w:pStyle w:val="TableUnitsRow"/>
                    <w:spacing w:before="0"/>
                  </w:pPr>
                </w:p>
              </w:tc>
              <w:tc>
                <w:tcPr>
                  <w:tcW w:w="532" w:type="pct"/>
                  <w:tcBorders>
                    <w:top w:val="single" w:sz="6" w:space="0" w:color="BFBFBF"/>
                  </w:tcBorders>
                </w:tcPr>
                <w:p w:rsidR="00C83A3D" w:rsidRPr="00DA6AB3" w:rsidRDefault="00C83A3D" w:rsidP="003D6704">
                  <w:pPr>
                    <w:pStyle w:val="TableUnitsRow"/>
                    <w:spacing w:before="0"/>
                    <w:ind w:right="57"/>
                    <w:rPr>
                      <w:i/>
                    </w:rPr>
                  </w:pPr>
                  <w:r w:rsidRPr="00DA6AB3">
                    <w:rPr>
                      <w:i/>
                    </w:rPr>
                    <w:t>$m</w:t>
                  </w:r>
                </w:p>
              </w:tc>
            </w:tr>
            <w:tr w:rsidR="00C83A3D" w:rsidTr="003D6704">
              <w:tc>
                <w:tcPr>
                  <w:tcW w:w="2000" w:type="pct"/>
                </w:tcPr>
                <w:p w:rsidR="00C83A3D" w:rsidRDefault="00C83A3D" w:rsidP="003D6704">
                  <w:pPr>
                    <w:pStyle w:val="TableBodyText"/>
                    <w:jc w:val="left"/>
                  </w:pPr>
                  <w:r w:rsidRPr="008C6A72">
                    <w:t>Clothing and Household Textile Building Innovative Capability Program</w:t>
                  </w:r>
                </w:p>
              </w:tc>
              <w:tc>
                <w:tcPr>
                  <w:tcW w:w="467" w:type="pct"/>
                </w:tcPr>
                <w:p w:rsidR="00C83A3D" w:rsidRDefault="00C83A3D" w:rsidP="003D6704">
                  <w:pPr>
                    <w:pStyle w:val="TableBodyText"/>
                  </w:pPr>
                  <w:r>
                    <w:t>BO</w:t>
                  </w:r>
                  <w:r w:rsidR="000B5BB7">
                    <w:t>  </w:t>
                  </w:r>
                </w:p>
              </w:tc>
              <w:tc>
                <w:tcPr>
                  <w:tcW w:w="2001" w:type="pct"/>
                </w:tcPr>
                <w:p w:rsidR="00C83A3D" w:rsidRDefault="00C83A3D" w:rsidP="003D6704">
                  <w:pPr>
                    <w:pStyle w:val="TableBodyText"/>
                    <w:jc w:val="left"/>
                  </w:pPr>
                  <w:r w:rsidRPr="00A52ADD">
                    <w:t>Textile, leather, clothing and footwear</w:t>
                  </w:r>
                </w:p>
              </w:tc>
              <w:tc>
                <w:tcPr>
                  <w:tcW w:w="532" w:type="pct"/>
                </w:tcPr>
                <w:p w:rsidR="00C83A3D" w:rsidRDefault="00C83A3D" w:rsidP="003D6704">
                  <w:pPr>
                    <w:pStyle w:val="TableBodyText"/>
                    <w:ind w:right="28"/>
                  </w:pPr>
                  <w:r>
                    <w:t>21.2</w:t>
                  </w:r>
                </w:p>
              </w:tc>
            </w:tr>
            <w:tr w:rsidR="00C83A3D" w:rsidTr="003D6704">
              <w:tc>
                <w:tcPr>
                  <w:tcW w:w="2000" w:type="pct"/>
                </w:tcPr>
                <w:p w:rsidR="00C83A3D" w:rsidRDefault="00C83A3D" w:rsidP="003D6704">
                  <w:pPr>
                    <w:pStyle w:val="TableBodyText"/>
                    <w:jc w:val="left"/>
                  </w:pPr>
                  <w:r w:rsidRPr="008C6A72">
                    <w:t>ICT centre of excellence</w:t>
                  </w:r>
                </w:p>
              </w:tc>
              <w:tc>
                <w:tcPr>
                  <w:tcW w:w="467" w:type="pct"/>
                </w:tcPr>
                <w:p w:rsidR="00C83A3D" w:rsidRDefault="00C83A3D" w:rsidP="003D6704">
                  <w:pPr>
                    <w:pStyle w:val="TableBodyText"/>
                  </w:pPr>
                  <w:r>
                    <w:t>BO</w:t>
                  </w:r>
                  <w:r w:rsidR="000B5BB7">
                    <w:t>  </w:t>
                  </w:r>
                </w:p>
              </w:tc>
              <w:tc>
                <w:tcPr>
                  <w:tcW w:w="2001" w:type="pct"/>
                </w:tcPr>
                <w:p w:rsidR="00C83A3D" w:rsidRDefault="00C83A3D" w:rsidP="003D6704">
                  <w:pPr>
                    <w:pStyle w:val="TableBodyText"/>
                    <w:jc w:val="left"/>
                  </w:pPr>
                  <w:r w:rsidRPr="00A52ADD">
                    <w:t>Information media and telecommunications</w:t>
                  </w:r>
                </w:p>
              </w:tc>
              <w:tc>
                <w:tcPr>
                  <w:tcW w:w="532" w:type="pct"/>
                </w:tcPr>
                <w:p w:rsidR="00C83A3D" w:rsidRDefault="00C83A3D" w:rsidP="003D6704">
                  <w:pPr>
                    <w:pStyle w:val="TableBodyText"/>
                    <w:ind w:right="28"/>
                  </w:pPr>
                  <w:r>
                    <w:t>21.0</w:t>
                  </w:r>
                </w:p>
              </w:tc>
            </w:tr>
            <w:tr w:rsidR="00C83A3D" w:rsidTr="003D6704">
              <w:tc>
                <w:tcPr>
                  <w:tcW w:w="2000" w:type="pct"/>
                </w:tcPr>
                <w:p w:rsidR="00C83A3D" w:rsidRDefault="00C83A3D" w:rsidP="003D6704">
                  <w:pPr>
                    <w:pStyle w:val="TableBodyText"/>
                    <w:jc w:val="left"/>
                  </w:pPr>
                  <w:proofErr w:type="spellStart"/>
                  <w:r w:rsidRPr="008C6A72">
                    <w:t>Bindaree</w:t>
                  </w:r>
                  <w:proofErr w:type="spellEnd"/>
                  <w:r w:rsidRPr="008C6A72">
                    <w:t xml:space="preserve"> Beef assistance</w:t>
                  </w:r>
                </w:p>
              </w:tc>
              <w:tc>
                <w:tcPr>
                  <w:tcW w:w="467" w:type="pct"/>
                </w:tcPr>
                <w:p w:rsidR="00C83A3D" w:rsidRDefault="00C83A3D" w:rsidP="003D6704">
                  <w:pPr>
                    <w:pStyle w:val="TableBodyText"/>
                  </w:pPr>
                  <w:r>
                    <w:t>BO</w:t>
                  </w:r>
                  <w:r w:rsidR="000B5BB7">
                    <w:t>  </w:t>
                  </w:r>
                </w:p>
              </w:tc>
              <w:tc>
                <w:tcPr>
                  <w:tcW w:w="2001" w:type="pct"/>
                </w:tcPr>
                <w:p w:rsidR="00C83A3D" w:rsidRDefault="00C83A3D" w:rsidP="003D6704">
                  <w:pPr>
                    <w:pStyle w:val="TableBodyText"/>
                    <w:jc w:val="left"/>
                  </w:pPr>
                  <w:r w:rsidRPr="00045D46">
                    <w:t>Food products</w:t>
                  </w:r>
                </w:p>
              </w:tc>
              <w:tc>
                <w:tcPr>
                  <w:tcW w:w="532" w:type="pct"/>
                </w:tcPr>
                <w:p w:rsidR="00C83A3D" w:rsidRDefault="00C83A3D" w:rsidP="003D6704">
                  <w:pPr>
                    <w:pStyle w:val="TableBodyText"/>
                    <w:ind w:right="28"/>
                  </w:pPr>
                  <w:r>
                    <w:t>11.1</w:t>
                  </w:r>
                </w:p>
              </w:tc>
            </w:tr>
            <w:tr w:rsidR="00C83A3D" w:rsidTr="003D6704">
              <w:tc>
                <w:tcPr>
                  <w:tcW w:w="2000" w:type="pct"/>
                </w:tcPr>
                <w:p w:rsidR="00C83A3D" w:rsidRDefault="00C83A3D" w:rsidP="003D6704">
                  <w:pPr>
                    <w:pStyle w:val="TableBodyText"/>
                    <w:jc w:val="left"/>
                  </w:pPr>
                  <w:r w:rsidRPr="008C6A72">
                    <w:t>Australian Tropical Medicine Commercialisation Grants</w:t>
                  </w:r>
                </w:p>
              </w:tc>
              <w:tc>
                <w:tcPr>
                  <w:tcW w:w="467" w:type="pct"/>
                </w:tcPr>
                <w:p w:rsidR="00C83A3D" w:rsidRDefault="00C83A3D" w:rsidP="003D6704">
                  <w:pPr>
                    <w:pStyle w:val="TableBodyText"/>
                  </w:pPr>
                  <w:r>
                    <w:t>BO</w:t>
                  </w:r>
                  <w:r w:rsidR="000B5BB7">
                    <w:t>  </w:t>
                  </w:r>
                </w:p>
              </w:tc>
              <w:tc>
                <w:tcPr>
                  <w:tcW w:w="2001" w:type="pct"/>
                </w:tcPr>
                <w:p w:rsidR="00C83A3D" w:rsidRDefault="00C83A3D" w:rsidP="003D6704">
                  <w:pPr>
                    <w:pStyle w:val="TableBodyText"/>
                    <w:jc w:val="left"/>
                  </w:pPr>
                  <w:r w:rsidRPr="007373F0">
                    <w:t>Basic chemical and chemical products</w:t>
                  </w:r>
                </w:p>
              </w:tc>
              <w:tc>
                <w:tcPr>
                  <w:tcW w:w="532" w:type="pct"/>
                </w:tcPr>
                <w:p w:rsidR="00C83A3D" w:rsidRDefault="00C83A3D" w:rsidP="003D6704">
                  <w:pPr>
                    <w:pStyle w:val="TableBodyText"/>
                    <w:ind w:right="28"/>
                  </w:pPr>
                  <w:r>
                    <w:t>7.0</w:t>
                  </w:r>
                </w:p>
              </w:tc>
            </w:tr>
            <w:tr w:rsidR="00C83A3D" w:rsidTr="003D6704">
              <w:tc>
                <w:tcPr>
                  <w:tcW w:w="2000" w:type="pct"/>
                </w:tcPr>
                <w:p w:rsidR="00C83A3D" w:rsidRDefault="00C83A3D" w:rsidP="003D6704">
                  <w:pPr>
                    <w:pStyle w:val="TableBodyText"/>
                    <w:jc w:val="left"/>
                  </w:pPr>
                  <w:r w:rsidRPr="008C6A72">
                    <w:t>Commercialisation Australia</w:t>
                  </w:r>
                </w:p>
              </w:tc>
              <w:tc>
                <w:tcPr>
                  <w:tcW w:w="467" w:type="pct"/>
                </w:tcPr>
                <w:p w:rsidR="00C83A3D" w:rsidRDefault="00C83A3D" w:rsidP="003D6704">
                  <w:pPr>
                    <w:pStyle w:val="TableBodyText"/>
                  </w:pPr>
                  <w:r>
                    <w:t>BO</w:t>
                  </w:r>
                  <w:r w:rsidR="000B5BB7">
                    <w:t> </w:t>
                  </w:r>
                </w:p>
              </w:tc>
              <w:tc>
                <w:tcPr>
                  <w:tcW w:w="2001" w:type="pct"/>
                </w:tcPr>
                <w:p w:rsidR="00C83A3D" w:rsidRDefault="00C83A3D" w:rsidP="003D6704">
                  <w:pPr>
                    <w:pStyle w:val="TableBodyText"/>
                    <w:jc w:val="left"/>
                  </w:pPr>
                  <w:r w:rsidRPr="00F42C08">
                    <w:t>Horticulture and fruit growing; Aquaculture and fishing; Primary production support services; Food, beverages and tobacco; Petroleum, coal, chemical and rubber products; Non</w:t>
                  </w:r>
                  <w:r w:rsidR="003D6704">
                    <w:noBreakHyphen/>
                  </w:r>
                  <w:r w:rsidRPr="00F42C08">
                    <w:t>Metallic mineral products; Metal and fabricated metal products; Other transport equipment; Machinery and equipment manufacturing; Electricity, gas, water and waste services; Construction; Retail trade; Information, media and telecommunications; Financial and insurance services; Property, professional and administrative services; Public administration and safety; Education and training; Health care and social assistance</w:t>
                  </w:r>
                </w:p>
              </w:tc>
              <w:tc>
                <w:tcPr>
                  <w:tcW w:w="532" w:type="pct"/>
                </w:tcPr>
                <w:p w:rsidR="00C83A3D" w:rsidRDefault="00C83A3D" w:rsidP="003D6704">
                  <w:pPr>
                    <w:pStyle w:val="TableBodyText"/>
                    <w:ind w:right="28"/>
                  </w:pPr>
                  <w:r>
                    <w:t>5.9</w:t>
                  </w:r>
                </w:p>
              </w:tc>
            </w:tr>
            <w:tr w:rsidR="00C83A3D" w:rsidTr="003D6704">
              <w:tc>
                <w:tcPr>
                  <w:tcW w:w="2000" w:type="pct"/>
                  <w:tcBorders>
                    <w:bottom w:val="single" w:sz="6" w:space="0" w:color="BFBFBF"/>
                  </w:tcBorders>
                  <w:shd w:val="clear" w:color="auto" w:fill="auto"/>
                </w:tcPr>
                <w:p w:rsidR="00C83A3D" w:rsidRDefault="00C83A3D" w:rsidP="003D6704">
                  <w:pPr>
                    <w:pStyle w:val="TableBodyText"/>
                    <w:jc w:val="left"/>
                  </w:pPr>
                  <w:r w:rsidRPr="008C6A72">
                    <w:t>Skilling Australian Defence Industry</w:t>
                  </w:r>
                </w:p>
              </w:tc>
              <w:tc>
                <w:tcPr>
                  <w:tcW w:w="467" w:type="pct"/>
                  <w:tcBorders>
                    <w:bottom w:val="single" w:sz="6" w:space="0" w:color="BFBFBF"/>
                  </w:tcBorders>
                </w:tcPr>
                <w:p w:rsidR="00C83A3D" w:rsidRDefault="00C83A3D" w:rsidP="003D6704">
                  <w:pPr>
                    <w:pStyle w:val="TableBodyText"/>
                  </w:pPr>
                  <w:r>
                    <w:t>BO</w:t>
                  </w:r>
                  <w:r w:rsidR="000B5BB7">
                    <w:t>  </w:t>
                  </w:r>
                </w:p>
              </w:tc>
              <w:tc>
                <w:tcPr>
                  <w:tcW w:w="2001" w:type="pct"/>
                  <w:tcBorders>
                    <w:bottom w:val="single" w:sz="6" w:space="0" w:color="BFBFBF"/>
                  </w:tcBorders>
                  <w:shd w:val="clear" w:color="auto" w:fill="auto"/>
                </w:tcPr>
                <w:p w:rsidR="00C83A3D" w:rsidRDefault="00C83A3D" w:rsidP="003D6704">
                  <w:pPr>
                    <w:pStyle w:val="TableBodyText"/>
                    <w:jc w:val="left"/>
                  </w:pPr>
                  <w:r>
                    <w:t>Unallocated manufacturing</w:t>
                  </w:r>
                </w:p>
              </w:tc>
              <w:tc>
                <w:tcPr>
                  <w:tcW w:w="532" w:type="pct"/>
                  <w:tcBorders>
                    <w:bottom w:val="single" w:sz="6" w:space="0" w:color="BFBFBF"/>
                  </w:tcBorders>
                  <w:shd w:val="clear" w:color="auto" w:fill="auto"/>
                </w:tcPr>
                <w:p w:rsidR="00C83A3D" w:rsidRDefault="00C83A3D" w:rsidP="003D6704">
                  <w:pPr>
                    <w:pStyle w:val="TableBodyText"/>
                    <w:ind w:right="28"/>
                  </w:pPr>
                  <w:r w:rsidRPr="008C6A72">
                    <w:t>5.5</w:t>
                  </w:r>
                </w:p>
              </w:tc>
            </w:tr>
          </w:tbl>
          <w:p w:rsidR="00C83A3D" w:rsidRDefault="00C83A3D" w:rsidP="003D6704">
            <w:pPr>
              <w:pStyle w:val="Box"/>
            </w:pPr>
          </w:p>
        </w:tc>
      </w:tr>
      <w:tr w:rsidR="00C83A3D" w:rsidTr="003D6704">
        <w:tc>
          <w:tcPr>
            <w:tcW w:w="5000" w:type="pct"/>
            <w:tcBorders>
              <w:top w:val="nil"/>
              <w:left w:val="nil"/>
              <w:bottom w:val="nil"/>
              <w:right w:val="nil"/>
            </w:tcBorders>
            <w:shd w:val="clear" w:color="auto" w:fill="auto"/>
          </w:tcPr>
          <w:p w:rsidR="00C83A3D" w:rsidRDefault="00C83A3D" w:rsidP="00B92BF6">
            <w:pPr>
              <w:pStyle w:val="Continued"/>
            </w:pPr>
            <w:r>
              <w:t>(continued next page)</w:t>
            </w:r>
          </w:p>
        </w:tc>
      </w:tr>
      <w:tr w:rsidR="00C83A3D" w:rsidTr="003D6704">
        <w:tc>
          <w:tcPr>
            <w:tcW w:w="5000" w:type="pct"/>
            <w:tcBorders>
              <w:top w:val="nil"/>
              <w:left w:val="nil"/>
              <w:bottom w:val="single" w:sz="6" w:space="0" w:color="78A22F"/>
              <w:right w:val="nil"/>
            </w:tcBorders>
            <w:shd w:val="clear" w:color="auto" w:fill="auto"/>
          </w:tcPr>
          <w:p w:rsidR="00C83A3D" w:rsidRDefault="00C83A3D" w:rsidP="003D6704">
            <w:pPr>
              <w:pStyle w:val="Box"/>
              <w:spacing w:before="0" w:line="120" w:lineRule="exact"/>
            </w:pPr>
          </w:p>
        </w:tc>
      </w:tr>
      <w:tr w:rsidR="00C83A3D" w:rsidRPr="000863A5" w:rsidTr="003D6704">
        <w:tc>
          <w:tcPr>
            <w:tcW w:w="5000" w:type="pct"/>
            <w:tcBorders>
              <w:top w:val="single" w:sz="6" w:space="0" w:color="78A22F"/>
              <w:left w:val="nil"/>
              <w:bottom w:val="nil"/>
              <w:right w:val="nil"/>
            </w:tcBorders>
          </w:tcPr>
          <w:p w:rsidR="00C83A3D" w:rsidRPr="00626D32" w:rsidRDefault="00C83A3D" w:rsidP="003D6704">
            <w:pPr>
              <w:pStyle w:val="BoxSpaceBelow"/>
            </w:pPr>
          </w:p>
        </w:tc>
      </w:tr>
    </w:tbl>
    <w:p w:rsidR="00C83A3D" w:rsidRDefault="00C83A3D" w:rsidP="003D6704">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C83A3D" w:rsidTr="003D6704">
        <w:trPr>
          <w:tblHeader/>
        </w:trPr>
        <w:tc>
          <w:tcPr>
            <w:tcW w:w="5000" w:type="pct"/>
            <w:tcBorders>
              <w:top w:val="single" w:sz="6" w:space="0" w:color="78A22F"/>
              <w:left w:val="nil"/>
              <w:bottom w:val="nil"/>
              <w:right w:val="nil"/>
            </w:tcBorders>
            <w:shd w:val="clear" w:color="auto" w:fill="auto"/>
          </w:tcPr>
          <w:p w:rsidR="00C83A3D" w:rsidRPr="00784A05" w:rsidRDefault="00C83A3D" w:rsidP="003D6704">
            <w:pPr>
              <w:pStyle w:val="TableTitle"/>
            </w:pPr>
            <w:r>
              <w:rPr>
                <w:b w:val="0"/>
              </w:rPr>
              <w:t>Table 3.</w:t>
            </w:r>
            <w:r>
              <w:rPr>
                <w:b w:val="0"/>
                <w:noProof/>
              </w:rPr>
              <w:t>2</w:t>
            </w:r>
            <w:r>
              <w:tab/>
            </w:r>
            <w:r w:rsidRPr="00B92BF6">
              <w:rPr>
                <w:b w:val="0"/>
                <w:sz w:val="18"/>
                <w:szCs w:val="18"/>
              </w:rPr>
              <w:t>(continued)</w:t>
            </w:r>
          </w:p>
        </w:tc>
      </w:tr>
      <w:tr w:rsidR="00C83A3D" w:rsidTr="003D6704">
        <w:tc>
          <w:tcPr>
            <w:tcW w:w="5000" w:type="pct"/>
            <w:tcBorders>
              <w:top w:val="nil"/>
              <w:left w:val="nil"/>
              <w:bottom w:val="nil"/>
              <w:right w:val="nil"/>
            </w:tcBorders>
            <w:shd w:val="clear" w:color="auto" w:fill="auto"/>
          </w:tcPr>
          <w:tbl>
            <w:tblPr>
              <w:tblW w:w="8531" w:type="dxa"/>
              <w:tblCellMar>
                <w:top w:w="28" w:type="dxa"/>
                <w:left w:w="0" w:type="dxa"/>
                <w:right w:w="0" w:type="dxa"/>
              </w:tblCellMar>
              <w:tblLook w:val="0000" w:firstRow="0" w:lastRow="0" w:firstColumn="0" w:lastColumn="0" w:noHBand="0" w:noVBand="0"/>
            </w:tblPr>
            <w:tblGrid>
              <w:gridCol w:w="3416"/>
              <w:gridCol w:w="800"/>
              <w:gridCol w:w="3409"/>
              <w:gridCol w:w="906"/>
            </w:tblGrid>
            <w:tr w:rsidR="00C83A3D" w:rsidTr="003D6704">
              <w:trPr>
                <w:tblHeader/>
              </w:trPr>
              <w:tc>
                <w:tcPr>
                  <w:tcW w:w="2002" w:type="pct"/>
                  <w:tcBorders>
                    <w:top w:val="single" w:sz="6" w:space="0" w:color="BFBFBF"/>
                  </w:tcBorders>
                  <w:shd w:val="clear" w:color="auto" w:fill="auto"/>
                  <w:tcMar>
                    <w:top w:w="28" w:type="dxa"/>
                  </w:tcMar>
                  <w:vAlign w:val="bottom"/>
                </w:tcPr>
                <w:p w:rsidR="00C83A3D" w:rsidRDefault="00C83A3D" w:rsidP="003D6704">
                  <w:pPr>
                    <w:pStyle w:val="TableColumnHeading"/>
                    <w:jc w:val="left"/>
                  </w:pPr>
                  <w:r>
                    <w:t>Program</w:t>
                  </w:r>
                </w:p>
              </w:tc>
              <w:tc>
                <w:tcPr>
                  <w:tcW w:w="469" w:type="pct"/>
                  <w:tcBorders>
                    <w:top w:val="single" w:sz="6" w:space="0" w:color="BFBFBF"/>
                  </w:tcBorders>
                  <w:vAlign w:val="bottom"/>
                </w:tcPr>
                <w:p w:rsidR="00C83A3D" w:rsidRDefault="00C83A3D" w:rsidP="000B5BB7">
                  <w:pPr>
                    <w:pStyle w:val="TableColumnHeading"/>
                  </w:pPr>
                  <w:r>
                    <w:t>Form</w:t>
                  </w:r>
                  <w:r>
                    <w:rPr>
                      <w:rStyle w:val="NoteLabel"/>
                    </w:rPr>
                    <w:t>a</w:t>
                  </w:r>
                </w:p>
              </w:tc>
              <w:tc>
                <w:tcPr>
                  <w:tcW w:w="1998" w:type="pct"/>
                  <w:tcBorders>
                    <w:top w:val="single" w:sz="6" w:space="0" w:color="BFBFBF"/>
                  </w:tcBorders>
                  <w:shd w:val="clear" w:color="auto" w:fill="auto"/>
                  <w:tcMar>
                    <w:top w:w="28" w:type="dxa"/>
                  </w:tcMar>
                  <w:vAlign w:val="bottom"/>
                </w:tcPr>
                <w:p w:rsidR="00C83A3D" w:rsidRDefault="00C83A3D" w:rsidP="003D6704">
                  <w:pPr>
                    <w:pStyle w:val="TableColumnHeading"/>
                    <w:jc w:val="left"/>
                  </w:pPr>
                  <w:r>
                    <w:t>Initial benefiting industry</w:t>
                  </w:r>
                </w:p>
              </w:tc>
              <w:tc>
                <w:tcPr>
                  <w:tcW w:w="531" w:type="pct"/>
                  <w:tcBorders>
                    <w:top w:val="single" w:sz="6" w:space="0" w:color="BFBFBF"/>
                  </w:tcBorders>
                  <w:shd w:val="clear" w:color="auto" w:fill="auto"/>
                  <w:tcMar>
                    <w:top w:w="28" w:type="dxa"/>
                  </w:tcMar>
                  <w:vAlign w:val="bottom"/>
                </w:tcPr>
                <w:p w:rsidR="00C83A3D" w:rsidRDefault="00C83A3D" w:rsidP="003D6704">
                  <w:pPr>
                    <w:pStyle w:val="TableColumnHeading"/>
                    <w:ind w:right="28"/>
                  </w:pPr>
                  <w:r>
                    <w:t>Assistance value 2015</w:t>
                  </w:r>
                  <w:r>
                    <w:noBreakHyphen/>
                    <w:t>16</w:t>
                  </w:r>
                </w:p>
              </w:tc>
            </w:tr>
            <w:tr w:rsidR="00C83A3D" w:rsidTr="003D6704">
              <w:tc>
                <w:tcPr>
                  <w:tcW w:w="2002" w:type="pct"/>
                </w:tcPr>
                <w:p w:rsidR="00C83A3D" w:rsidRDefault="00C83A3D" w:rsidP="003D6704">
                  <w:pPr>
                    <w:pStyle w:val="TableUnitsRow"/>
                    <w:spacing w:before="0"/>
                    <w:jc w:val="left"/>
                  </w:pPr>
                </w:p>
              </w:tc>
              <w:tc>
                <w:tcPr>
                  <w:tcW w:w="469" w:type="pct"/>
                </w:tcPr>
                <w:p w:rsidR="00C83A3D" w:rsidRDefault="00C83A3D" w:rsidP="003D6704">
                  <w:pPr>
                    <w:pStyle w:val="TableUnitsRow"/>
                    <w:spacing w:before="0"/>
                  </w:pPr>
                </w:p>
              </w:tc>
              <w:tc>
                <w:tcPr>
                  <w:tcW w:w="1998" w:type="pct"/>
                </w:tcPr>
                <w:p w:rsidR="00C83A3D" w:rsidRDefault="00C83A3D" w:rsidP="003D6704">
                  <w:pPr>
                    <w:pStyle w:val="TableUnitsRow"/>
                    <w:spacing w:before="0"/>
                  </w:pPr>
                </w:p>
              </w:tc>
              <w:tc>
                <w:tcPr>
                  <w:tcW w:w="531" w:type="pct"/>
                </w:tcPr>
                <w:p w:rsidR="00C83A3D" w:rsidRPr="00DA6AB3" w:rsidRDefault="00C83A3D" w:rsidP="003D6704">
                  <w:pPr>
                    <w:pStyle w:val="TableUnitsRow"/>
                    <w:spacing w:before="0"/>
                    <w:ind w:right="57"/>
                    <w:rPr>
                      <w:i/>
                    </w:rPr>
                  </w:pPr>
                  <w:r w:rsidRPr="00DA6AB3">
                    <w:rPr>
                      <w:i/>
                    </w:rPr>
                    <w:t>$m</w:t>
                  </w:r>
                </w:p>
              </w:tc>
            </w:tr>
            <w:tr w:rsidR="00C83A3D" w:rsidTr="003D6704">
              <w:tc>
                <w:tcPr>
                  <w:tcW w:w="2002" w:type="pct"/>
                </w:tcPr>
                <w:p w:rsidR="00C83A3D" w:rsidRDefault="00C83A3D" w:rsidP="003D6704">
                  <w:pPr>
                    <w:pStyle w:val="TableBodyText"/>
                    <w:jc w:val="left"/>
                  </w:pPr>
                  <w:r w:rsidRPr="008C6A72">
                    <w:t xml:space="preserve">Clean Technology Investment </w:t>
                  </w:r>
                  <w:r w:rsidR="003D6704">
                    <w:noBreakHyphen/>
                  </w:r>
                  <w:r w:rsidRPr="008C6A72">
                    <w:t xml:space="preserve"> General Program</w:t>
                  </w:r>
                </w:p>
              </w:tc>
              <w:tc>
                <w:tcPr>
                  <w:tcW w:w="469" w:type="pct"/>
                </w:tcPr>
                <w:p w:rsidR="00C83A3D" w:rsidRDefault="00C83A3D" w:rsidP="003D6704">
                  <w:pPr>
                    <w:pStyle w:val="TableBodyText"/>
                  </w:pPr>
                  <w:r>
                    <w:t>BO</w:t>
                  </w:r>
                  <w:r w:rsidR="000B5BB7">
                    <w:t>  </w:t>
                  </w:r>
                </w:p>
              </w:tc>
              <w:tc>
                <w:tcPr>
                  <w:tcW w:w="1998" w:type="pct"/>
                </w:tcPr>
                <w:p w:rsidR="00C83A3D" w:rsidRDefault="00C83A3D" w:rsidP="003D6704">
                  <w:pPr>
                    <w:pStyle w:val="TableBodyText"/>
                    <w:jc w:val="left"/>
                  </w:pPr>
                  <w:r w:rsidRPr="00B328CA">
                    <w:t>Textile, leather, clothing and footwear; Wood and paper products; Petroleum, coal, chemical and rubber products; Non</w:t>
                  </w:r>
                  <w:r w:rsidR="003D6704">
                    <w:noBreakHyphen/>
                  </w:r>
                  <w:r w:rsidRPr="00B328CA">
                    <w:t>Metallic mineral products; Metal and fabricated metal products; Machinery and equipment manufacturing</w:t>
                  </w:r>
                </w:p>
              </w:tc>
              <w:tc>
                <w:tcPr>
                  <w:tcW w:w="531" w:type="pct"/>
                </w:tcPr>
                <w:p w:rsidR="00C83A3D" w:rsidRDefault="00C83A3D" w:rsidP="003D6704">
                  <w:pPr>
                    <w:pStyle w:val="TableBodyText"/>
                    <w:ind w:right="28"/>
                  </w:pPr>
                  <w:r w:rsidRPr="008C6A72">
                    <w:t>3.3</w:t>
                  </w:r>
                </w:p>
              </w:tc>
            </w:tr>
            <w:tr w:rsidR="00C83A3D" w:rsidTr="003D6704">
              <w:tc>
                <w:tcPr>
                  <w:tcW w:w="2002" w:type="pct"/>
                </w:tcPr>
                <w:p w:rsidR="00C83A3D" w:rsidRDefault="00C83A3D" w:rsidP="003D6704">
                  <w:pPr>
                    <w:pStyle w:val="TableBodyText"/>
                    <w:jc w:val="left"/>
                  </w:pPr>
                  <w:r w:rsidRPr="008C6A72">
                    <w:t>Taxation assistance for victims of Australian natural disasters</w:t>
                  </w:r>
                </w:p>
              </w:tc>
              <w:tc>
                <w:tcPr>
                  <w:tcW w:w="469" w:type="pct"/>
                </w:tcPr>
                <w:p w:rsidR="00C83A3D" w:rsidRDefault="00C83A3D" w:rsidP="003D6704">
                  <w:pPr>
                    <w:pStyle w:val="TableBodyText"/>
                  </w:pPr>
                  <w:proofErr w:type="spellStart"/>
                  <w:r>
                    <w:t>TE</w:t>
                  </w:r>
                  <w:proofErr w:type="spellEnd"/>
                  <w:r w:rsidR="000B5BB7">
                    <w:t>  </w:t>
                  </w:r>
                </w:p>
              </w:tc>
              <w:tc>
                <w:tcPr>
                  <w:tcW w:w="1998" w:type="pct"/>
                </w:tcPr>
                <w:p w:rsidR="00C83A3D" w:rsidRDefault="00C83A3D" w:rsidP="003D6704">
                  <w:pPr>
                    <w:pStyle w:val="TableBodyText"/>
                    <w:jc w:val="left"/>
                  </w:pPr>
                  <w:r>
                    <w:t>Unallocated other</w:t>
                  </w:r>
                </w:p>
              </w:tc>
              <w:tc>
                <w:tcPr>
                  <w:tcW w:w="531" w:type="pct"/>
                </w:tcPr>
                <w:p w:rsidR="00C83A3D" w:rsidRDefault="00C83A3D" w:rsidP="003D6704">
                  <w:pPr>
                    <w:pStyle w:val="TableBodyText"/>
                    <w:ind w:right="28"/>
                  </w:pPr>
                  <w:r w:rsidRPr="008C6A72">
                    <w:t>3.0</w:t>
                  </w:r>
                </w:p>
              </w:tc>
            </w:tr>
            <w:tr w:rsidR="00C83A3D" w:rsidTr="003D6704">
              <w:tc>
                <w:tcPr>
                  <w:tcW w:w="2002" w:type="pct"/>
                </w:tcPr>
                <w:p w:rsidR="00C83A3D" w:rsidRDefault="00C83A3D" w:rsidP="003D6704">
                  <w:pPr>
                    <w:pStyle w:val="TableBodyText"/>
                    <w:jc w:val="left"/>
                  </w:pPr>
                  <w:r w:rsidRPr="008C6A72">
                    <w:t>Capital expenditure deduction for mining, quarrying and petroleum operations</w:t>
                  </w:r>
                </w:p>
              </w:tc>
              <w:tc>
                <w:tcPr>
                  <w:tcW w:w="469" w:type="pct"/>
                </w:tcPr>
                <w:p w:rsidR="00C83A3D" w:rsidRDefault="00C83A3D" w:rsidP="003D6704">
                  <w:pPr>
                    <w:pStyle w:val="TableBodyText"/>
                  </w:pPr>
                  <w:proofErr w:type="spellStart"/>
                  <w:r>
                    <w:t>TE</w:t>
                  </w:r>
                  <w:proofErr w:type="spellEnd"/>
                  <w:r w:rsidR="000B5BB7">
                    <w:t>  </w:t>
                  </w:r>
                </w:p>
              </w:tc>
              <w:tc>
                <w:tcPr>
                  <w:tcW w:w="1998" w:type="pct"/>
                </w:tcPr>
                <w:p w:rsidR="00C83A3D" w:rsidRDefault="00C83A3D" w:rsidP="003D6704">
                  <w:pPr>
                    <w:pStyle w:val="TableBodyText"/>
                    <w:jc w:val="left"/>
                  </w:pPr>
                  <w:r>
                    <w:t>Mining</w:t>
                  </w:r>
                </w:p>
              </w:tc>
              <w:tc>
                <w:tcPr>
                  <w:tcW w:w="531" w:type="pct"/>
                </w:tcPr>
                <w:p w:rsidR="00C83A3D" w:rsidRDefault="00C83A3D" w:rsidP="003D6704">
                  <w:pPr>
                    <w:pStyle w:val="TableBodyText"/>
                    <w:ind w:right="28"/>
                  </w:pPr>
                  <w:r w:rsidRPr="008C6A72">
                    <w:t>2.0</w:t>
                  </w:r>
                </w:p>
              </w:tc>
            </w:tr>
            <w:tr w:rsidR="00C83A3D" w:rsidTr="003D6704">
              <w:tc>
                <w:tcPr>
                  <w:tcW w:w="2002" w:type="pct"/>
                </w:tcPr>
                <w:p w:rsidR="00C83A3D" w:rsidRDefault="00C83A3D" w:rsidP="003D6704">
                  <w:pPr>
                    <w:pStyle w:val="TableBodyText"/>
                    <w:jc w:val="left"/>
                  </w:pPr>
                  <w:r w:rsidRPr="008C6A72">
                    <w:t>Clean Technology Innovation Program</w:t>
                  </w:r>
                </w:p>
              </w:tc>
              <w:tc>
                <w:tcPr>
                  <w:tcW w:w="469" w:type="pct"/>
                </w:tcPr>
                <w:p w:rsidR="00C83A3D" w:rsidRDefault="00C83A3D" w:rsidP="003D6704">
                  <w:pPr>
                    <w:pStyle w:val="TableBodyText"/>
                  </w:pPr>
                  <w:r>
                    <w:t>BO</w:t>
                  </w:r>
                  <w:r w:rsidR="000B5BB7">
                    <w:t>  </w:t>
                  </w:r>
                </w:p>
              </w:tc>
              <w:tc>
                <w:tcPr>
                  <w:tcW w:w="1998" w:type="pct"/>
                </w:tcPr>
                <w:p w:rsidR="00C83A3D" w:rsidRDefault="00C83A3D" w:rsidP="003D6704">
                  <w:pPr>
                    <w:pStyle w:val="TableBodyText"/>
                    <w:jc w:val="left"/>
                  </w:pPr>
                  <w:r w:rsidRPr="00922A85">
                    <w:t>Machinery and equipment manufacturing; Electricity, gas, water and waste services</w:t>
                  </w:r>
                </w:p>
              </w:tc>
              <w:tc>
                <w:tcPr>
                  <w:tcW w:w="531" w:type="pct"/>
                </w:tcPr>
                <w:p w:rsidR="00C83A3D" w:rsidRDefault="00C83A3D" w:rsidP="003D6704">
                  <w:pPr>
                    <w:pStyle w:val="TableBodyText"/>
                    <w:ind w:right="28"/>
                  </w:pPr>
                  <w:r w:rsidRPr="008C6A72">
                    <w:t>1.4</w:t>
                  </w:r>
                </w:p>
              </w:tc>
            </w:tr>
            <w:tr w:rsidR="00C83A3D" w:rsidTr="003D6704">
              <w:tc>
                <w:tcPr>
                  <w:tcW w:w="2002" w:type="pct"/>
                </w:tcPr>
                <w:p w:rsidR="00C83A3D" w:rsidRPr="008C6A72" w:rsidRDefault="00C83A3D" w:rsidP="003D6704">
                  <w:pPr>
                    <w:pStyle w:val="TableBodyText"/>
                    <w:jc w:val="left"/>
                  </w:pPr>
                  <w:r w:rsidRPr="008C6A72">
                    <w:t>National Urban Water and Desalination Plan</w:t>
                  </w:r>
                </w:p>
              </w:tc>
              <w:tc>
                <w:tcPr>
                  <w:tcW w:w="469" w:type="pct"/>
                </w:tcPr>
                <w:p w:rsidR="00C83A3D" w:rsidRDefault="00C83A3D" w:rsidP="003D6704">
                  <w:pPr>
                    <w:pStyle w:val="TableBodyText"/>
                  </w:pPr>
                  <w:r>
                    <w:t>BO</w:t>
                  </w:r>
                  <w:r w:rsidR="000B5BB7">
                    <w:t>  </w:t>
                  </w:r>
                </w:p>
              </w:tc>
              <w:tc>
                <w:tcPr>
                  <w:tcW w:w="1998" w:type="pct"/>
                </w:tcPr>
                <w:p w:rsidR="00C83A3D" w:rsidRDefault="00C83A3D" w:rsidP="003D6704">
                  <w:pPr>
                    <w:pStyle w:val="TableBodyText"/>
                    <w:jc w:val="left"/>
                  </w:pPr>
                  <w:r>
                    <w:t>Unallocated other</w:t>
                  </w:r>
                </w:p>
              </w:tc>
              <w:tc>
                <w:tcPr>
                  <w:tcW w:w="531" w:type="pct"/>
                </w:tcPr>
                <w:p w:rsidR="00C83A3D" w:rsidRDefault="00C83A3D" w:rsidP="003D6704">
                  <w:pPr>
                    <w:pStyle w:val="TableBodyText"/>
                    <w:ind w:right="28"/>
                  </w:pPr>
                  <w:r w:rsidRPr="008C6A72">
                    <w:t>1.0</w:t>
                  </w:r>
                </w:p>
              </w:tc>
            </w:tr>
            <w:tr w:rsidR="00C83A3D" w:rsidTr="003D6704">
              <w:tc>
                <w:tcPr>
                  <w:tcW w:w="2002" w:type="pct"/>
                </w:tcPr>
                <w:p w:rsidR="00C83A3D" w:rsidRPr="008C6A72" w:rsidRDefault="00C83A3D" w:rsidP="003D6704">
                  <w:pPr>
                    <w:pStyle w:val="TableBodyText"/>
                    <w:jc w:val="left"/>
                  </w:pPr>
                  <w:r w:rsidRPr="008C6A72">
                    <w:t>Enterprise Connect Innovation Centres</w:t>
                  </w:r>
                </w:p>
              </w:tc>
              <w:tc>
                <w:tcPr>
                  <w:tcW w:w="469" w:type="pct"/>
                </w:tcPr>
                <w:p w:rsidR="00C83A3D" w:rsidRDefault="00C83A3D" w:rsidP="003D6704">
                  <w:pPr>
                    <w:pStyle w:val="TableBodyText"/>
                  </w:pPr>
                  <w:r>
                    <w:t>BO</w:t>
                  </w:r>
                  <w:r w:rsidR="000B5BB7">
                    <w:t>  </w:t>
                  </w:r>
                </w:p>
              </w:tc>
              <w:tc>
                <w:tcPr>
                  <w:tcW w:w="1998" w:type="pct"/>
                </w:tcPr>
                <w:p w:rsidR="00C83A3D" w:rsidRDefault="00C83A3D" w:rsidP="003D6704">
                  <w:pPr>
                    <w:pStyle w:val="TableBodyText"/>
                    <w:jc w:val="left"/>
                  </w:pPr>
                  <w:r w:rsidRPr="00922A85">
                    <w:t>Mining; Food, beverages and tobacco; Textile, leather, clothing and footwear; Wood and paper products; Printing and recorded media; Petroleum, coal, chemical and rubber products; Non</w:t>
                  </w:r>
                  <w:r w:rsidR="003D6704">
                    <w:noBreakHyphen/>
                  </w:r>
                  <w:r w:rsidRPr="00922A85">
                    <w:t>Metallic mineral products; Metal and fabricated metal products; Motor vehicle and parts; Other transport equipment; Machinery and equipment manufacturing; Furniture and other manufacturing; Electricity, gas, water and waste services; Construction; Wholesale trade; Retail trade; Accommodation and food services; Transport, postal and warehousing; Information, media and telecommunications; Property, professional and administrative services; Education and training; Health care and social assistance; Arts and recreation services; Unallocated other</w:t>
                  </w:r>
                </w:p>
              </w:tc>
              <w:tc>
                <w:tcPr>
                  <w:tcW w:w="531" w:type="pct"/>
                </w:tcPr>
                <w:p w:rsidR="00C83A3D" w:rsidRDefault="00C83A3D" w:rsidP="003D6704">
                  <w:pPr>
                    <w:pStyle w:val="TableBodyText"/>
                    <w:ind w:right="28"/>
                  </w:pPr>
                  <w:r w:rsidRPr="008C6A72">
                    <w:t>1.0</w:t>
                  </w:r>
                </w:p>
              </w:tc>
            </w:tr>
            <w:tr w:rsidR="00C83A3D" w:rsidTr="003D6704">
              <w:tc>
                <w:tcPr>
                  <w:tcW w:w="2002" w:type="pct"/>
                </w:tcPr>
                <w:p w:rsidR="00C83A3D" w:rsidRPr="008C6A72" w:rsidRDefault="00C83A3D" w:rsidP="003D6704">
                  <w:pPr>
                    <w:pStyle w:val="TableBodyText"/>
                    <w:jc w:val="left"/>
                  </w:pPr>
                  <w:r w:rsidRPr="008C6A72">
                    <w:t>Carbon Farming Initiative</w:t>
                  </w:r>
                </w:p>
              </w:tc>
              <w:tc>
                <w:tcPr>
                  <w:tcW w:w="469" w:type="pct"/>
                </w:tcPr>
                <w:p w:rsidR="00C83A3D" w:rsidRDefault="00C83A3D" w:rsidP="003D6704">
                  <w:pPr>
                    <w:pStyle w:val="TableBodyText"/>
                  </w:pPr>
                  <w:r>
                    <w:t>BO</w:t>
                  </w:r>
                  <w:r w:rsidR="000B5BB7">
                    <w:t>  </w:t>
                  </w:r>
                </w:p>
              </w:tc>
              <w:tc>
                <w:tcPr>
                  <w:tcW w:w="1998" w:type="pct"/>
                </w:tcPr>
                <w:p w:rsidR="00C83A3D" w:rsidRDefault="00C83A3D" w:rsidP="003D6704">
                  <w:pPr>
                    <w:pStyle w:val="TableBodyText"/>
                    <w:jc w:val="left"/>
                  </w:pPr>
                  <w:r w:rsidRPr="008C387A">
                    <w:t>Sheep, beef cattle and grain farming; Forestry and logging</w:t>
                  </w:r>
                </w:p>
              </w:tc>
              <w:tc>
                <w:tcPr>
                  <w:tcW w:w="531" w:type="pct"/>
                </w:tcPr>
                <w:p w:rsidR="00C83A3D" w:rsidRDefault="00C83A3D" w:rsidP="003D6704">
                  <w:pPr>
                    <w:pStyle w:val="TableBodyText"/>
                    <w:ind w:right="28"/>
                  </w:pPr>
                  <w:r w:rsidRPr="008C6A72">
                    <w:t>0.9</w:t>
                  </w:r>
                </w:p>
              </w:tc>
            </w:tr>
            <w:tr w:rsidR="00C83A3D" w:rsidTr="003D6704">
              <w:tc>
                <w:tcPr>
                  <w:tcW w:w="2002" w:type="pct"/>
                </w:tcPr>
                <w:p w:rsidR="00C83A3D" w:rsidRPr="008C6A72" w:rsidRDefault="00C83A3D" w:rsidP="003D6704">
                  <w:pPr>
                    <w:pStyle w:val="TableBodyText"/>
                    <w:jc w:val="left"/>
                  </w:pPr>
                  <w:r w:rsidRPr="008C6A72">
                    <w:t>Illawarra Region Innovation and Investment Fund</w:t>
                  </w:r>
                </w:p>
              </w:tc>
              <w:tc>
                <w:tcPr>
                  <w:tcW w:w="469" w:type="pct"/>
                </w:tcPr>
                <w:p w:rsidR="00C83A3D" w:rsidRDefault="00C83A3D" w:rsidP="003D6704">
                  <w:pPr>
                    <w:pStyle w:val="TableBodyText"/>
                  </w:pPr>
                  <w:r>
                    <w:t>BO</w:t>
                  </w:r>
                  <w:r w:rsidR="000B5BB7">
                    <w:t>  </w:t>
                  </w:r>
                </w:p>
              </w:tc>
              <w:tc>
                <w:tcPr>
                  <w:tcW w:w="1998" w:type="pct"/>
                </w:tcPr>
                <w:p w:rsidR="00C83A3D" w:rsidRDefault="00C83A3D" w:rsidP="003D6704">
                  <w:pPr>
                    <w:pStyle w:val="TableBodyText"/>
                    <w:jc w:val="left"/>
                  </w:pPr>
                  <w:r>
                    <w:t>Unallocated manufacturing</w:t>
                  </w:r>
                </w:p>
              </w:tc>
              <w:tc>
                <w:tcPr>
                  <w:tcW w:w="531" w:type="pct"/>
                </w:tcPr>
                <w:p w:rsidR="00C83A3D" w:rsidRDefault="00C83A3D" w:rsidP="003D6704">
                  <w:pPr>
                    <w:pStyle w:val="TableBodyText"/>
                    <w:ind w:right="28"/>
                  </w:pPr>
                  <w:r w:rsidRPr="008C6A72">
                    <w:t>0.8</w:t>
                  </w:r>
                </w:p>
              </w:tc>
            </w:tr>
            <w:tr w:rsidR="00C83A3D" w:rsidTr="003D6704">
              <w:tc>
                <w:tcPr>
                  <w:tcW w:w="2002" w:type="pct"/>
                  <w:shd w:val="clear" w:color="auto" w:fill="auto"/>
                </w:tcPr>
                <w:p w:rsidR="00C83A3D" w:rsidRDefault="00C83A3D" w:rsidP="003D6704">
                  <w:pPr>
                    <w:pStyle w:val="TableBodyText"/>
                    <w:jc w:val="left"/>
                  </w:pPr>
                  <w:r w:rsidRPr="008C6A72">
                    <w:t>Automotive New Markets Initiative</w:t>
                  </w:r>
                </w:p>
              </w:tc>
              <w:tc>
                <w:tcPr>
                  <w:tcW w:w="469" w:type="pct"/>
                </w:tcPr>
                <w:p w:rsidR="00C83A3D" w:rsidRDefault="00C83A3D" w:rsidP="003D6704">
                  <w:pPr>
                    <w:pStyle w:val="TableBodyText"/>
                  </w:pPr>
                  <w:r>
                    <w:t>BO</w:t>
                  </w:r>
                  <w:r w:rsidR="000B5BB7">
                    <w:t>  </w:t>
                  </w:r>
                </w:p>
              </w:tc>
              <w:tc>
                <w:tcPr>
                  <w:tcW w:w="1998" w:type="pct"/>
                  <w:shd w:val="clear" w:color="auto" w:fill="auto"/>
                </w:tcPr>
                <w:p w:rsidR="00C83A3D" w:rsidRDefault="00C83A3D" w:rsidP="003D6704">
                  <w:pPr>
                    <w:pStyle w:val="TableBodyText"/>
                    <w:jc w:val="left"/>
                  </w:pPr>
                  <w:r w:rsidRPr="00ED3BC6">
                    <w:t>Motor vehicle and parts</w:t>
                  </w:r>
                </w:p>
              </w:tc>
              <w:tc>
                <w:tcPr>
                  <w:tcW w:w="531" w:type="pct"/>
                  <w:shd w:val="clear" w:color="auto" w:fill="auto"/>
                </w:tcPr>
                <w:p w:rsidR="00C83A3D" w:rsidRDefault="00C83A3D" w:rsidP="003D6704">
                  <w:pPr>
                    <w:pStyle w:val="TableBodyText"/>
                    <w:ind w:right="28"/>
                  </w:pPr>
                  <w:r w:rsidRPr="008C6A72">
                    <w:t>0.3</w:t>
                  </w:r>
                </w:p>
              </w:tc>
            </w:tr>
            <w:tr w:rsidR="00C83A3D" w:rsidRPr="006E0FF2" w:rsidTr="003D6704">
              <w:tc>
                <w:tcPr>
                  <w:tcW w:w="2002" w:type="pct"/>
                  <w:tcBorders>
                    <w:bottom w:val="single" w:sz="6" w:space="0" w:color="BFBFBF"/>
                  </w:tcBorders>
                  <w:shd w:val="clear" w:color="auto" w:fill="auto"/>
                </w:tcPr>
                <w:p w:rsidR="00C83A3D" w:rsidRPr="006E0FF2" w:rsidRDefault="00C83A3D" w:rsidP="003D6704">
                  <w:pPr>
                    <w:pStyle w:val="TableBodyText"/>
                    <w:jc w:val="left"/>
                    <w:rPr>
                      <w:b/>
                    </w:rPr>
                  </w:pPr>
                  <w:r w:rsidRPr="006E0FF2">
                    <w:rPr>
                      <w:b/>
                    </w:rPr>
                    <w:t>TOTAL</w:t>
                  </w:r>
                </w:p>
              </w:tc>
              <w:tc>
                <w:tcPr>
                  <w:tcW w:w="469" w:type="pct"/>
                  <w:tcBorders>
                    <w:bottom w:val="single" w:sz="6" w:space="0" w:color="BFBFBF"/>
                  </w:tcBorders>
                </w:tcPr>
                <w:p w:rsidR="00C83A3D" w:rsidRPr="006E0FF2" w:rsidRDefault="00C83A3D" w:rsidP="003D6704">
                  <w:pPr>
                    <w:pStyle w:val="TableBodyText"/>
                    <w:rPr>
                      <w:b/>
                    </w:rPr>
                  </w:pPr>
                </w:p>
              </w:tc>
              <w:tc>
                <w:tcPr>
                  <w:tcW w:w="1998" w:type="pct"/>
                  <w:tcBorders>
                    <w:bottom w:val="single" w:sz="6" w:space="0" w:color="BFBFBF"/>
                  </w:tcBorders>
                  <w:shd w:val="clear" w:color="auto" w:fill="auto"/>
                </w:tcPr>
                <w:p w:rsidR="00C83A3D" w:rsidRPr="006E0FF2" w:rsidRDefault="00C83A3D" w:rsidP="003D6704">
                  <w:pPr>
                    <w:pStyle w:val="TableBodyText"/>
                    <w:jc w:val="left"/>
                    <w:rPr>
                      <w:b/>
                    </w:rPr>
                  </w:pPr>
                </w:p>
              </w:tc>
              <w:tc>
                <w:tcPr>
                  <w:tcW w:w="531" w:type="pct"/>
                  <w:tcBorders>
                    <w:bottom w:val="single" w:sz="6" w:space="0" w:color="BFBFBF"/>
                  </w:tcBorders>
                  <w:shd w:val="clear" w:color="auto" w:fill="auto"/>
                </w:tcPr>
                <w:p w:rsidR="00C83A3D" w:rsidRPr="006E0FF2" w:rsidRDefault="00C83A3D" w:rsidP="003D6704">
                  <w:pPr>
                    <w:pStyle w:val="TableBodyText"/>
                    <w:ind w:right="28"/>
                    <w:rPr>
                      <w:b/>
                    </w:rPr>
                  </w:pPr>
                  <w:r w:rsidRPr="006E0FF2">
                    <w:rPr>
                      <w:b/>
                    </w:rPr>
                    <w:t>85.4</w:t>
                  </w:r>
                </w:p>
              </w:tc>
            </w:tr>
          </w:tbl>
          <w:p w:rsidR="00C83A3D" w:rsidRDefault="00C83A3D" w:rsidP="003D6704">
            <w:pPr>
              <w:pStyle w:val="Box"/>
            </w:pPr>
          </w:p>
        </w:tc>
      </w:tr>
      <w:tr w:rsidR="00C83A3D" w:rsidTr="003D6704">
        <w:tc>
          <w:tcPr>
            <w:tcW w:w="5000" w:type="pct"/>
            <w:tcBorders>
              <w:top w:val="nil"/>
              <w:left w:val="nil"/>
              <w:bottom w:val="nil"/>
              <w:right w:val="nil"/>
            </w:tcBorders>
            <w:shd w:val="clear" w:color="auto" w:fill="auto"/>
          </w:tcPr>
          <w:p w:rsidR="00C83A3D" w:rsidRDefault="00C83A3D" w:rsidP="003D6704">
            <w:pPr>
              <w:pStyle w:val="Note"/>
              <w:rPr>
                <w:i/>
              </w:rPr>
            </w:pPr>
            <w:r w:rsidRPr="008E77FE">
              <w:rPr>
                <w:rStyle w:val="NoteLabel"/>
              </w:rPr>
              <w:t>a</w:t>
            </w:r>
            <w:r>
              <w:t xml:space="preserve"> BO: budgetary outlay. </w:t>
            </w:r>
            <w:proofErr w:type="spellStart"/>
            <w:r>
              <w:t>TE</w:t>
            </w:r>
            <w:proofErr w:type="spellEnd"/>
            <w:r>
              <w:t>: tax expenditure.</w:t>
            </w:r>
          </w:p>
        </w:tc>
      </w:tr>
      <w:tr w:rsidR="00C83A3D" w:rsidTr="003D6704">
        <w:tc>
          <w:tcPr>
            <w:tcW w:w="5000" w:type="pct"/>
            <w:tcBorders>
              <w:top w:val="nil"/>
              <w:left w:val="nil"/>
              <w:bottom w:val="nil"/>
              <w:right w:val="nil"/>
            </w:tcBorders>
            <w:shd w:val="clear" w:color="auto" w:fill="auto"/>
          </w:tcPr>
          <w:p w:rsidR="00C83A3D" w:rsidRDefault="00C83A3D" w:rsidP="003D6704">
            <w:pPr>
              <w:pStyle w:val="Source"/>
            </w:pPr>
            <w:r>
              <w:rPr>
                <w:i/>
              </w:rPr>
              <w:t>Source</w:t>
            </w:r>
            <w:r w:rsidRPr="00167F06">
              <w:t xml:space="preserve">: </w:t>
            </w:r>
            <w:r>
              <w:t>Commission estimates.</w:t>
            </w:r>
          </w:p>
        </w:tc>
      </w:tr>
      <w:tr w:rsidR="00C83A3D" w:rsidTr="003D6704">
        <w:tc>
          <w:tcPr>
            <w:tcW w:w="5000" w:type="pct"/>
            <w:tcBorders>
              <w:top w:val="nil"/>
              <w:left w:val="nil"/>
              <w:bottom w:val="single" w:sz="6" w:space="0" w:color="78A22F"/>
              <w:right w:val="nil"/>
            </w:tcBorders>
            <w:shd w:val="clear" w:color="auto" w:fill="auto"/>
          </w:tcPr>
          <w:p w:rsidR="00C83A3D" w:rsidRDefault="00C83A3D" w:rsidP="003D6704">
            <w:pPr>
              <w:pStyle w:val="Box"/>
              <w:spacing w:before="0" w:line="120" w:lineRule="exact"/>
            </w:pPr>
          </w:p>
        </w:tc>
      </w:tr>
      <w:tr w:rsidR="00C83A3D" w:rsidRPr="000863A5" w:rsidTr="003D6704">
        <w:tc>
          <w:tcPr>
            <w:tcW w:w="5000" w:type="pct"/>
            <w:tcBorders>
              <w:top w:val="single" w:sz="6" w:space="0" w:color="78A22F"/>
              <w:left w:val="nil"/>
              <w:bottom w:val="nil"/>
              <w:right w:val="nil"/>
            </w:tcBorders>
          </w:tcPr>
          <w:p w:rsidR="00C83A3D" w:rsidRPr="00626D32" w:rsidRDefault="00C83A3D" w:rsidP="003D6704">
            <w:pPr>
              <w:pStyle w:val="BoxSpaceBelow"/>
            </w:pPr>
          </w:p>
        </w:tc>
      </w:tr>
    </w:tbl>
    <w:p w:rsidR="00C83A3D" w:rsidRDefault="00C83A3D" w:rsidP="00120072">
      <w:pPr>
        <w:pStyle w:val="BodyText"/>
      </w:pPr>
    </w:p>
    <w:p w:rsidR="00C83A3D" w:rsidRDefault="00C83A3D" w:rsidP="00C83A3D">
      <w:pPr>
        <w:sectPr w:rsidR="00C83A3D" w:rsidSect="006F732E">
          <w:headerReference w:type="even" r:id="rId25"/>
          <w:headerReference w:type="default" r:id="rId26"/>
          <w:footerReference w:type="even" r:id="rId27"/>
          <w:footerReference w:type="default" r:id="rId28"/>
          <w:type w:val="evenPage"/>
          <w:pgSz w:w="11907" w:h="16840" w:code="9"/>
          <w:pgMar w:top="1985" w:right="1304" w:bottom="1247" w:left="1814" w:header="1701" w:footer="397" w:gutter="0"/>
          <w:pgNumType w:chapSep="period"/>
          <w:cols w:space="720"/>
          <w:docGrid w:linePitch="326"/>
        </w:sectPr>
      </w:pPr>
    </w:p>
    <w:p w:rsidR="00455FFC" w:rsidRDefault="00455FFC" w:rsidP="00455FFC">
      <w:pPr>
        <w:pStyle w:val="Heading1"/>
        <w:spacing w:before="0"/>
      </w:pPr>
      <w:r>
        <w:lastRenderedPageBreak/>
        <w:t>4</w:t>
      </w:r>
      <w:r>
        <w:tab/>
        <w:t>Methodological changes to the estimates</w:t>
      </w:r>
    </w:p>
    <w:p w:rsidR="00455FFC" w:rsidRDefault="00455FFC" w:rsidP="00455FFC">
      <w:pPr>
        <w:pStyle w:val="BodyText"/>
      </w:pPr>
      <w:r>
        <w:t xml:space="preserve">For this year’s </w:t>
      </w:r>
      <w:r w:rsidRPr="00242393">
        <w:rPr>
          <w:i/>
        </w:rPr>
        <w:t>Review</w:t>
      </w:r>
      <w:r>
        <w:t>, the Commission has revised th</w:t>
      </w:r>
      <w:r w:rsidRPr="000C131C">
        <w:t>e industry allocation</w:t>
      </w:r>
      <w:r>
        <w:t xml:space="preserve"> method for the R&amp;D Tax Incentive scheme. The change applies to 2011</w:t>
      </w:r>
      <w:r>
        <w:noBreakHyphen/>
        <w:t>12 through to 2016</w:t>
      </w:r>
      <w:r>
        <w:noBreakHyphen/>
        <w:t>17.</w:t>
      </w:r>
    </w:p>
    <w:p w:rsidR="00455FFC" w:rsidRDefault="00455FFC" w:rsidP="00455FFC">
      <w:pPr>
        <w:pStyle w:val="BodyText"/>
      </w:pPr>
      <w:r>
        <w:t>Commencing in 2011</w:t>
      </w:r>
      <w:r>
        <w:noBreakHyphen/>
        <w:t xml:space="preserve">12, the R&amp;D Tax Incentive scheme (the replacement scheme for the R&amp;D tax concession and Premium R&amp;D tax concession schemes) provides a tax offset for eligible R&amp;D activities to </w:t>
      </w:r>
      <w:r w:rsidRPr="00A266B9">
        <w:t xml:space="preserve">encourage firms to engage in R&amp;D that </w:t>
      </w:r>
      <w:r>
        <w:t>benefits</w:t>
      </w:r>
      <w:r w:rsidRPr="00A266B9">
        <w:t xml:space="preserve"> Australia (</w:t>
      </w:r>
      <w:proofErr w:type="spellStart"/>
      <w:r w:rsidRPr="00A266B9">
        <w:t>ATO</w:t>
      </w:r>
      <w:proofErr w:type="spellEnd"/>
      <w:r>
        <w:t> </w:t>
      </w:r>
      <w:r w:rsidRPr="00A266B9">
        <w:t xml:space="preserve">2018). The Incentive has </w:t>
      </w:r>
      <w:r>
        <w:t xml:space="preserve">two main components: </w:t>
      </w:r>
    </w:p>
    <w:p w:rsidR="00455FFC" w:rsidRDefault="00455FFC" w:rsidP="00455FFC">
      <w:pPr>
        <w:pStyle w:val="ListBullet"/>
      </w:pPr>
      <w:r>
        <w:t>a refundable tax offset for certain eligible entities whose aggregated turnover is less than $20 million and payable at a rate of 43.5 per cent of expenditure on eligible R&amp;D activities</w:t>
      </w:r>
      <w:r>
        <w:rPr>
          <w:rStyle w:val="FootnoteReference"/>
        </w:rPr>
        <w:footnoteReference w:id="2"/>
      </w:r>
      <w:r>
        <w:t xml:space="preserve"> </w:t>
      </w:r>
    </w:p>
    <w:p w:rsidR="00455FFC" w:rsidRDefault="00455FFC" w:rsidP="00455FFC">
      <w:pPr>
        <w:pStyle w:val="ListBullet"/>
      </w:pPr>
      <w:r>
        <w:t>a non</w:t>
      </w:r>
      <w:r>
        <w:noBreakHyphen/>
        <w:t>refundable tax offset for all other eligible entities payable at a rate of 38.5 per cent on eligible R&amp;D expenditure.</w:t>
      </w:r>
    </w:p>
    <w:p w:rsidR="00455FFC" w:rsidRDefault="00455FFC" w:rsidP="00455FFC">
      <w:pPr>
        <w:pStyle w:val="Heading2"/>
      </w:pPr>
      <w:r>
        <w:t>Aggregate estimate</w:t>
      </w:r>
    </w:p>
    <w:p w:rsidR="00455FFC" w:rsidRDefault="00455FFC" w:rsidP="00455FFC">
      <w:pPr>
        <w:pStyle w:val="BodyText"/>
      </w:pPr>
      <w:r>
        <w:t xml:space="preserve">An estimate of the </w:t>
      </w:r>
      <w:r w:rsidRPr="000C131C">
        <w:t>aggregate</w:t>
      </w:r>
      <w:r>
        <w:t xml:space="preserve"> assistance provided by the each of the two components of the R&amp;D Tax Incentive is published in the Science, Research and Innovation Budget Tables (Department of Industry, Innovation and Science). This estimate is based on the year in which the R&amp;D activity occurs. However, the financial benefit of the Tax Incentive is realised after tax returns are completed. The Commission assumes a one year lag , such that the Commission’s estimate of aggregate assistance, in year T (say 2016</w:t>
      </w:r>
      <w:r>
        <w:noBreakHyphen/>
        <w:t>17), uses the Department’s estimate in year T</w:t>
      </w:r>
      <w:r>
        <w:noBreakHyphen/>
        <w:t>1 (2015</w:t>
      </w:r>
      <w:r>
        <w:noBreakHyphen/>
        <w:t xml:space="preserve">16). A lag between conduct of R&amp;D activity and realisation of the assistance is consistent with the Treasury treatment of the Tax Incentive in the Tax Expenditure Statement. </w:t>
      </w:r>
    </w:p>
    <w:p w:rsidR="00455FFC" w:rsidRDefault="00455FFC" w:rsidP="00455FFC">
      <w:pPr>
        <w:pStyle w:val="Heading3"/>
      </w:pPr>
      <w:r>
        <w:t>Industry allocation</w:t>
      </w:r>
    </w:p>
    <w:p w:rsidR="00455FFC" w:rsidRDefault="00455FFC" w:rsidP="00455FFC">
      <w:pPr>
        <w:pStyle w:val="BodyText"/>
      </w:pPr>
      <w:r>
        <w:t xml:space="preserve">To allocate the R&amp;D Tax Incentive across the Commission’s </w:t>
      </w:r>
      <w:proofErr w:type="spellStart"/>
      <w:r>
        <w:t>ANZSIC</w:t>
      </w:r>
      <w:proofErr w:type="spellEnd"/>
      <w:r>
        <w:noBreakHyphen/>
        <w:t xml:space="preserve">based industry grouping, the Commission uses data supplied confidentially by the </w:t>
      </w:r>
      <w:proofErr w:type="spellStart"/>
      <w:r>
        <w:t>ATO</w:t>
      </w:r>
      <w:proofErr w:type="spellEnd"/>
      <w:r>
        <w:t xml:space="preserve"> and the ABS survey of Business Expenditure on R&amp;D (</w:t>
      </w:r>
      <w:proofErr w:type="spellStart"/>
      <w:r>
        <w:t>BERD</w:t>
      </w:r>
      <w:proofErr w:type="spellEnd"/>
      <w:r>
        <w:t xml:space="preserve">) (Cat. no. 8104.0). </w:t>
      </w:r>
    </w:p>
    <w:p w:rsidR="00455FFC" w:rsidRDefault="00455FFC" w:rsidP="00455FFC">
      <w:pPr>
        <w:pStyle w:val="Heading4"/>
      </w:pPr>
      <w:r>
        <w:lastRenderedPageBreak/>
        <w:t xml:space="preserve">Step 1 — Converting the </w:t>
      </w:r>
      <w:proofErr w:type="spellStart"/>
      <w:r>
        <w:t>ATO</w:t>
      </w:r>
      <w:proofErr w:type="spellEnd"/>
      <w:r>
        <w:t xml:space="preserve"> data to industry shares</w:t>
      </w:r>
    </w:p>
    <w:p w:rsidR="00455FFC" w:rsidRDefault="00455FFC" w:rsidP="00455FFC">
      <w:pPr>
        <w:pStyle w:val="BodyText"/>
      </w:pPr>
      <w:r>
        <w:t xml:space="preserve">The </w:t>
      </w:r>
      <w:proofErr w:type="spellStart"/>
      <w:r>
        <w:t>ATO</w:t>
      </w:r>
      <w:proofErr w:type="spellEnd"/>
      <w:r>
        <w:t xml:space="preserve"> provides data on eligible R&amp;D expenditure by type of claim and </w:t>
      </w:r>
      <w:proofErr w:type="spellStart"/>
      <w:r>
        <w:t>ANZSIC</w:t>
      </w:r>
      <w:proofErr w:type="spellEnd"/>
      <w:r>
        <w:t xml:space="preserve"> industry. The actual tax benefit depends on the subsidy rate and whether the claiming business is in tax loss or profit. </w:t>
      </w:r>
    </w:p>
    <w:p w:rsidR="00455FFC" w:rsidRDefault="00455FFC" w:rsidP="00455FFC">
      <w:pPr>
        <w:pStyle w:val="BodyText"/>
      </w:pPr>
      <w:r>
        <w:t>For any given industry (</w:t>
      </w:r>
      <w:proofErr w:type="spellStart"/>
      <w:r>
        <w:t>i</w:t>
      </w:r>
      <w:proofErr w:type="spellEnd"/>
      <w:r>
        <w:t>), we define two shares:</w:t>
      </w:r>
    </w:p>
    <w:p w:rsidR="00455FFC" w:rsidRPr="005766E1" w:rsidRDefault="00E32570" w:rsidP="00455FFC">
      <w:pPr>
        <w:pStyle w:val="BodyText"/>
      </w:pPr>
      <m:oMathPara>
        <m:oMathParaPr>
          <m:jc m:val="left"/>
        </m:oMathParaPr>
        <m:oMath>
          <m:sSub>
            <m:sSubPr>
              <m:ctrlPr>
                <w:rPr>
                  <w:rFonts w:ascii="Cambria Math" w:hAnsi="Cambria Math"/>
                </w:rPr>
              </m:ctrlPr>
            </m:sSubPr>
            <m:e>
              <m:r>
                <w:rPr>
                  <w:rFonts w:ascii="Cambria Math" w:hAnsi="Cambria Math"/>
                </w:rPr>
                <m:t>α</m:t>
              </m:r>
            </m:e>
            <m:sub>
              <m:r>
                <w:rPr>
                  <w:rFonts w:ascii="Cambria Math" w:hAnsi="Cambria Math"/>
                </w:rPr>
                <m:t>i</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(NR1</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NR2</m:t>
                  </m:r>
                </m:e>
                <m:sub>
                  <m:r>
                    <w:rPr>
                      <w:rFonts w:ascii="Cambria Math" w:hAnsi="Cambria Math"/>
                    </w:rPr>
                    <m:t>i</m:t>
                  </m:r>
                </m:sub>
              </m:sSub>
              <m:r>
                <w:rPr>
                  <w:rFonts w:ascii="Cambria Math" w:hAnsi="Cambria Math"/>
                </w:rPr>
                <m:t>)</m:t>
              </m:r>
            </m:num>
            <m:den>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sSub>
                    <m:sSubPr>
                      <m:ctrlPr>
                        <w:rPr>
                          <w:rFonts w:ascii="Cambria Math" w:hAnsi="Cambria Math"/>
                          <w:i/>
                        </w:rPr>
                      </m:ctrlPr>
                    </m:sSubPr>
                    <m:e>
                      <m:r>
                        <w:rPr>
                          <w:rFonts w:ascii="Cambria Math" w:hAnsi="Cambria Math"/>
                        </w:rPr>
                        <m:t>(NR1</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NR2</m:t>
                      </m:r>
                    </m:e>
                    <m:sub>
                      <m:r>
                        <w:rPr>
                          <w:rFonts w:ascii="Cambria Math" w:hAnsi="Cambria Math"/>
                        </w:rPr>
                        <m:t>i</m:t>
                      </m:r>
                    </m:sub>
                  </m:sSub>
                  <m:r>
                    <w:rPr>
                      <w:rFonts w:ascii="Cambria Math" w:hAnsi="Cambria Math"/>
                    </w:rPr>
                    <m:t>)</m:t>
                  </m:r>
                </m:e>
              </m:nary>
            </m:den>
          </m:f>
        </m:oMath>
      </m:oMathPara>
    </w:p>
    <w:p w:rsidR="00455FFC" w:rsidRPr="005766E1" w:rsidRDefault="00E32570" w:rsidP="00455FFC">
      <w:pPr>
        <w:pStyle w:val="BodyText"/>
      </w:pPr>
      <m:oMathPara>
        <m:oMathParaPr>
          <m:jc m:val="left"/>
        </m:oMathParaPr>
        <m:oMath>
          <m:sSub>
            <m:sSubPr>
              <m:ctrlPr>
                <w:rPr>
                  <w:rFonts w:ascii="Cambria Math" w:hAnsi="Cambria Math"/>
                </w:rPr>
              </m:ctrlPr>
            </m:sSubPr>
            <m:e>
              <m:r>
                <w:rPr>
                  <w:rFonts w:ascii="Cambria Math" w:hAnsi="Cambria Math"/>
                </w:rPr>
                <m:t>θ</m:t>
              </m:r>
            </m:e>
            <m:sub>
              <m:r>
                <w:rPr>
                  <w:rFonts w:ascii="Cambria Math" w:hAnsi="Cambria Math"/>
                </w:rPr>
                <m:t>i</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R</m:t>
                  </m:r>
                </m:e>
                <m:sub>
                  <m:r>
                    <w:rPr>
                      <w:rFonts w:ascii="Cambria Math" w:hAnsi="Cambria Math"/>
                    </w:rPr>
                    <m:t>i</m:t>
                  </m:r>
                </m:sub>
              </m:sSub>
            </m:num>
            <m:den>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sSub>
                    <m:sSubPr>
                      <m:ctrlPr>
                        <w:rPr>
                          <w:rFonts w:ascii="Cambria Math" w:hAnsi="Cambria Math"/>
                          <w:i/>
                        </w:rPr>
                      </m:ctrlPr>
                    </m:sSubPr>
                    <m:e>
                      <m:r>
                        <w:rPr>
                          <w:rFonts w:ascii="Cambria Math" w:hAnsi="Cambria Math"/>
                        </w:rPr>
                        <m:t>R</m:t>
                      </m:r>
                    </m:e>
                    <m:sub>
                      <m:r>
                        <w:rPr>
                          <w:rFonts w:ascii="Cambria Math" w:hAnsi="Cambria Math"/>
                        </w:rPr>
                        <m:t>i</m:t>
                      </m:r>
                    </m:sub>
                  </m:sSub>
                </m:e>
              </m:nary>
            </m:den>
          </m:f>
        </m:oMath>
      </m:oMathPara>
    </w:p>
    <w:p w:rsidR="00455FFC" w:rsidRDefault="00455FFC" w:rsidP="00455FFC">
      <w:pPr>
        <w:pStyle w:val="BodyText"/>
      </w:pPr>
      <w:r>
        <w:t xml:space="preserve">where </w:t>
      </w:r>
      <w:proofErr w:type="spellStart"/>
      <w:r>
        <w:t>NR1</w:t>
      </w:r>
      <w:proofErr w:type="spellEnd"/>
      <w:r>
        <w:t xml:space="preserve"> is the non</w:t>
      </w:r>
      <w:r>
        <w:noBreakHyphen/>
        <w:t>refundable R&amp;D tax offset to be used in a given year (say 2015</w:t>
      </w:r>
      <w:r>
        <w:noBreakHyphen/>
        <w:t xml:space="preserve">16), </w:t>
      </w:r>
      <w:proofErr w:type="spellStart"/>
      <w:r>
        <w:t>NR2</w:t>
      </w:r>
      <w:proofErr w:type="spellEnd"/>
      <w:r>
        <w:t xml:space="preserve"> is the non</w:t>
      </w:r>
      <w:r>
        <w:noBreakHyphen/>
        <w:t>refundable tax offset carried forward to the next year (which would be 2016</w:t>
      </w:r>
      <w:r>
        <w:noBreakHyphen/>
        <w:t>17 for R&amp;D undertaken in 2015</w:t>
      </w:r>
      <w:r>
        <w:noBreakHyphen/>
        <w:t xml:space="preserve">16), and R is the refundable R&amp;D tax offset. The share α is based on both </w:t>
      </w:r>
      <w:proofErr w:type="spellStart"/>
      <w:r>
        <w:t>NR1</w:t>
      </w:r>
      <w:proofErr w:type="spellEnd"/>
      <w:r>
        <w:t xml:space="preserve"> and </w:t>
      </w:r>
      <w:proofErr w:type="spellStart"/>
      <w:r>
        <w:t>NR2</w:t>
      </w:r>
      <w:proofErr w:type="spellEnd"/>
      <w:r>
        <w:t xml:space="preserve"> because this will give a more accurate estimate of the true share of total industry assistance for any given industry compared with using one or other of these spending amounts alone.</w:t>
      </w:r>
    </w:p>
    <w:p w:rsidR="00455FFC" w:rsidRDefault="00455FFC" w:rsidP="00455FFC">
      <w:pPr>
        <w:pStyle w:val="BodyText"/>
      </w:pPr>
      <w:r>
        <w:t xml:space="preserve">The estimated shares α and </w:t>
      </w:r>
      <w:r>
        <w:rPr>
          <w:rFonts w:ascii="Symbol" w:hAnsi="Symbol"/>
        </w:rPr>
        <w:t></w:t>
      </w:r>
      <w:r>
        <w:t xml:space="preserve"> were based on the most recent </w:t>
      </w:r>
      <w:proofErr w:type="spellStart"/>
      <w:r>
        <w:t>ATO</w:t>
      </w:r>
      <w:proofErr w:type="spellEnd"/>
      <w:r>
        <w:t xml:space="preserve"> data (which related to </w:t>
      </w:r>
      <w:r w:rsidRPr="000C131C">
        <w:t>2015</w:t>
      </w:r>
      <w:r>
        <w:noBreakHyphen/>
      </w:r>
      <w:r w:rsidRPr="000C131C">
        <w:t>16</w:t>
      </w:r>
      <w:r>
        <w:t>). It was assumed that these would be a reasonable approximation for the shares that would apply in 2016</w:t>
      </w:r>
      <w:r>
        <w:noBreakHyphen/>
        <w:t xml:space="preserve">17. </w:t>
      </w:r>
    </w:p>
    <w:p w:rsidR="00455FFC" w:rsidRDefault="00455FFC" w:rsidP="00455FFC">
      <w:pPr>
        <w:pStyle w:val="BodyText"/>
      </w:pPr>
      <w:r>
        <w:t>The level of assistance for any given industry in 2016</w:t>
      </w:r>
      <w:r>
        <w:noBreakHyphen/>
        <w:t xml:space="preserve">17 was then estimated by applying the industry shares α and </w:t>
      </w:r>
      <w:r>
        <w:rPr>
          <w:rFonts w:ascii="Symbol" w:hAnsi="Symbol"/>
        </w:rPr>
        <w:t></w:t>
      </w:r>
      <w:r>
        <w:rPr>
          <w:rFonts w:ascii="Symbol" w:hAnsi="Symbol"/>
        </w:rPr>
        <w:t></w:t>
      </w:r>
      <w:r>
        <w:t>to the relevant aggregate non</w:t>
      </w:r>
      <w:r>
        <w:noBreakHyphen/>
        <w:t>refundable and refundable</w:t>
      </w:r>
      <w:r w:rsidRPr="00D619C9">
        <w:t xml:space="preserve"> assistance </w:t>
      </w:r>
      <w:r>
        <w:t>amounts in the Budget Tables described above.</w:t>
      </w:r>
    </w:p>
    <w:p w:rsidR="00455FFC" w:rsidRPr="002A1DED" w:rsidRDefault="00455FFC" w:rsidP="00455FFC">
      <w:pPr>
        <w:pStyle w:val="Heading4"/>
      </w:pPr>
      <w:r>
        <w:t xml:space="preserve">Step 2 — Adjustment for the </w:t>
      </w:r>
      <w:r w:rsidRPr="009D68FE">
        <w:t>finance and insurance</w:t>
      </w:r>
      <w:r>
        <w:t xml:space="preserve"> industry share, 2011</w:t>
      </w:r>
      <w:r>
        <w:noBreakHyphen/>
        <w:t>12 and 2012</w:t>
      </w:r>
      <w:r>
        <w:noBreakHyphen/>
        <w:t>13</w:t>
      </w:r>
    </w:p>
    <w:p w:rsidR="00455FFC" w:rsidRDefault="00455FFC" w:rsidP="00455FFC">
      <w:pPr>
        <w:pStyle w:val="BodyText"/>
      </w:pPr>
      <w:r>
        <w:t>In 2011</w:t>
      </w:r>
      <w:r>
        <w:noBreakHyphen/>
        <w:t>12 and 2012</w:t>
      </w:r>
      <w:r>
        <w:noBreakHyphen/>
        <w:t xml:space="preserve">13, the industry share for the </w:t>
      </w:r>
      <w:r w:rsidRPr="00C504FE">
        <w:t>finance and insurance</w:t>
      </w:r>
      <w:r>
        <w:t xml:space="preserve"> industry from </w:t>
      </w:r>
      <w:proofErr w:type="spellStart"/>
      <w:r>
        <w:t>ATO</w:t>
      </w:r>
      <w:proofErr w:type="spellEnd"/>
      <w:r>
        <w:t xml:space="preserve"> data was the highest (by far) of all industries, for the </w:t>
      </w:r>
      <w:r w:rsidRPr="00C504FE">
        <w:t>non</w:t>
      </w:r>
      <w:r>
        <w:noBreakHyphen/>
      </w:r>
      <w:r w:rsidRPr="00C504FE">
        <w:t>refundable components</w:t>
      </w:r>
      <w:r w:rsidRPr="009751DE">
        <w:t>.</w:t>
      </w:r>
      <w:r>
        <w:t xml:space="preserve"> In contrast the ABS </w:t>
      </w:r>
      <w:proofErr w:type="spellStart"/>
      <w:r>
        <w:t>BERD</w:t>
      </w:r>
      <w:proofErr w:type="spellEnd"/>
      <w:r>
        <w:t xml:space="preserve"> survey recorded a much lower share of total R&amp;D by the finance and insurance industry. For 2011</w:t>
      </w:r>
      <w:r>
        <w:noBreakHyphen/>
        <w:t>12 and 2012</w:t>
      </w:r>
      <w:r>
        <w:noBreakHyphen/>
        <w:t xml:space="preserve">13, the Commission used the ABS </w:t>
      </w:r>
      <w:proofErr w:type="spellStart"/>
      <w:r>
        <w:t>BERD</w:t>
      </w:r>
      <w:proofErr w:type="spellEnd"/>
      <w:r>
        <w:t xml:space="preserve"> share rather than the </w:t>
      </w:r>
      <w:proofErr w:type="spellStart"/>
      <w:r>
        <w:t>ATO</w:t>
      </w:r>
      <w:proofErr w:type="spellEnd"/>
      <w:r>
        <w:t xml:space="preserve"> share for the </w:t>
      </w:r>
      <w:r w:rsidRPr="00860A3D">
        <w:rPr>
          <w:i/>
        </w:rPr>
        <w:t>finance and insurance</w:t>
      </w:r>
      <w:r>
        <w:t xml:space="preserve"> industry, and the </w:t>
      </w:r>
      <w:proofErr w:type="spellStart"/>
      <w:r>
        <w:t>ATO</w:t>
      </w:r>
      <w:proofErr w:type="spellEnd"/>
      <w:r>
        <w:t xml:space="preserve"> shares for all other industries were all slightly increased, maintaining the relativities. </w:t>
      </w:r>
    </w:p>
    <w:p w:rsidR="00455FFC" w:rsidRDefault="00455FFC" w:rsidP="00455FFC">
      <w:pPr>
        <w:pStyle w:val="BodyText"/>
      </w:pPr>
      <w:r>
        <w:t>For 2013</w:t>
      </w:r>
      <w:r>
        <w:noBreakHyphen/>
        <w:t>14, 2014</w:t>
      </w:r>
      <w:r>
        <w:noBreakHyphen/>
        <w:t>15 and 2015</w:t>
      </w:r>
      <w:r>
        <w:noBreakHyphen/>
        <w:t xml:space="preserve">16 the </w:t>
      </w:r>
      <w:proofErr w:type="spellStart"/>
      <w:r>
        <w:t>ATO</w:t>
      </w:r>
      <w:proofErr w:type="spellEnd"/>
      <w:r>
        <w:t xml:space="preserve"> data shows much lower industry shares for the </w:t>
      </w:r>
      <w:r w:rsidRPr="00033225">
        <w:rPr>
          <w:i/>
        </w:rPr>
        <w:t>finance and insurance</w:t>
      </w:r>
      <w:r>
        <w:t xml:space="preserve"> industry for the </w:t>
      </w:r>
      <w:r w:rsidRPr="00B91628">
        <w:rPr>
          <w:i/>
        </w:rPr>
        <w:t>non</w:t>
      </w:r>
      <w:r>
        <w:rPr>
          <w:i/>
        </w:rPr>
        <w:noBreakHyphen/>
      </w:r>
      <w:r w:rsidRPr="00B91628">
        <w:rPr>
          <w:i/>
        </w:rPr>
        <w:t>refundable component</w:t>
      </w:r>
      <w:r>
        <w:t xml:space="preserve">, and no longer the highest ranking. For these years the Commission has used the </w:t>
      </w:r>
      <w:proofErr w:type="spellStart"/>
      <w:r>
        <w:t>ATO</w:t>
      </w:r>
      <w:proofErr w:type="spellEnd"/>
      <w:r>
        <w:t xml:space="preserve"> data.</w:t>
      </w:r>
    </w:p>
    <w:p w:rsidR="00455FFC" w:rsidRDefault="00455FFC" w:rsidP="00455FFC">
      <w:pPr>
        <w:pStyle w:val="BodyText"/>
      </w:pPr>
      <w:r>
        <w:t xml:space="preserve">For the </w:t>
      </w:r>
      <w:r w:rsidRPr="00B91628">
        <w:rPr>
          <w:i/>
        </w:rPr>
        <w:t>refundable component</w:t>
      </w:r>
      <w:r>
        <w:t xml:space="preserve"> of the scheme, the </w:t>
      </w:r>
      <w:proofErr w:type="spellStart"/>
      <w:r>
        <w:t>ATO</w:t>
      </w:r>
      <w:proofErr w:type="spellEnd"/>
      <w:r>
        <w:t xml:space="preserve"> share for the </w:t>
      </w:r>
      <w:r w:rsidRPr="009C11B1">
        <w:rPr>
          <w:i/>
        </w:rPr>
        <w:t>finance and insurance</w:t>
      </w:r>
      <w:r>
        <w:t xml:space="preserve"> industry has been relatively low for the life of the scheme (2011</w:t>
      </w:r>
      <w:r>
        <w:noBreakHyphen/>
        <w:t>12 to 2016</w:t>
      </w:r>
      <w:r>
        <w:noBreakHyphen/>
        <w:t xml:space="preserve">17) and no adjustments have been made. </w:t>
      </w:r>
    </w:p>
    <w:p w:rsidR="00455FFC" w:rsidRDefault="00455FFC" w:rsidP="00120072">
      <w:pPr>
        <w:pStyle w:val="BodyText"/>
      </w:pPr>
    </w:p>
    <w:p w:rsidR="00C83A3D" w:rsidRDefault="00C83A3D" w:rsidP="00C83A3D">
      <w:pPr>
        <w:sectPr w:rsidR="00C83A3D" w:rsidSect="006F732E">
          <w:headerReference w:type="even" r:id="rId29"/>
          <w:headerReference w:type="default" r:id="rId30"/>
          <w:footerReference w:type="even" r:id="rId31"/>
          <w:footerReference w:type="default" r:id="rId32"/>
          <w:pgSz w:w="11907" w:h="16840" w:code="9"/>
          <w:pgMar w:top="1985" w:right="1304" w:bottom="1247" w:left="1814" w:header="1701" w:footer="397" w:gutter="0"/>
          <w:pgNumType w:chapSep="period"/>
          <w:cols w:space="720"/>
          <w:docGrid w:linePitch="326"/>
        </w:sectPr>
      </w:pPr>
    </w:p>
    <w:p w:rsidR="00C83A3D" w:rsidRDefault="00C83A3D" w:rsidP="00C83A3D">
      <w:pPr>
        <w:pStyle w:val="Heading1"/>
      </w:pPr>
      <w:r>
        <w:lastRenderedPageBreak/>
        <w:t>References</w:t>
      </w:r>
    </w:p>
    <w:p w:rsidR="00C83A3D" w:rsidRPr="00B92BF6" w:rsidRDefault="00C83A3D" w:rsidP="00C83A3D">
      <w:pPr>
        <w:pStyle w:val="Reference"/>
        <w:rPr>
          <w:spacing w:val="-4"/>
        </w:rPr>
      </w:pPr>
      <w:r w:rsidRPr="00B92BF6">
        <w:rPr>
          <w:spacing w:val="-4"/>
        </w:rPr>
        <w:t xml:space="preserve">Australian Government 2013, </w:t>
      </w:r>
      <w:r w:rsidRPr="00B92BF6">
        <w:rPr>
          <w:i/>
          <w:spacing w:val="-4"/>
        </w:rPr>
        <w:t>Budget Paper No. 2 Budget Measures 2013</w:t>
      </w:r>
      <w:r w:rsidRPr="00B92BF6">
        <w:rPr>
          <w:i/>
          <w:spacing w:val="-4"/>
        </w:rPr>
        <w:noBreakHyphen/>
        <w:t>14</w:t>
      </w:r>
      <w:r w:rsidRPr="00B92BF6">
        <w:rPr>
          <w:spacing w:val="-4"/>
        </w:rPr>
        <w:t xml:space="preserve">, Canberra, May. </w:t>
      </w:r>
    </w:p>
    <w:p w:rsidR="00C83A3D" w:rsidRDefault="00C83A3D" w:rsidP="00C83A3D">
      <w:pPr>
        <w:pStyle w:val="Reference"/>
      </w:pPr>
      <w:r>
        <w:t>—— </w:t>
      </w:r>
      <w:proofErr w:type="spellStart"/>
      <w:r>
        <w:t>2015a</w:t>
      </w:r>
      <w:proofErr w:type="spellEnd"/>
      <w:r>
        <w:t xml:space="preserve">, </w:t>
      </w:r>
      <w:r w:rsidRPr="005C431F">
        <w:rPr>
          <w:i/>
        </w:rPr>
        <w:t>Mid</w:t>
      </w:r>
      <w:r w:rsidR="003D6704">
        <w:rPr>
          <w:i/>
        </w:rPr>
        <w:noBreakHyphen/>
      </w:r>
      <w:r w:rsidRPr="005C431F">
        <w:rPr>
          <w:i/>
        </w:rPr>
        <w:t>Year Economic and Fiscal Outlook 2015</w:t>
      </w:r>
      <w:r w:rsidRPr="005C431F">
        <w:rPr>
          <w:i/>
        </w:rPr>
        <w:noBreakHyphen/>
        <w:t>16</w:t>
      </w:r>
      <w:r>
        <w:t xml:space="preserve">, Canberra, December. </w:t>
      </w:r>
    </w:p>
    <w:p w:rsidR="00C83A3D" w:rsidRDefault="00C83A3D" w:rsidP="00C83A3D">
      <w:pPr>
        <w:pStyle w:val="Reference"/>
      </w:pPr>
      <w:r>
        <w:t>—— </w:t>
      </w:r>
      <w:proofErr w:type="spellStart"/>
      <w:r>
        <w:t>2015b</w:t>
      </w:r>
      <w:proofErr w:type="spellEnd"/>
      <w:r>
        <w:t xml:space="preserve">, </w:t>
      </w:r>
      <w:r w:rsidRPr="00906599">
        <w:rPr>
          <w:i/>
        </w:rPr>
        <w:t>Budget 2014</w:t>
      </w:r>
      <w:r w:rsidRPr="00906599">
        <w:rPr>
          <w:i/>
        </w:rPr>
        <w:noBreakHyphen/>
        <w:t>15</w:t>
      </w:r>
      <w:r>
        <w:rPr>
          <w:i/>
        </w:rPr>
        <w:t xml:space="preserve"> –</w:t>
      </w:r>
      <w:r w:rsidRPr="00906599">
        <w:rPr>
          <w:i/>
        </w:rPr>
        <w:t xml:space="preserve"> Growing Jobs and Small Businesses</w:t>
      </w:r>
      <w:r>
        <w:t xml:space="preserve">, Canberra, May. </w:t>
      </w:r>
    </w:p>
    <w:p w:rsidR="00C83A3D" w:rsidRDefault="00C83A3D" w:rsidP="00C83A3D">
      <w:pPr>
        <w:pStyle w:val="Reference"/>
      </w:pPr>
      <w:r>
        <w:t xml:space="preserve">—— 2018, </w:t>
      </w:r>
      <w:r w:rsidRPr="00C505DB">
        <w:rPr>
          <w:i/>
        </w:rPr>
        <w:t>Tax Expenditure Statement 2017</w:t>
      </w:r>
      <w:r>
        <w:t>, Department of Treasury, Canberra, January.</w:t>
      </w:r>
    </w:p>
    <w:p w:rsidR="00C83A3D" w:rsidRPr="00FE48D9" w:rsidRDefault="00C83A3D" w:rsidP="00C83A3D">
      <w:pPr>
        <w:pStyle w:val="Reference"/>
      </w:pPr>
      <w:proofErr w:type="spellStart"/>
      <w:r w:rsidRPr="00FE48D9">
        <w:t>ATO</w:t>
      </w:r>
      <w:proofErr w:type="spellEnd"/>
      <w:r w:rsidRPr="00FE48D9">
        <w:t xml:space="preserve"> (Australia Taxation Office) </w:t>
      </w:r>
      <w:proofErr w:type="spellStart"/>
      <w:r w:rsidRPr="00FE48D9">
        <w:t>2018</w:t>
      </w:r>
      <w:r>
        <w:t>a</w:t>
      </w:r>
      <w:proofErr w:type="spellEnd"/>
      <w:r w:rsidRPr="00FE48D9">
        <w:t xml:space="preserve">, </w:t>
      </w:r>
      <w:r w:rsidRPr="00FE48D9">
        <w:rPr>
          <w:i/>
        </w:rPr>
        <w:t>Exploration Development Incentive</w:t>
      </w:r>
      <w:r w:rsidRPr="00FE48D9">
        <w:t xml:space="preserve">, </w:t>
      </w:r>
      <w:r w:rsidRPr="00455FFC">
        <w:t>https://www.ato.gov.au/Business/Exploration-Development-Incentive/</w:t>
      </w:r>
      <w:r>
        <w:t xml:space="preserve"> (accessed 30 </w:t>
      </w:r>
      <w:r w:rsidRPr="00FE48D9">
        <w:t xml:space="preserve">May 2018). </w:t>
      </w:r>
    </w:p>
    <w:p w:rsidR="00C83A3D" w:rsidRPr="00B92BF6" w:rsidRDefault="00C83A3D" w:rsidP="00C83A3D">
      <w:pPr>
        <w:pStyle w:val="Reference"/>
        <w:rPr>
          <w:spacing w:val="-4"/>
        </w:rPr>
      </w:pPr>
      <w:r w:rsidRPr="00B92BF6">
        <w:rPr>
          <w:spacing w:val="-4"/>
        </w:rPr>
        <w:t>—— </w:t>
      </w:r>
      <w:proofErr w:type="spellStart"/>
      <w:r w:rsidRPr="00B92BF6">
        <w:rPr>
          <w:spacing w:val="-4"/>
        </w:rPr>
        <w:t>2018b</w:t>
      </w:r>
      <w:proofErr w:type="spellEnd"/>
      <w:r w:rsidRPr="00B92BF6">
        <w:rPr>
          <w:spacing w:val="-4"/>
        </w:rPr>
        <w:t xml:space="preserve">, </w:t>
      </w:r>
      <w:r w:rsidRPr="00B92BF6">
        <w:rPr>
          <w:i/>
          <w:spacing w:val="-4"/>
        </w:rPr>
        <w:t>Increase the unincorporated small business tax discount</w:t>
      </w:r>
      <w:r w:rsidRPr="00B92BF6">
        <w:rPr>
          <w:spacing w:val="-4"/>
        </w:rPr>
        <w:t>, https://www.ato.gov.au/General/New</w:t>
      </w:r>
      <w:r w:rsidR="003D6704" w:rsidRPr="00B92BF6">
        <w:rPr>
          <w:spacing w:val="-4"/>
        </w:rPr>
        <w:noBreakHyphen/>
      </w:r>
      <w:r w:rsidRPr="00B92BF6">
        <w:rPr>
          <w:spacing w:val="-4"/>
        </w:rPr>
        <w:t>legislation/In</w:t>
      </w:r>
      <w:r w:rsidR="003D6704" w:rsidRPr="00B92BF6">
        <w:rPr>
          <w:spacing w:val="-4"/>
        </w:rPr>
        <w:noBreakHyphen/>
      </w:r>
      <w:r w:rsidRPr="00B92BF6">
        <w:rPr>
          <w:spacing w:val="-4"/>
        </w:rPr>
        <w:t>detail/Direct</w:t>
      </w:r>
      <w:r w:rsidR="003D6704" w:rsidRPr="00B92BF6">
        <w:rPr>
          <w:spacing w:val="-4"/>
        </w:rPr>
        <w:noBreakHyphen/>
      </w:r>
      <w:r w:rsidRPr="00B92BF6">
        <w:rPr>
          <w:spacing w:val="-4"/>
        </w:rPr>
        <w:t>taxes/Income</w:t>
      </w:r>
      <w:r w:rsidR="003D6704" w:rsidRPr="00B92BF6">
        <w:rPr>
          <w:spacing w:val="-4"/>
        </w:rPr>
        <w:noBreakHyphen/>
      </w:r>
      <w:r w:rsidRPr="00B92BF6">
        <w:rPr>
          <w:spacing w:val="-4"/>
        </w:rPr>
        <w:t>tax</w:t>
      </w:r>
      <w:r w:rsidR="003D6704" w:rsidRPr="00B92BF6">
        <w:rPr>
          <w:spacing w:val="-4"/>
        </w:rPr>
        <w:noBreakHyphen/>
      </w:r>
      <w:r w:rsidRPr="00B92BF6">
        <w:rPr>
          <w:spacing w:val="-4"/>
        </w:rPr>
        <w:t>for</w:t>
      </w:r>
      <w:r w:rsidR="003D6704" w:rsidRPr="00B92BF6">
        <w:rPr>
          <w:spacing w:val="-4"/>
        </w:rPr>
        <w:noBreakHyphen/>
      </w:r>
      <w:r w:rsidRPr="00B92BF6">
        <w:rPr>
          <w:spacing w:val="-4"/>
        </w:rPr>
        <w:t>businesses/Increase</w:t>
      </w:r>
      <w:r w:rsidR="003D6704" w:rsidRPr="00B92BF6">
        <w:rPr>
          <w:spacing w:val="-4"/>
        </w:rPr>
        <w:noBreakHyphen/>
      </w:r>
      <w:r w:rsidRPr="00B92BF6">
        <w:rPr>
          <w:spacing w:val="-4"/>
        </w:rPr>
        <w:t>the</w:t>
      </w:r>
      <w:r w:rsidR="003D6704" w:rsidRPr="00B92BF6">
        <w:rPr>
          <w:spacing w:val="-4"/>
        </w:rPr>
        <w:noBreakHyphen/>
      </w:r>
      <w:r w:rsidRPr="00B92BF6">
        <w:rPr>
          <w:spacing w:val="-4"/>
        </w:rPr>
        <w:t>unincorporated</w:t>
      </w:r>
      <w:r w:rsidR="003D6704" w:rsidRPr="00B92BF6">
        <w:rPr>
          <w:spacing w:val="-4"/>
        </w:rPr>
        <w:noBreakHyphen/>
      </w:r>
      <w:r w:rsidRPr="00B92BF6">
        <w:rPr>
          <w:spacing w:val="-4"/>
        </w:rPr>
        <w:t>small</w:t>
      </w:r>
      <w:r w:rsidR="003D6704" w:rsidRPr="00B92BF6">
        <w:rPr>
          <w:spacing w:val="-4"/>
        </w:rPr>
        <w:noBreakHyphen/>
      </w:r>
      <w:r w:rsidRPr="00B92BF6">
        <w:rPr>
          <w:spacing w:val="-4"/>
        </w:rPr>
        <w:t>business</w:t>
      </w:r>
      <w:r w:rsidR="003D6704" w:rsidRPr="00B92BF6">
        <w:rPr>
          <w:spacing w:val="-4"/>
        </w:rPr>
        <w:noBreakHyphen/>
      </w:r>
      <w:r w:rsidRPr="00B92BF6">
        <w:rPr>
          <w:spacing w:val="-4"/>
        </w:rPr>
        <w:t>tax</w:t>
      </w:r>
      <w:r w:rsidR="003D6704" w:rsidRPr="00B92BF6">
        <w:rPr>
          <w:spacing w:val="-4"/>
        </w:rPr>
        <w:noBreakHyphen/>
      </w:r>
      <w:r w:rsidRPr="00B92BF6">
        <w:rPr>
          <w:spacing w:val="-4"/>
        </w:rPr>
        <w:t xml:space="preserve">discount/ (assessed 20 June 2018). </w:t>
      </w:r>
    </w:p>
    <w:p w:rsidR="00C83A3D" w:rsidRDefault="00C83A3D" w:rsidP="00C83A3D">
      <w:pPr>
        <w:pStyle w:val="Reference"/>
      </w:pPr>
      <w:r>
        <w:t xml:space="preserve">Bishop, J. (Minister for Foreign Affairs) 2015, </w:t>
      </w:r>
      <w:r w:rsidRPr="0067154E">
        <w:rPr>
          <w:i/>
        </w:rPr>
        <w:t>Australia secures two blockbuster films</w:t>
      </w:r>
      <w:r>
        <w:t xml:space="preserve">, Media Release, 22 October. </w:t>
      </w:r>
    </w:p>
    <w:p w:rsidR="00C83A3D" w:rsidRDefault="00C83A3D" w:rsidP="00C83A3D">
      <w:pPr>
        <w:pStyle w:val="Reference"/>
      </w:pPr>
      <w:r>
        <w:t xml:space="preserve">Brandis, G. (Minister for the Arts) 2014, </w:t>
      </w:r>
      <w:r w:rsidRPr="001956E4">
        <w:rPr>
          <w:i/>
        </w:rPr>
        <w:t>Walt Disney Studios to film fifth Pirates of the Caribbean movie in Queensland, Australia</w:t>
      </w:r>
      <w:r>
        <w:t xml:space="preserve">, Media Release, 2 October. </w:t>
      </w:r>
    </w:p>
    <w:p w:rsidR="00C83A3D" w:rsidRDefault="00C83A3D" w:rsidP="00C83A3D">
      <w:pPr>
        <w:pStyle w:val="Reference"/>
      </w:pPr>
      <w:proofErr w:type="spellStart"/>
      <w:r>
        <w:t>DAWR</w:t>
      </w:r>
      <w:proofErr w:type="spellEnd"/>
      <w:r>
        <w:t xml:space="preserve"> (Department of Agriculture and Water Resources) 2017, </w:t>
      </w:r>
      <w:r w:rsidRPr="00DC50DA">
        <w:rPr>
          <w:i/>
        </w:rPr>
        <w:t>Department of Agriculture and Water Resources Annual Report 2016</w:t>
      </w:r>
      <w:r w:rsidRPr="00DC50DA">
        <w:rPr>
          <w:i/>
        </w:rPr>
        <w:noBreakHyphen/>
        <w:t>17</w:t>
      </w:r>
      <w:r>
        <w:t xml:space="preserve">, Canberra. </w:t>
      </w:r>
    </w:p>
    <w:p w:rsidR="00C83A3D" w:rsidRDefault="00C83A3D" w:rsidP="00C83A3D">
      <w:pPr>
        <w:pStyle w:val="Reference"/>
      </w:pPr>
      <w:r>
        <w:t xml:space="preserve">DD (Department of Defence) 2016, </w:t>
      </w:r>
      <w:r w:rsidRPr="008B569C">
        <w:rPr>
          <w:i/>
        </w:rPr>
        <w:t>2016 Defence Industry Policy Statement</w:t>
      </w:r>
      <w:r>
        <w:t xml:space="preserve">, Canberra. </w:t>
      </w:r>
    </w:p>
    <w:p w:rsidR="00C83A3D" w:rsidRDefault="00C83A3D" w:rsidP="00C83A3D">
      <w:pPr>
        <w:pStyle w:val="Reference"/>
      </w:pPr>
      <w:r>
        <w:t xml:space="preserve">—— 2017, </w:t>
      </w:r>
      <w:r w:rsidRPr="00C45E4A">
        <w:rPr>
          <w:i/>
        </w:rPr>
        <w:t xml:space="preserve">Defence </w:t>
      </w:r>
      <w:r>
        <w:rPr>
          <w:i/>
        </w:rPr>
        <w:t>D</w:t>
      </w:r>
      <w:r w:rsidRPr="00C45E4A">
        <w:rPr>
          <w:i/>
        </w:rPr>
        <w:t>isclosures</w:t>
      </w:r>
      <w:r>
        <w:t xml:space="preserve">, </w:t>
      </w:r>
      <w:proofErr w:type="spellStart"/>
      <w:r w:rsidRPr="00455FFC">
        <w:t>www.defence.gov.au</w:t>
      </w:r>
      <w:proofErr w:type="spellEnd"/>
      <w:r w:rsidRPr="00455FFC">
        <w:t xml:space="preserve"> /</w:t>
      </w:r>
      <w:proofErr w:type="spellStart"/>
      <w:r w:rsidRPr="00455FFC">
        <w:t>Disclosures.asp</w:t>
      </w:r>
      <w:proofErr w:type="spellEnd"/>
      <w:r>
        <w:t xml:space="preserve"> (accessed 1 December 2017). </w:t>
      </w:r>
    </w:p>
    <w:p w:rsidR="00C83A3D" w:rsidRDefault="00C83A3D" w:rsidP="00C83A3D">
      <w:pPr>
        <w:pStyle w:val="Reference"/>
      </w:pPr>
      <w:r>
        <w:t xml:space="preserve">Hunt, G. (Minister for Industry, Innovation and Science) 2017, </w:t>
      </w:r>
      <w:r w:rsidRPr="001F625A">
        <w:rPr>
          <w:i/>
        </w:rPr>
        <w:t xml:space="preserve">Turnbull Government secures jobs for </w:t>
      </w:r>
      <w:proofErr w:type="spellStart"/>
      <w:r w:rsidRPr="001F625A">
        <w:rPr>
          <w:i/>
        </w:rPr>
        <w:t>Aloca</w:t>
      </w:r>
      <w:proofErr w:type="spellEnd"/>
      <w:r w:rsidRPr="001F625A">
        <w:rPr>
          <w:i/>
        </w:rPr>
        <w:t xml:space="preserve"> workers</w:t>
      </w:r>
      <w:r>
        <w:t>, Media Release, 17 January.</w:t>
      </w:r>
      <w:r w:rsidR="003D6704">
        <w:t xml:space="preserve"> </w:t>
      </w:r>
    </w:p>
    <w:p w:rsidR="00C83A3D" w:rsidRDefault="00C83A3D" w:rsidP="00C83A3D">
      <w:pPr>
        <w:pStyle w:val="Reference"/>
      </w:pPr>
      <w:r>
        <w:t xml:space="preserve">Joyce, B. (Deputy Prime Minister and Minister for Agriculture and Water Resources) 2016, </w:t>
      </w:r>
      <w:r w:rsidRPr="00C23C6A">
        <w:rPr>
          <w:i/>
        </w:rPr>
        <w:t>New loans scheme to support farm businesses</w:t>
      </w:r>
      <w:r>
        <w:t xml:space="preserve">, Media Release, 1 November. </w:t>
      </w:r>
    </w:p>
    <w:p w:rsidR="00C83A3D" w:rsidRDefault="00C83A3D" w:rsidP="00C83A3D">
      <w:pPr>
        <w:pStyle w:val="Reference"/>
      </w:pPr>
      <w:r>
        <w:t xml:space="preserve">PC (Productivity Commission) 2017, </w:t>
      </w:r>
      <w:r w:rsidRPr="008C532D">
        <w:rPr>
          <w:i/>
        </w:rPr>
        <w:t>Methodological Annex: Changes to the Commission’s Assistance Estimates, Trade &amp; Assistance Review 2016</w:t>
      </w:r>
      <w:r w:rsidRPr="008C532D">
        <w:rPr>
          <w:i/>
        </w:rPr>
        <w:noBreakHyphen/>
        <w:t>17</w:t>
      </w:r>
      <w:r>
        <w:t xml:space="preserve">, Canberra. </w:t>
      </w:r>
    </w:p>
    <w:p w:rsidR="00C83A3D" w:rsidRDefault="00C83A3D" w:rsidP="00C83A3D">
      <w:pPr>
        <w:pStyle w:val="Reference"/>
      </w:pPr>
      <w:proofErr w:type="spellStart"/>
      <w:r>
        <w:t>Pyne</w:t>
      </w:r>
      <w:proofErr w:type="spellEnd"/>
      <w:r>
        <w:t xml:space="preserve">, C. (Minister for Defence Industry) 2016, </w:t>
      </w:r>
      <w:r w:rsidRPr="008B569C">
        <w:rPr>
          <w:i/>
        </w:rPr>
        <w:t>Board announced for Centre for Defence Industry Capability</w:t>
      </w:r>
      <w:r>
        <w:t xml:space="preserve">, Media Release, 22 October. </w:t>
      </w:r>
    </w:p>
    <w:p w:rsidR="00C83A3D" w:rsidRDefault="00C83A3D" w:rsidP="00C83A3D">
      <w:pPr>
        <w:pStyle w:val="Reference"/>
      </w:pPr>
      <w:r>
        <w:t xml:space="preserve">Truss, W. (Deputy Prime Minister) 2016, </w:t>
      </w:r>
      <w:r w:rsidRPr="00435537">
        <w:rPr>
          <w:i/>
        </w:rPr>
        <w:t>Data Retention Grants Program open to industry</w:t>
      </w:r>
      <w:r>
        <w:t xml:space="preserve">, Media Release, 7 January. </w:t>
      </w:r>
    </w:p>
    <w:sectPr w:rsidR="00C83A3D" w:rsidSect="006F732E">
      <w:headerReference w:type="even" r:id="rId33"/>
      <w:headerReference w:type="default" r:id="rId34"/>
      <w:footerReference w:type="even" r:id="rId35"/>
      <w:footerReference w:type="default" r:id="rId36"/>
      <w:pgSz w:w="11907" w:h="16840" w:code="9"/>
      <w:pgMar w:top="1985" w:right="1304" w:bottom="1247" w:left="1814" w:header="1701" w:footer="397" w:gutter="0"/>
      <w:pgNumType w:chapSep="period"/>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6704" w:rsidRDefault="003D6704">
      <w:r>
        <w:separator/>
      </w:r>
    </w:p>
  </w:endnote>
  <w:endnote w:type="continuationSeparator" w:id="0">
    <w:p w:rsidR="003D6704" w:rsidRDefault="003D67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T Extra">
    <w:panose1 w:val="05050102010205020202"/>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BB507B" w:rsidTr="005F48ED">
      <w:trPr>
        <w:trHeight w:hRule="exact" w:val="567"/>
      </w:trPr>
      <w:tc>
        <w:tcPr>
          <w:tcW w:w="510" w:type="dxa"/>
        </w:tcPr>
        <w:p w:rsidR="00BB507B" w:rsidRDefault="00BB507B">
          <w:pPr>
            <w:pStyle w:val="Footer"/>
            <w:ind w:right="360" w:firstLine="360"/>
          </w:pPr>
        </w:p>
      </w:tc>
      <w:tc>
        <w:tcPr>
          <w:tcW w:w="7767" w:type="dxa"/>
        </w:tcPr>
        <w:p w:rsidR="00BB507B" w:rsidRPr="00BA5B14" w:rsidRDefault="00BB507B" w:rsidP="0013739A">
          <w:pPr>
            <w:pStyle w:val="Footer"/>
            <w:jc w:val="right"/>
            <w:rPr>
              <w:rFonts w:cs="Arial"/>
            </w:rPr>
          </w:pPr>
          <w:r>
            <w:rPr>
              <w:rFonts w:cs="Arial"/>
            </w:rPr>
            <w:t>contents</w:t>
          </w:r>
        </w:p>
      </w:tc>
      <w:tc>
        <w:tcPr>
          <w:tcW w:w="510" w:type="dxa"/>
        </w:tcPr>
        <w:p w:rsidR="00BB507B" w:rsidRPr="00A24443" w:rsidRDefault="00BB507B">
          <w:pPr>
            <w:pStyle w:val="Footer"/>
            <w:jc w:val="right"/>
            <w:rP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E32570">
            <w:rPr>
              <w:rStyle w:val="PageNumber"/>
              <w:caps w:val="0"/>
              <w:noProof/>
            </w:rPr>
            <w:t>iii</w:t>
          </w:r>
          <w:r w:rsidRPr="00A24443">
            <w:rPr>
              <w:rStyle w:val="PageNumber"/>
              <w:caps w:val="0"/>
            </w:rPr>
            <w:fldChar w:fldCharType="end"/>
          </w:r>
        </w:p>
      </w:tc>
    </w:tr>
  </w:tbl>
  <w:p w:rsidR="00BB507B" w:rsidRPr="00BB507B" w:rsidRDefault="00BB507B" w:rsidP="00BB507B">
    <w:pPr>
      <w:pStyle w:val="FooterEnd"/>
    </w:pPr>
  </w:p>
  <w:p w:rsidR="007F0D21" w:rsidRPr="00C83A3D" w:rsidRDefault="007F0D21" w:rsidP="00C83A3D">
    <w:pPr>
      <w:pStyle w:val="FooterEnd"/>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3D6704" w:rsidTr="00C83A3D">
      <w:trPr>
        <w:trHeight w:val="567"/>
      </w:trPr>
      <w:tc>
        <w:tcPr>
          <w:tcW w:w="510" w:type="dxa"/>
          <w:tcBorders>
            <w:top w:val="single" w:sz="4" w:space="0" w:color="auto"/>
          </w:tcBorders>
          <w:shd w:val="clear" w:color="auto" w:fill="auto"/>
        </w:tcPr>
        <w:p w:rsidR="003D6704" w:rsidRDefault="003D6704" w:rsidP="00C83A3D">
          <w:pPr>
            <w:pStyle w:val="Footer"/>
          </w:pPr>
        </w:p>
      </w:tc>
      <w:tc>
        <w:tcPr>
          <w:tcW w:w="7767" w:type="dxa"/>
          <w:tcBorders>
            <w:top w:val="single" w:sz="4" w:space="0" w:color="auto"/>
          </w:tcBorders>
          <w:shd w:val="clear" w:color="auto" w:fill="auto"/>
        </w:tcPr>
        <w:p w:rsidR="003D6704" w:rsidRDefault="003D6704" w:rsidP="00C83A3D">
          <w:pPr>
            <w:pStyle w:val="Footer"/>
            <w:jc w:val="right"/>
          </w:pPr>
          <w:r>
            <w:t>METHODOLOGICAL CHANGES TO THE ESTIMATES</w:t>
          </w:r>
        </w:p>
      </w:tc>
      <w:tc>
        <w:tcPr>
          <w:tcW w:w="510" w:type="dxa"/>
          <w:tcBorders>
            <w:top w:val="single" w:sz="4" w:space="0" w:color="auto"/>
          </w:tcBorders>
          <w:shd w:val="clear" w:color="auto" w:fill="auto"/>
        </w:tcPr>
        <w:p w:rsidR="003D6704" w:rsidRPr="00C83A3D" w:rsidRDefault="003D6704" w:rsidP="00C83A3D">
          <w:pPr>
            <w:pStyle w:val="Footer"/>
            <w:jc w:val="right"/>
            <w:rPr>
              <w:rStyle w:val="PageNumber"/>
            </w:rPr>
          </w:pPr>
          <w:r>
            <w:rPr>
              <w:rStyle w:val="PageNumber"/>
            </w:rPr>
            <w:fldChar w:fldCharType="begin"/>
          </w:r>
          <w:r>
            <w:rPr>
              <w:rStyle w:val="PageNumber"/>
            </w:rPr>
            <w:instrText xml:space="preserve"> PAGE \* MERGEFORMAT </w:instrText>
          </w:r>
          <w:r>
            <w:rPr>
              <w:rStyle w:val="PageNumber"/>
            </w:rPr>
            <w:fldChar w:fldCharType="separate"/>
          </w:r>
          <w:r w:rsidR="00E32570">
            <w:rPr>
              <w:rStyle w:val="PageNumber"/>
              <w:noProof/>
            </w:rPr>
            <w:t>11</w:t>
          </w:r>
          <w:r>
            <w:rPr>
              <w:rStyle w:val="PageNumber"/>
            </w:rPr>
            <w:fldChar w:fldCharType="end"/>
          </w:r>
        </w:p>
      </w:tc>
    </w:tr>
  </w:tbl>
  <w:p w:rsidR="003D6704" w:rsidRPr="00C83A3D" w:rsidRDefault="003D6704" w:rsidP="00C83A3D">
    <w:pPr>
      <w:pStyle w:val="FooterEnd"/>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3D6704" w:rsidTr="00C83A3D">
      <w:trPr>
        <w:trHeight w:val="567"/>
      </w:trPr>
      <w:tc>
        <w:tcPr>
          <w:tcW w:w="510" w:type="dxa"/>
          <w:tcBorders>
            <w:top w:val="single" w:sz="4" w:space="0" w:color="auto"/>
          </w:tcBorders>
          <w:shd w:val="clear" w:color="auto" w:fill="auto"/>
        </w:tcPr>
        <w:p w:rsidR="003D6704" w:rsidRPr="00C83A3D" w:rsidRDefault="003D6704" w:rsidP="00C83A3D">
          <w:pPr>
            <w:pStyle w:val="Footer"/>
            <w:rPr>
              <w:rStyle w:val="PageNumber"/>
            </w:rPr>
          </w:pPr>
          <w:r>
            <w:rPr>
              <w:rStyle w:val="PageNumber"/>
            </w:rPr>
            <w:fldChar w:fldCharType="begin"/>
          </w:r>
          <w:r>
            <w:rPr>
              <w:rStyle w:val="PageNumber"/>
            </w:rPr>
            <w:instrText xml:space="preserve"> PAGE \* MERGEFORMAT </w:instrText>
          </w:r>
          <w:r>
            <w:rPr>
              <w:rStyle w:val="PageNumber"/>
            </w:rPr>
            <w:fldChar w:fldCharType="separate"/>
          </w:r>
          <w:r w:rsidR="006F732E">
            <w:rPr>
              <w:rStyle w:val="PageNumber"/>
              <w:noProof/>
            </w:rPr>
            <w:t>14</w:t>
          </w:r>
          <w:r>
            <w:rPr>
              <w:rStyle w:val="PageNumber"/>
            </w:rPr>
            <w:fldChar w:fldCharType="end"/>
          </w:r>
        </w:p>
      </w:tc>
      <w:tc>
        <w:tcPr>
          <w:tcW w:w="7767" w:type="dxa"/>
          <w:tcBorders>
            <w:top w:val="single" w:sz="4" w:space="0" w:color="auto"/>
          </w:tcBorders>
          <w:shd w:val="clear" w:color="auto" w:fill="auto"/>
        </w:tcPr>
        <w:p w:rsidR="003D6704" w:rsidRDefault="003D6704" w:rsidP="00C83A3D">
          <w:pPr>
            <w:pStyle w:val="Footer"/>
          </w:pPr>
          <w:r>
            <w:t>TRADE &amp; ASSISTANCE REVIEW 2016-17: METHODOLOGICAL ANNEX</w:t>
          </w:r>
        </w:p>
      </w:tc>
      <w:tc>
        <w:tcPr>
          <w:tcW w:w="510" w:type="dxa"/>
          <w:tcBorders>
            <w:top w:val="single" w:sz="4" w:space="0" w:color="auto"/>
          </w:tcBorders>
          <w:shd w:val="clear" w:color="auto" w:fill="auto"/>
        </w:tcPr>
        <w:p w:rsidR="003D6704" w:rsidRDefault="003D6704" w:rsidP="00C83A3D">
          <w:pPr>
            <w:pStyle w:val="Footer"/>
          </w:pPr>
        </w:p>
      </w:tc>
    </w:tr>
  </w:tbl>
  <w:p w:rsidR="003D6704" w:rsidRPr="00C83A3D" w:rsidRDefault="003D6704" w:rsidP="00C83A3D">
    <w:pPr>
      <w:pStyle w:val="FooterEnd"/>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3D6704" w:rsidTr="00C83A3D">
      <w:trPr>
        <w:trHeight w:val="567"/>
      </w:trPr>
      <w:tc>
        <w:tcPr>
          <w:tcW w:w="510" w:type="dxa"/>
          <w:tcBorders>
            <w:top w:val="single" w:sz="4" w:space="0" w:color="auto"/>
          </w:tcBorders>
          <w:shd w:val="clear" w:color="auto" w:fill="auto"/>
        </w:tcPr>
        <w:p w:rsidR="003D6704" w:rsidRDefault="003D6704" w:rsidP="00C83A3D">
          <w:pPr>
            <w:pStyle w:val="Footer"/>
          </w:pPr>
        </w:p>
      </w:tc>
      <w:tc>
        <w:tcPr>
          <w:tcW w:w="7767" w:type="dxa"/>
          <w:tcBorders>
            <w:top w:val="single" w:sz="4" w:space="0" w:color="auto"/>
          </w:tcBorders>
          <w:shd w:val="clear" w:color="auto" w:fill="auto"/>
        </w:tcPr>
        <w:p w:rsidR="003D6704" w:rsidRDefault="003D6704" w:rsidP="00C83A3D">
          <w:pPr>
            <w:pStyle w:val="Footer"/>
            <w:jc w:val="right"/>
          </w:pPr>
          <w:r>
            <w:t>References</w:t>
          </w:r>
        </w:p>
      </w:tc>
      <w:tc>
        <w:tcPr>
          <w:tcW w:w="510" w:type="dxa"/>
          <w:tcBorders>
            <w:top w:val="single" w:sz="4" w:space="0" w:color="auto"/>
          </w:tcBorders>
          <w:shd w:val="clear" w:color="auto" w:fill="auto"/>
        </w:tcPr>
        <w:p w:rsidR="003D6704" w:rsidRPr="00C83A3D" w:rsidRDefault="003D6704" w:rsidP="00C83A3D">
          <w:pPr>
            <w:pStyle w:val="Footer"/>
            <w:jc w:val="right"/>
            <w:rPr>
              <w:rStyle w:val="PageNumber"/>
            </w:rPr>
          </w:pPr>
          <w:r>
            <w:rPr>
              <w:rStyle w:val="PageNumber"/>
            </w:rPr>
            <w:fldChar w:fldCharType="begin"/>
          </w:r>
          <w:r>
            <w:rPr>
              <w:rStyle w:val="PageNumber"/>
            </w:rPr>
            <w:instrText xml:space="preserve"> PAGE \* MERGEFORMAT </w:instrText>
          </w:r>
          <w:r>
            <w:rPr>
              <w:rStyle w:val="PageNumber"/>
            </w:rPr>
            <w:fldChar w:fldCharType="separate"/>
          </w:r>
          <w:r w:rsidR="00E32570">
            <w:rPr>
              <w:rStyle w:val="PageNumber"/>
              <w:noProof/>
            </w:rPr>
            <w:t>13</w:t>
          </w:r>
          <w:r>
            <w:rPr>
              <w:rStyle w:val="PageNumber"/>
            </w:rPr>
            <w:fldChar w:fldCharType="end"/>
          </w:r>
        </w:p>
      </w:tc>
    </w:tr>
  </w:tbl>
  <w:p w:rsidR="003D6704" w:rsidRPr="00C83A3D" w:rsidRDefault="003D6704" w:rsidP="00C83A3D">
    <w:pPr>
      <w:pStyle w:val="FooterEn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90" w:type="dxa"/>
      <w:tblLayout w:type="fixed"/>
      <w:tblCellMar>
        <w:left w:w="0" w:type="dxa"/>
        <w:right w:w="0" w:type="dxa"/>
      </w:tblCellMar>
      <w:tblLook w:val="04A0" w:firstRow="1" w:lastRow="0" w:firstColumn="1" w:lastColumn="0" w:noHBand="0" w:noVBand="1"/>
    </w:tblPr>
    <w:tblGrid>
      <w:gridCol w:w="510"/>
      <w:gridCol w:w="7770"/>
      <w:gridCol w:w="510"/>
    </w:tblGrid>
    <w:tr w:rsidR="000A4629" w:rsidTr="000A4629">
      <w:trPr>
        <w:trHeight w:val="567"/>
      </w:trPr>
      <w:tc>
        <w:tcPr>
          <w:tcW w:w="510" w:type="dxa"/>
          <w:tcBorders>
            <w:top w:val="single" w:sz="4" w:space="0" w:color="auto"/>
            <w:left w:val="nil"/>
            <w:bottom w:val="nil"/>
            <w:right w:val="nil"/>
          </w:tcBorders>
          <w:hideMark/>
        </w:tcPr>
        <w:p w:rsidR="000A4629" w:rsidRPr="000A4629" w:rsidRDefault="000A4629" w:rsidP="000A4629">
          <w:pPr>
            <w:pStyle w:val="Footer"/>
            <w:rPr>
              <w:rStyle w:val="PageNumber"/>
              <w:caps w:val="0"/>
            </w:rPr>
          </w:pPr>
          <w:proofErr w:type="spellStart"/>
          <w:r>
            <w:rPr>
              <w:rStyle w:val="PageNumber"/>
              <w:caps w:val="0"/>
            </w:rPr>
            <w:t>i</w:t>
          </w:r>
          <w:proofErr w:type="spellEnd"/>
        </w:p>
      </w:tc>
      <w:tc>
        <w:tcPr>
          <w:tcW w:w="7767" w:type="dxa"/>
          <w:tcBorders>
            <w:top w:val="single" w:sz="4" w:space="0" w:color="auto"/>
            <w:left w:val="nil"/>
            <w:bottom w:val="nil"/>
            <w:right w:val="nil"/>
          </w:tcBorders>
          <w:hideMark/>
        </w:tcPr>
        <w:p w:rsidR="000A4629" w:rsidRDefault="000A4629" w:rsidP="000A4629">
          <w:pPr>
            <w:pStyle w:val="Footer"/>
          </w:pPr>
          <w:r>
            <w:t>TRADE &amp; ASSISTANCE REVIEW 2016-17: METHODOLOGICAL ANNEX</w:t>
          </w:r>
        </w:p>
      </w:tc>
      <w:tc>
        <w:tcPr>
          <w:tcW w:w="510" w:type="dxa"/>
          <w:tcBorders>
            <w:top w:val="single" w:sz="4" w:space="0" w:color="auto"/>
            <w:left w:val="nil"/>
            <w:bottom w:val="nil"/>
            <w:right w:val="nil"/>
          </w:tcBorders>
        </w:tcPr>
        <w:p w:rsidR="000A4629" w:rsidRDefault="000A4629" w:rsidP="000A4629">
          <w:pPr>
            <w:pStyle w:val="Footer"/>
          </w:pPr>
        </w:p>
      </w:tc>
    </w:tr>
  </w:tbl>
  <w:p w:rsidR="000A4629" w:rsidRDefault="000A4629" w:rsidP="000A462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90" w:type="dxa"/>
      <w:tblLayout w:type="fixed"/>
      <w:tblCellMar>
        <w:left w:w="0" w:type="dxa"/>
        <w:right w:w="0" w:type="dxa"/>
      </w:tblCellMar>
      <w:tblLook w:val="04A0" w:firstRow="1" w:lastRow="0" w:firstColumn="1" w:lastColumn="0" w:noHBand="0" w:noVBand="1"/>
    </w:tblPr>
    <w:tblGrid>
      <w:gridCol w:w="510"/>
      <w:gridCol w:w="7770"/>
      <w:gridCol w:w="510"/>
    </w:tblGrid>
    <w:tr w:rsidR="000A4629" w:rsidTr="000A4629">
      <w:trPr>
        <w:trHeight w:val="567"/>
      </w:trPr>
      <w:tc>
        <w:tcPr>
          <w:tcW w:w="510" w:type="dxa"/>
          <w:tcBorders>
            <w:top w:val="single" w:sz="4" w:space="0" w:color="auto"/>
            <w:left w:val="nil"/>
            <w:bottom w:val="nil"/>
            <w:right w:val="nil"/>
          </w:tcBorders>
          <w:hideMark/>
        </w:tcPr>
        <w:p w:rsidR="000A4629" w:rsidRDefault="000A4629" w:rsidP="000A4629">
          <w:pPr>
            <w:pStyle w:val="Footer"/>
            <w:rPr>
              <w:rStyle w:val="PageNumber"/>
            </w:rPr>
          </w:pPr>
          <w:r>
            <w:rPr>
              <w:rStyle w:val="PageNumber"/>
            </w:rPr>
            <w:fldChar w:fldCharType="begin"/>
          </w:r>
          <w:r>
            <w:rPr>
              <w:rStyle w:val="PageNumber"/>
            </w:rPr>
            <w:instrText xml:space="preserve"> PAGE \* MERGEFORMAT </w:instrText>
          </w:r>
          <w:r>
            <w:rPr>
              <w:rStyle w:val="PageNumber"/>
            </w:rPr>
            <w:fldChar w:fldCharType="separate"/>
          </w:r>
          <w:r w:rsidR="00E32570">
            <w:rPr>
              <w:rStyle w:val="PageNumber"/>
              <w:noProof/>
            </w:rPr>
            <w:t>2</w:t>
          </w:r>
          <w:r>
            <w:rPr>
              <w:rStyle w:val="PageNumber"/>
            </w:rPr>
            <w:fldChar w:fldCharType="end"/>
          </w:r>
        </w:p>
      </w:tc>
      <w:tc>
        <w:tcPr>
          <w:tcW w:w="7767" w:type="dxa"/>
          <w:tcBorders>
            <w:top w:val="single" w:sz="4" w:space="0" w:color="auto"/>
            <w:left w:val="nil"/>
            <w:bottom w:val="nil"/>
            <w:right w:val="nil"/>
          </w:tcBorders>
          <w:hideMark/>
        </w:tcPr>
        <w:p w:rsidR="000A4629" w:rsidRDefault="000A4629" w:rsidP="000A4629">
          <w:pPr>
            <w:pStyle w:val="Footer"/>
          </w:pPr>
          <w:r>
            <w:t>TRADE &amp; ASSISTANCE REVIEW 2016-17: METHODOLOGICAL ANNEX</w:t>
          </w:r>
        </w:p>
      </w:tc>
      <w:tc>
        <w:tcPr>
          <w:tcW w:w="510" w:type="dxa"/>
          <w:tcBorders>
            <w:top w:val="single" w:sz="4" w:space="0" w:color="auto"/>
            <w:left w:val="nil"/>
            <w:bottom w:val="nil"/>
            <w:right w:val="nil"/>
          </w:tcBorders>
        </w:tcPr>
        <w:p w:rsidR="000A4629" w:rsidRDefault="000A4629" w:rsidP="000A4629">
          <w:pPr>
            <w:pStyle w:val="Footer"/>
          </w:pPr>
        </w:p>
      </w:tc>
    </w:tr>
  </w:tbl>
  <w:p w:rsidR="000A4629" w:rsidRDefault="000A4629" w:rsidP="00BB507B">
    <w:pPr>
      <w:pStyle w:val="FooterEnd"/>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EA06CD" w:rsidTr="00C83A3D">
      <w:trPr>
        <w:trHeight w:val="567"/>
      </w:trPr>
      <w:tc>
        <w:tcPr>
          <w:tcW w:w="510" w:type="dxa"/>
          <w:tcBorders>
            <w:top w:val="single" w:sz="4" w:space="0" w:color="auto"/>
          </w:tcBorders>
          <w:shd w:val="clear" w:color="auto" w:fill="auto"/>
        </w:tcPr>
        <w:p w:rsidR="00EA06CD" w:rsidRDefault="00EA06CD" w:rsidP="00C83A3D">
          <w:pPr>
            <w:pStyle w:val="Footer"/>
          </w:pPr>
        </w:p>
      </w:tc>
      <w:tc>
        <w:tcPr>
          <w:tcW w:w="7767" w:type="dxa"/>
          <w:tcBorders>
            <w:top w:val="single" w:sz="4" w:space="0" w:color="auto"/>
          </w:tcBorders>
          <w:shd w:val="clear" w:color="auto" w:fill="auto"/>
        </w:tcPr>
        <w:p w:rsidR="00EA06CD" w:rsidRDefault="00EA06CD" w:rsidP="00C83A3D">
          <w:pPr>
            <w:pStyle w:val="Footer"/>
            <w:jc w:val="right"/>
          </w:pPr>
          <w:r>
            <w:t>ABOUT THIS ANNEX</w:t>
          </w:r>
        </w:p>
      </w:tc>
      <w:tc>
        <w:tcPr>
          <w:tcW w:w="510" w:type="dxa"/>
          <w:tcBorders>
            <w:top w:val="single" w:sz="4" w:space="0" w:color="auto"/>
          </w:tcBorders>
          <w:shd w:val="clear" w:color="auto" w:fill="auto"/>
        </w:tcPr>
        <w:p w:rsidR="00EA06CD" w:rsidRPr="00C83A3D" w:rsidRDefault="00EA06CD" w:rsidP="00C83A3D">
          <w:pPr>
            <w:pStyle w:val="Footer"/>
            <w:jc w:val="right"/>
            <w:rPr>
              <w:rStyle w:val="PageNumber"/>
            </w:rPr>
          </w:pPr>
          <w:r>
            <w:rPr>
              <w:rStyle w:val="PageNumber"/>
            </w:rPr>
            <w:fldChar w:fldCharType="begin"/>
          </w:r>
          <w:r>
            <w:rPr>
              <w:rStyle w:val="PageNumber"/>
            </w:rPr>
            <w:instrText xml:space="preserve"> PAGE \* MERGEFORMAT </w:instrText>
          </w:r>
          <w:r>
            <w:rPr>
              <w:rStyle w:val="PageNumber"/>
            </w:rPr>
            <w:fldChar w:fldCharType="separate"/>
          </w:r>
          <w:r w:rsidR="00E32570">
            <w:rPr>
              <w:rStyle w:val="PageNumber"/>
              <w:noProof/>
            </w:rPr>
            <w:t>1</w:t>
          </w:r>
          <w:r>
            <w:rPr>
              <w:rStyle w:val="PageNumber"/>
            </w:rPr>
            <w:fldChar w:fldCharType="end"/>
          </w:r>
        </w:p>
      </w:tc>
    </w:tr>
  </w:tbl>
  <w:p w:rsidR="00EA06CD" w:rsidRPr="00C83A3D" w:rsidRDefault="00EA06CD" w:rsidP="00C83A3D">
    <w:pPr>
      <w:pStyle w:val="FooterEnd"/>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3D6704" w:rsidTr="00C83A3D">
      <w:trPr>
        <w:trHeight w:val="567"/>
      </w:trPr>
      <w:tc>
        <w:tcPr>
          <w:tcW w:w="510" w:type="dxa"/>
          <w:tcBorders>
            <w:top w:val="single" w:sz="4" w:space="0" w:color="auto"/>
          </w:tcBorders>
          <w:shd w:val="clear" w:color="auto" w:fill="auto"/>
        </w:tcPr>
        <w:p w:rsidR="003D6704" w:rsidRPr="00C83A3D" w:rsidRDefault="003D6704" w:rsidP="00C83A3D">
          <w:pPr>
            <w:pStyle w:val="Footer"/>
            <w:rPr>
              <w:rStyle w:val="PageNumber"/>
            </w:rPr>
          </w:pPr>
          <w:r>
            <w:rPr>
              <w:rStyle w:val="PageNumber"/>
            </w:rPr>
            <w:fldChar w:fldCharType="begin"/>
          </w:r>
          <w:r>
            <w:rPr>
              <w:rStyle w:val="PageNumber"/>
            </w:rPr>
            <w:instrText xml:space="preserve"> PAGE \* MERGEFORMAT </w:instrText>
          </w:r>
          <w:r>
            <w:rPr>
              <w:rStyle w:val="PageNumber"/>
            </w:rPr>
            <w:fldChar w:fldCharType="separate"/>
          </w:r>
          <w:r w:rsidR="00E32570">
            <w:rPr>
              <w:rStyle w:val="PageNumber"/>
              <w:noProof/>
            </w:rPr>
            <w:t>6</w:t>
          </w:r>
          <w:r>
            <w:rPr>
              <w:rStyle w:val="PageNumber"/>
            </w:rPr>
            <w:fldChar w:fldCharType="end"/>
          </w:r>
        </w:p>
      </w:tc>
      <w:tc>
        <w:tcPr>
          <w:tcW w:w="7767" w:type="dxa"/>
          <w:tcBorders>
            <w:top w:val="single" w:sz="4" w:space="0" w:color="auto"/>
          </w:tcBorders>
          <w:shd w:val="clear" w:color="auto" w:fill="auto"/>
        </w:tcPr>
        <w:p w:rsidR="003D6704" w:rsidRDefault="003D6704" w:rsidP="00C83A3D">
          <w:pPr>
            <w:pStyle w:val="Footer"/>
          </w:pPr>
          <w:r>
            <w:t>TRADE &amp; ASSISTANCE REVIEW 2016-17: METHODOLOGICAL ANNEX</w:t>
          </w:r>
        </w:p>
      </w:tc>
      <w:tc>
        <w:tcPr>
          <w:tcW w:w="510" w:type="dxa"/>
          <w:tcBorders>
            <w:top w:val="single" w:sz="4" w:space="0" w:color="auto"/>
          </w:tcBorders>
          <w:shd w:val="clear" w:color="auto" w:fill="auto"/>
        </w:tcPr>
        <w:p w:rsidR="003D6704" w:rsidRDefault="003D6704" w:rsidP="00C83A3D">
          <w:pPr>
            <w:pStyle w:val="Footer"/>
          </w:pPr>
        </w:p>
      </w:tc>
    </w:tr>
  </w:tbl>
  <w:p w:rsidR="003D6704" w:rsidRPr="00C83A3D" w:rsidRDefault="003D6704" w:rsidP="00C83A3D">
    <w:pPr>
      <w:pStyle w:val="FooterEnd"/>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3D6704" w:rsidTr="00C83A3D">
      <w:trPr>
        <w:trHeight w:val="567"/>
      </w:trPr>
      <w:tc>
        <w:tcPr>
          <w:tcW w:w="510" w:type="dxa"/>
          <w:tcBorders>
            <w:top w:val="single" w:sz="4" w:space="0" w:color="auto"/>
          </w:tcBorders>
          <w:shd w:val="clear" w:color="auto" w:fill="auto"/>
        </w:tcPr>
        <w:p w:rsidR="003D6704" w:rsidRDefault="003D6704" w:rsidP="00C83A3D">
          <w:pPr>
            <w:pStyle w:val="Footer"/>
          </w:pPr>
        </w:p>
      </w:tc>
      <w:tc>
        <w:tcPr>
          <w:tcW w:w="7767" w:type="dxa"/>
          <w:tcBorders>
            <w:top w:val="single" w:sz="4" w:space="0" w:color="auto"/>
          </w:tcBorders>
          <w:shd w:val="clear" w:color="auto" w:fill="auto"/>
        </w:tcPr>
        <w:p w:rsidR="003D6704" w:rsidRDefault="003D6704" w:rsidP="00C83A3D">
          <w:pPr>
            <w:pStyle w:val="Footer"/>
            <w:jc w:val="right"/>
          </w:pPr>
          <w:r>
            <w:t>PROGRAMS ADDED TO THE ASSISTANCE ESTIMATES IN 2016-17</w:t>
          </w:r>
        </w:p>
      </w:tc>
      <w:tc>
        <w:tcPr>
          <w:tcW w:w="510" w:type="dxa"/>
          <w:tcBorders>
            <w:top w:val="single" w:sz="4" w:space="0" w:color="auto"/>
          </w:tcBorders>
          <w:shd w:val="clear" w:color="auto" w:fill="auto"/>
        </w:tcPr>
        <w:p w:rsidR="003D6704" w:rsidRPr="00C83A3D" w:rsidRDefault="003D6704" w:rsidP="00C83A3D">
          <w:pPr>
            <w:pStyle w:val="Footer"/>
            <w:jc w:val="right"/>
            <w:rPr>
              <w:rStyle w:val="PageNumber"/>
            </w:rPr>
          </w:pPr>
          <w:r>
            <w:rPr>
              <w:rStyle w:val="PageNumber"/>
            </w:rPr>
            <w:fldChar w:fldCharType="begin"/>
          </w:r>
          <w:r>
            <w:rPr>
              <w:rStyle w:val="PageNumber"/>
            </w:rPr>
            <w:instrText xml:space="preserve"> PAGE \* MERGEFORMAT </w:instrText>
          </w:r>
          <w:r>
            <w:rPr>
              <w:rStyle w:val="PageNumber"/>
            </w:rPr>
            <w:fldChar w:fldCharType="separate"/>
          </w:r>
          <w:r w:rsidR="00E32570">
            <w:rPr>
              <w:rStyle w:val="PageNumber"/>
              <w:noProof/>
            </w:rPr>
            <w:t>7</w:t>
          </w:r>
          <w:r>
            <w:rPr>
              <w:rStyle w:val="PageNumber"/>
            </w:rPr>
            <w:fldChar w:fldCharType="end"/>
          </w:r>
        </w:p>
      </w:tc>
    </w:tr>
  </w:tbl>
  <w:p w:rsidR="003D6704" w:rsidRPr="00BB507B" w:rsidRDefault="003D6704" w:rsidP="00BB507B">
    <w:pPr>
      <w:pStyle w:val="FooterEnd"/>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3D6704" w:rsidTr="00C83A3D">
      <w:trPr>
        <w:trHeight w:val="567"/>
      </w:trPr>
      <w:tc>
        <w:tcPr>
          <w:tcW w:w="510" w:type="dxa"/>
          <w:tcBorders>
            <w:top w:val="single" w:sz="4" w:space="0" w:color="auto"/>
          </w:tcBorders>
          <w:shd w:val="clear" w:color="auto" w:fill="auto"/>
        </w:tcPr>
        <w:p w:rsidR="003D6704" w:rsidRPr="00C83A3D" w:rsidRDefault="003D6704" w:rsidP="00C83A3D">
          <w:pPr>
            <w:pStyle w:val="Footer"/>
            <w:rPr>
              <w:rStyle w:val="PageNumber"/>
            </w:rPr>
          </w:pPr>
          <w:r>
            <w:rPr>
              <w:rStyle w:val="PageNumber"/>
            </w:rPr>
            <w:fldChar w:fldCharType="begin"/>
          </w:r>
          <w:r>
            <w:rPr>
              <w:rStyle w:val="PageNumber"/>
            </w:rPr>
            <w:instrText xml:space="preserve"> PAGE \* MERGEFORMAT </w:instrText>
          </w:r>
          <w:r>
            <w:rPr>
              <w:rStyle w:val="PageNumber"/>
            </w:rPr>
            <w:fldChar w:fldCharType="separate"/>
          </w:r>
          <w:r w:rsidR="00E32570">
            <w:rPr>
              <w:rStyle w:val="PageNumber"/>
              <w:noProof/>
            </w:rPr>
            <w:t>8</w:t>
          </w:r>
          <w:r>
            <w:rPr>
              <w:rStyle w:val="PageNumber"/>
            </w:rPr>
            <w:fldChar w:fldCharType="end"/>
          </w:r>
        </w:p>
      </w:tc>
      <w:tc>
        <w:tcPr>
          <w:tcW w:w="7767" w:type="dxa"/>
          <w:tcBorders>
            <w:top w:val="single" w:sz="4" w:space="0" w:color="auto"/>
          </w:tcBorders>
          <w:shd w:val="clear" w:color="auto" w:fill="auto"/>
        </w:tcPr>
        <w:p w:rsidR="003D6704" w:rsidRDefault="003D6704" w:rsidP="00C83A3D">
          <w:pPr>
            <w:pStyle w:val="Footer"/>
          </w:pPr>
          <w:r>
            <w:t>TRADE &amp; ASSISTANCE REVIEW 2016-17: METHODOLOGICAL ANNEX</w:t>
          </w:r>
        </w:p>
      </w:tc>
      <w:tc>
        <w:tcPr>
          <w:tcW w:w="510" w:type="dxa"/>
          <w:tcBorders>
            <w:top w:val="single" w:sz="4" w:space="0" w:color="auto"/>
          </w:tcBorders>
          <w:shd w:val="clear" w:color="auto" w:fill="auto"/>
        </w:tcPr>
        <w:p w:rsidR="003D6704" w:rsidRDefault="003D6704" w:rsidP="00C83A3D">
          <w:pPr>
            <w:pStyle w:val="Footer"/>
          </w:pPr>
        </w:p>
      </w:tc>
    </w:tr>
  </w:tbl>
  <w:p w:rsidR="003D6704" w:rsidRPr="00C83A3D" w:rsidRDefault="003D6704" w:rsidP="00C83A3D">
    <w:pPr>
      <w:pStyle w:val="FooterEnd"/>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3D6704" w:rsidTr="00C83A3D">
      <w:trPr>
        <w:trHeight w:val="567"/>
      </w:trPr>
      <w:tc>
        <w:tcPr>
          <w:tcW w:w="510" w:type="dxa"/>
          <w:tcBorders>
            <w:top w:val="single" w:sz="4" w:space="0" w:color="auto"/>
          </w:tcBorders>
          <w:shd w:val="clear" w:color="auto" w:fill="auto"/>
        </w:tcPr>
        <w:p w:rsidR="003D6704" w:rsidRDefault="003D6704" w:rsidP="00C83A3D">
          <w:pPr>
            <w:pStyle w:val="Footer"/>
          </w:pPr>
        </w:p>
      </w:tc>
      <w:tc>
        <w:tcPr>
          <w:tcW w:w="7767" w:type="dxa"/>
          <w:tcBorders>
            <w:top w:val="single" w:sz="4" w:space="0" w:color="auto"/>
          </w:tcBorders>
          <w:shd w:val="clear" w:color="auto" w:fill="auto"/>
        </w:tcPr>
        <w:p w:rsidR="003D6704" w:rsidRDefault="003D6704" w:rsidP="00395532">
          <w:pPr>
            <w:pStyle w:val="Footer"/>
            <w:jc w:val="right"/>
          </w:pPr>
          <w:r>
            <w:t>PROGRAMS THAT HAD ZERO ASSISTANCE IN 2016-17</w:t>
          </w:r>
        </w:p>
      </w:tc>
      <w:tc>
        <w:tcPr>
          <w:tcW w:w="510" w:type="dxa"/>
          <w:tcBorders>
            <w:top w:val="single" w:sz="4" w:space="0" w:color="auto"/>
          </w:tcBorders>
          <w:shd w:val="clear" w:color="auto" w:fill="auto"/>
        </w:tcPr>
        <w:p w:rsidR="003D6704" w:rsidRPr="00C83A3D" w:rsidRDefault="003D6704" w:rsidP="00C83A3D">
          <w:pPr>
            <w:pStyle w:val="Footer"/>
            <w:jc w:val="right"/>
            <w:rPr>
              <w:rStyle w:val="PageNumber"/>
            </w:rPr>
          </w:pPr>
          <w:r>
            <w:rPr>
              <w:rStyle w:val="PageNumber"/>
            </w:rPr>
            <w:fldChar w:fldCharType="begin"/>
          </w:r>
          <w:r>
            <w:rPr>
              <w:rStyle w:val="PageNumber"/>
            </w:rPr>
            <w:instrText xml:space="preserve"> PAGE \* MERGEFORMAT </w:instrText>
          </w:r>
          <w:r>
            <w:rPr>
              <w:rStyle w:val="PageNumber"/>
            </w:rPr>
            <w:fldChar w:fldCharType="separate"/>
          </w:r>
          <w:r w:rsidR="00E32570">
            <w:rPr>
              <w:rStyle w:val="PageNumber"/>
              <w:noProof/>
            </w:rPr>
            <w:t>9</w:t>
          </w:r>
          <w:r>
            <w:rPr>
              <w:rStyle w:val="PageNumber"/>
            </w:rPr>
            <w:fldChar w:fldCharType="end"/>
          </w:r>
        </w:p>
      </w:tc>
    </w:tr>
  </w:tbl>
  <w:p w:rsidR="003D6704" w:rsidRPr="00C83A3D" w:rsidRDefault="003D6704" w:rsidP="00C83A3D">
    <w:pPr>
      <w:pStyle w:val="FooterEnd"/>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3D6704" w:rsidTr="00C83A3D">
      <w:trPr>
        <w:trHeight w:val="567"/>
      </w:trPr>
      <w:tc>
        <w:tcPr>
          <w:tcW w:w="510" w:type="dxa"/>
          <w:tcBorders>
            <w:top w:val="single" w:sz="4" w:space="0" w:color="auto"/>
          </w:tcBorders>
          <w:shd w:val="clear" w:color="auto" w:fill="auto"/>
        </w:tcPr>
        <w:p w:rsidR="003D6704" w:rsidRPr="00C83A3D" w:rsidRDefault="003D6704" w:rsidP="00C83A3D">
          <w:pPr>
            <w:pStyle w:val="Footer"/>
            <w:rPr>
              <w:rStyle w:val="PageNumber"/>
            </w:rPr>
          </w:pPr>
          <w:r>
            <w:rPr>
              <w:rStyle w:val="PageNumber"/>
            </w:rPr>
            <w:fldChar w:fldCharType="begin"/>
          </w:r>
          <w:r>
            <w:rPr>
              <w:rStyle w:val="PageNumber"/>
            </w:rPr>
            <w:instrText xml:space="preserve"> PAGE \* MERGEFORMAT </w:instrText>
          </w:r>
          <w:r>
            <w:rPr>
              <w:rStyle w:val="PageNumber"/>
            </w:rPr>
            <w:fldChar w:fldCharType="separate"/>
          </w:r>
          <w:r w:rsidR="00E32570">
            <w:rPr>
              <w:rStyle w:val="PageNumber"/>
              <w:noProof/>
            </w:rPr>
            <w:t>12</w:t>
          </w:r>
          <w:r>
            <w:rPr>
              <w:rStyle w:val="PageNumber"/>
            </w:rPr>
            <w:fldChar w:fldCharType="end"/>
          </w:r>
        </w:p>
      </w:tc>
      <w:tc>
        <w:tcPr>
          <w:tcW w:w="7767" w:type="dxa"/>
          <w:tcBorders>
            <w:top w:val="single" w:sz="4" w:space="0" w:color="auto"/>
          </w:tcBorders>
          <w:shd w:val="clear" w:color="auto" w:fill="auto"/>
        </w:tcPr>
        <w:p w:rsidR="003D6704" w:rsidRDefault="003D6704" w:rsidP="00C83A3D">
          <w:pPr>
            <w:pStyle w:val="Footer"/>
          </w:pPr>
          <w:r>
            <w:t>TRADE &amp; ASSISTANCE REVIEW 2016-17: METHODOLOGICAL ANNEX</w:t>
          </w:r>
        </w:p>
      </w:tc>
      <w:tc>
        <w:tcPr>
          <w:tcW w:w="510" w:type="dxa"/>
          <w:tcBorders>
            <w:top w:val="single" w:sz="4" w:space="0" w:color="auto"/>
          </w:tcBorders>
          <w:shd w:val="clear" w:color="auto" w:fill="auto"/>
        </w:tcPr>
        <w:p w:rsidR="003D6704" w:rsidRDefault="003D6704" w:rsidP="00C83A3D">
          <w:pPr>
            <w:pStyle w:val="Footer"/>
          </w:pPr>
        </w:p>
      </w:tc>
    </w:tr>
  </w:tbl>
  <w:p w:rsidR="003D6704" w:rsidRPr="00C83A3D" w:rsidRDefault="003D6704" w:rsidP="00C83A3D">
    <w:pPr>
      <w:pStyle w:val="FooterEn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6704" w:rsidRDefault="003D6704">
      <w:r>
        <w:separator/>
      </w:r>
    </w:p>
  </w:footnote>
  <w:footnote w:type="continuationSeparator" w:id="0">
    <w:p w:rsidR="003D6704" w:rsidRDefault="003D6704">
      <w:r>
        <w:continuationSeparator/>
      </w:r>
    </w:p>
  </w:footnote>
  <w:footnote w:id="1">
    <w:p w:rsidR="003D6704" w:rsidRDefault="003D6704">
      <w:pPr>
        <w:pStyle w:val="FootnoteText"/>
      </w:pPr>
      <w:r>
        <w:rPr>
          <w:rStyle w:val="FootnoteReference"/>
        </w:rPr>
        <w:footnoteRef/>
      </w:r>
      <w:r>
        <w:tab/>
      </w:r>
      <w:r w:rsidRPr="00FF233F">
        <w:t>The Commission’s assistance estimates cover only those measures that selectively benefit particular firms, industries or activities, and that can be quantified given practical constraints in measurement and data availability. Arrangements that may have assistance implications but are not currently part of the estimates include State and Territory government support to industry, although state-based agricultural marketing arrangements were included in earlier Commission assistance estimates.</w:t>
      </w:r>
    </w:p>
  </w:footnote>
  <w:footnote w:id="2">
    <w:p w:rsidR="00455FFC" w:rsidRDefault="00455FFC" w:rsidP="00455FFC">
      <w:pPr>
        <w:pStyle w:val="FootnoteText"/>
      </w:pPr>
      <w:r>
        <w:rPr>
          <w:rStyle w:val="FootnoteReference"/>
        </w:rPr>
        <w:footnoteRef/>
      </w:r>
      <w:r>
        <w:tab/>
        <w:t xml:space="preserve">For </w:t>
      </w:r>
      <w:r w:rsidRPr="009624E7">
        <w:t>example, a company with a turnover of $10 million and R&amp;D expenditure of $1 million would receive a $435 000 refundable offset (because they have a turnover less than $20</w:t>
      </w:r>
      <w:r>
        <w:t> </w:t>
      </w:r>
      <w:r w:rsidRPr="009624E7">
        <w:t>m</w:t>
      </w:r>
      <w:r>
        <w:t>illion</w:t>
      </w:r>
      <w:r w:rsidRPr="009624E7">
        <w:t xml:space="preserve"> and are therefore eligible for the 43.5% refundable tax offset). If the company is profitable, the benefit/assistance is only the amount over and above what they would have received in the absence of the program (i.e. a standard deduction at the company tax rate = $275 000). The benefit is therefore the differe</w:t>
      </w:r>
      <w:r>
        <w:t>nce between these amounts ($160 </w:t>
      </w:r>
      <w:r w:rsidRPr="009624E7">
        <w:t>000). If the company was in tax loss, they are not able to benefit from a standard tax deduction and the benefit/assistance amou</w:t>
      </w:r>
      <w:r>
        <w:t>nt is therefore the entire $435 </w:t>
      </w:r>
      <w:r w:rsidRPr="009624E7">
        <w:t>000.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2155"/>
      <w:gridCol w:w="6634"/>
    </w:tblGrid>
    <w:tr w:rsidR="000A4629">
      <w:tc>
        <w:tcPr>
          <w:tcW w:w="2155" w:type="dxa"/>
          <w:tcBorders>
            <w:top w:val="single" w:sz="24" w:space="0" w:color="auto"/>
          </w:tcBorders>
        </w:tcPr>
        <w:p w:rsidR="000A4629" w:rsidRDefault="000A4629" w:rsidP="0019293B">
          <w:pPr>
            <w:pStyle w:val="HeaderEven"/>
          </w:pPr>
        </w:p>
      </w:tc>
      <w:tc>
        <w:tcPr>
          <w:tcW w:w="6634" w:type="dxa"/>
          <w:tcBorders>
            <w:top w:val="single" w:sz="6" w:space="0" w:color="auto"/>
          </w:tcBorders>
        </w:tcPr>
        <w:p w:rsidR="000A4629" w:rsidRDefault="000A4629" w:rsidP="0019293B">
          <w:pPr>
            <w:pStyle w:val="HeaderEven"/>
          </w:pPr>
        </w:p>
      </w:tc>
    </w:tr>
  </w:tbl>
  <w:p w:rsidR="000A4629" w:rsidRDefault="000A4629" w:rsidP="0019293B">
    <w:pPr>
      <w:pStyle w:val="HeaderEnd"/>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7" w:type="dxa"/>
      <w:tblLayout w:type="fixed"/>
      <w:tblCellMar>
        <w:left w:w="0" w:type="dxa"/>
        <w:right w:w="0" w:type="dxa"/>
      </w:tblCellMar>
      <w:tblLook w:val="0000" w:firstRow="0" w:lastRow="0" w:firstColumn="0" w:lastColumn="0" w:noHBand="0" w:noVBand="0"/>
    </w:tblPr>
    <w:tblGrid>
      <w:gridCol w:w="6633"/>
      <w:gridCol w:w="2154"/>
    </w:tblGrid>
    <w:tr w:rsidR="003D6704" w:rsidTr="00C83A3D">
      <w:trPr>
        <w:trHeight w:val="300"/>
      </w:trPr>
      <w:tc>
        <w:tcPr>
          <w:tcW w:w="6633" w:type="dxa"/>
          <w:tcBorders>
            <w:top w:val="single" w:sz="6" w:space="0" w:color="auto"/>
          </w:tcBorders>
          <w:shd w:val="clear" w:color="auto" w:fill="auto"/>
        </w:tcPr>
        <w:p w:rsidR="003D6704" w:rsidRDefault="003D6704" w:rsidP="00C83A3D">
          <w:pPr>
            <w:pStyle w:val="HeaderOdd"/>
          </w:pPr>
        </w:p>
      </w:tc>
      <w:tc>
        <w:tcPr>
          <w:tcW w:w="2154" w:type="dxa"/>
          <w:tcBorders>
            <w:top w:val="single" w:sz="24" w:space="0" w:color="auto"/>
          </w:tcBorders>
          <w:shd w:val="clear" w:color="auto" w:fill="auto"/>
        </w:tcPr>
        <w:p w:rsidR="003D6704" w:rsidRDefault="003D6704" w:rsidP="00C83A3D">
          <w:pPr>
            <w:pStyle w:val="HeaderOdd"/>
          </w:pPr>
        </w:p>
      </w:tc>
    </w:tr>
  </w:tbl>
  <w:p w:rsidR="003D6704" w:rsidRPr="00C83A3D" w:rsidRDefault="003D6704" w:rsidP="00C83A3D">
    <w:pPr>
      <w:pStyle w:val="HeaderEnd"/>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2154"/>
      <w:gridCol w:w="6633"/>
    </w:tblGrid>
    <w:tr w:rsidR="003D6704" w:rsidTr="00C83A3D">
      <w:trPr>
        <w:trHeight w:val="300"/>
      </w:trPr>
      <w:tc>
        <w:tcPr>
          <w:tcW w:w="2154" w:type="dxa"/>
          <w:tcBorders>
            <w:top w:val="single" w:sz="24" w:space="0" w:color="auto"/>
          </w:tcBorders>
          <w:shd w:val="clear" w:color="auto" w:fill="auto"/>
        </w:tcPr>
        <w:p w:rsidR="003D6704" w:rsidRDefault="003D6704" w:rsidP="00C83A3D">
          <w:pPr>
            <w:pStyle w:val="HeaderEven"/>
          </w:pPr>
        </w:p>
      </w:tc>
      <w:tc>
        <w:tcPr>
          <w:tcW w:w="6633" w:type="dxa"/>
          <w:tcBorders>
            <w:top w:val="single" w:sz="6" w:space="0" w:color="auto"/>
          </w:tcBorders>
          <w:shd w:val="clear" w:color="auto" w:fill="auto"/>
        </w:tcPr>
        <w:p w:rsidR="003D6704" w:rsidRDefault="003D6704" w:rsidP="00C83A3D">
          <w:pPr>
            <w:pStyle w:val="HeaderEven"/>
          </w:pPr>
        </w:p>
      </w:tc>
    </w:tr>
  </w:tbl>
  <w:p w:rsidR="003D6704" w:rsidRPr="00C83A3D" w:rsidRDefault="003D6704" w:rsidP="00C83A3D">
    <w:pPr>
      <w:pStyle w:val="HeaderEnd"/>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7" w:type="dxa"/>
      <w:tblLayout w:type="fixed"/>
      <w:tblCellMar>
        <w:left w:w="0" w:type="dxa"/>
        <w:right w:w="0" w:type="dxa"/>
      </w:tblCellMar>
      <w:tblLook w:val="0000" w:firstRow="0" w:lastRow="0" w:firstColumn="0" w:lastColumn="0" w:noHBand="0" w:noVBand="0"/>
    </w:tblPr>
    <w:tblGrid>
      <w:gridCol w:w="6633"/>
      <w:gridCol w:w="2154"/>
    </w:tblGrid>
    <w:tr w:rsidR="003D6704" w:rsidTr="00C83A3D">
      <w:trPr>
        <w:trHeight w:val="300"/>
      </w:trPr>
      <w:tc>
        <w:tcPr>
          <w:tcW w:w="6633" w:type="dxa"/>
          <w:tcBorders>
            <w:top w:val="single" w:sz="6" w:space="0" w:color="auto"/>
          </w:tcBorders>
          <w:shd w:val="clear" w:color="auto" w:fill="auto"/>
        </w:tcPr>
        <w:p w:rsidR="003D6704" w:rsidRDefault="003D6704" w:rsidP="00C83A3D">
          <w:pPr>
            <w:pStyle w:val="HeaderOdd"/>
          </w:pPr>
        </w:p>
      </w:tc>
      <w:tc>
        <w:tcPr>
          <w:tcW w:w="2154" w:type="dxa"/>
          <w:tcBorders>
            <w:top w:val="single" w:sz="24" w:space="0" w:color="auto"/>
          </w:tcBorders>
          <w:shd w:val="clear" w:color="auto" w:fill="auto"/>
        </w:tcPr>
        <w:p w:rsidR="003D6704" w:rsidRDefault="003D6704" w:rsidP="00C83A3D">
          <w:pPr>
            <w:pStyle w:val="HeaderOdd"/>
          </w:pPr>
        </w:p>
      </w:tc>
    </w:tr>
  </w:tbl>
  <w:p w:rsidR="003D6704" w:rsidRPr="00C83A3D" w:rsidRDefault="003D6704" w:rsidP="00C83A3D">
    <w:pPr>
      <w:pStyle w:val="HeaderEn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6F732E">
      <w:tc>
        <w:tcPr>
          <w:tcW w:w="6634" w:type="dxa"/>
          <w:tcBorders>
            <w:top w:val="single" w:sz="6" w:space="0" w:color="auto"/>
          </w:tcBorders>
        </w:tcPr>
        <w:p w:rsidR="006F732E" w:rsidRDefault="006F732E" w:rsidP="00E669E2">
          <w:pPr>
            <w:pStyle w:val="HeaderOdd"/>
          </w:pPr>
        </w:p>
      </w:tc>
      <w:tc>
        <w:tcPr>
          <w:tcW w:w="2155" w:type="dxa"/>
          <w:tcBorders>
            <w:top w:val="single" w:sz="24" w:space="0" w:color="auto"/>
          </w:tcBorders>
        </w:tcPr>
        <w:p w:rsidR="006F732E" w:rsidRDefault="006F732E" w:rsidP="00E669E2">
          <w:pPr>
            <w:pStyle w:val="HeaderOdd"/>
          </w:pPr>
        </w:p>
      </w:tc>
    </w:tr>
  </w:tbl>
  <w:p w:rsidR="006F732E" w:rsidRDefault="006F732E" w:rsidP="00E669E2">
    <w:pPr>
      <w:pStyle w:val="HeaderEnd"/>
    </w:pPr>
  </w:p>
  <w:p w:rsidR="006F732E" w:rsidRPr="00C83A3D" w:rsidRDefault="006F732E" w:rsidP="00C83A3D">
    <w:pPr>
      <w:pStyle w:val="HeaderEn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2155"/>
      <w:gridCol w:w="6634"/>
    </w:tblGrid>
    <w:tr w:rsidR="000A4629">
      <w:tc>
        <w:tcPr>
          <w:tcW w:w="2155" w:type="dxa"/>
          <w:tcBorders>
            <w:top w:val="single" w:sz="24" w:space="0" w:color="auto"/>
          </w:tcBorders>
        </w:tcPr>
        <w:p w:rsidR="000A4629" w:rsidRDefault="000A4629" w:rsidP="0019293B">
          <w:pPr>
            <w:pStyle w:val="HeaderEven"/>
          </w:pPr>
        </w:p>
      </w:tc>
      <w:tc>
        <w:tcPr>
          <w:tcW w:w="6634" w:type="dxa"/>
          <w:tcBorders>
            <w:top w:val="single" w:sz="6" w:space="0" w:color="auto"/>
          </w:tcBorders>
        </w:tcPr>
        <w:p w:rsidR="000A4629" w:rsidRDefault="000A4629" w:rsidP="0019293B">
          <w:pPr>
            <w:pStyle w:val="HeaderEven"/>
          </w:pPr>
        </w:p>
      </w:tc>
    </w:tr>
  </w:tbl>
  <w:p w:rsidR="000A4629" w:rsidRDefault="000A4629" w:rsidP="0019293B">
    <w:pPr>
      <w:pStyle w:val="HeaderEn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7" w:type="dxa"/>
      <w:tblLayout w:type="fixed"/>
      <w:tblCellMar>
        <w:left w:w="0" w:type="dxa"/>
        <w:right w:w="0" w:type="dxa"/>
      </w:tblCellMar>
      <w:tblLook w:val="0000" w:firstRow="0" w:lastRow="0" w:firstColumn="0" w:lastColumn="0" w:noHBand="0" w:noVBand="0"/>
    </w:tblPr>
    <w:tblGrid>
      <w:gridCol w:w="6633"/>
      <w:gridCol w:w="2154"/>
    </w:tblGrid>
    <w:tr w:rsidR="00EA06CD" w:rsidTr="00C83A3D">
      <w:trPr>
        <w:trHeight w:val="300"/>
      </w:trPr>
      <w:tc>
        <w:tcPr>
          <w:tcW w:w="6633" w:type="dxa"/>
          <w:tcBorders>
            <w:top w:val="single" w:sz="6" w:space="0" w:color="auto"/>
          </w:tcBorders>
          <w:shd w:val="clear" w:color="auto" w:fill="auto"/>
        </w:tcPr>
        <w:p w:rsidR="00EA06CD" w:rsidRDefault="00EA06CD" w:rsidP="00C83A3D">
          <w:pPr>
            <w:pStyle w:val="HeaderOdd"/>
          </w:pPr>
        </w:p>
      </w:tc>
      <w:tc>
        <w:tcPr>
          <w:tcW w:w="2154" w:type="dxa"/>
          <w:tcBorders>
            <w:top w:val="single" w:sz="24" w:space="0" w:color="auto"/>
          </w:tcBorders>
          <w:shd w:val="clear" w:color="auto" w:fill="auto"/>
        </w:tcPr>
        <w:p w:rsidR="00EA06CD" w:rsidRDefault="00EA06CD" w:rsidP="00C83A3D">
          <w:pPr>
            <w:pStyle w:val="HeaderOdd"/>
          </w:pPr>
        </w:p>
      </w:tc>
    </w:tr>
  </w:tbl>
  <w:p w:rsidR="00EA06CD" w:rsidRPr="00C83A3D" w:rsidRDefault="00EA06CD" w:rsidP="00C83A3D">
    <w:pPr>
      <w:pStyle w:val="HeaderEnd"/>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2154"/>
      <w:gridCol w:w="6633"/>
    </w:tblGrid>
    <w:tr w:rsidR="003D6704" w:rsidTr="00C83A3D">
      <w:trPr>
        <w:trHeight w:val="300"/>
      </w:trPr>
      <w:tc>
        <w:tcPr>
          <w:tcW w:w="2154" w:type="dxa"/>
          <w:tcBorders>
            <w:top w:val="single" w:sz="24" w:space="0" w:color="auto"/>
          </w:tcBorders>
          <w:shd w:val="clear" w:color="auto" w:fill="auto"/>
        </w:tcPr>
        <w:p w:rsidR="003D6704" w:rsidRDefault="003D6704" w:rsidP="00C83A3D">
          <w:pPr>
            <w:pStyle w:val="HeaderEven"/>
          </w:pPr>
        </w:p>
      </w:tc>
      <w:tc>
        <w:tcPr>
          <w:tcW w:w="6633" w:type="dxa"/>
          <w:tcBorders>
            <w:top w:val="single" w:sz="6" w:space="0" w:color="auto"/>
          </w:tcBorders>
          <w:shd w:val="clear" w:color="auto" w:fill="auto"/>
        </w:tcPr>
        <w:p w:rsidR="003D6704" w:rsidRDefault="003D6704" w:rsidP="00C83A3D">
          <w:pPr>
            <w:pStyle w:val="HeaderEven"/>
          </w:pPr>
        </w:p>
      </w:tc>
    </w:tr>
  </w:tbl>
  <w:p w:rsidR="003D6704" w:rsidRPr="00C83A3D" w:rsidRDefault="003D6704" w:rsidP="00C83A3D">
    <w:pPr>
      <w:pStyle w:val="HeaderEnd"/>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7" w:type="dxa"/>
      <w:tblLayout w:type="fixed"/>
      <w:tblCellMar>
        <w:left w:w="0" w:type="dxa"/>
        <w:right w:w="0" w:type="dxa"/>
      </w:tblCellMar>
      <w:tblLook w:val="0000" w:firstRow="0" w:lastRow="0" w:firstColumn="0" w:lastColumn="0" w:noHBand="0" w:noVBand="0"/>
    </w:tblPr>
    <w:tblGrid>
      <w:gridCol w:w="6633"/>
      <w:gridCol w:w="2154"/>
    </w:tblGrid>
    <w:tr w:rsidR="003D6704" w:rsidTr="00C83A3D">
      <w:trPr>
        <w:trHeight w:val="300"/>
      </w:trPr>
      <w:tc>
        <w:tcPr>
          <w:tcW w:w="6633" w:type="dxa"/>
          <w:tcBorders>
            <w:top w:val="single" w:sz="6" w:space="0" w:color="auto"/>
          </w:tcBorders>
          <w:shd w:val="clear" w:color="auto" w:fill="auto"/>
        </w:tcPr>
        <w:p w:rsidR="003D6704" w:rsidRDefault="003D6704" w:rsidP="00C83A3D">
          <w:pPr>
            <w:pStyle w:val="HeaderOdd"/>
          </w:pPr>
        </w:p>
      </w:tc>
      <w:tc>
        <w:tcPr>
          <w:tcW w:w="2154" w:type="dxa"/>
          <w:tcBorders>
            <w:top w:val="single" w:sz="24" w:space="0" w:color="auto"/>
          </w:tcBorders>
          <w:shd w:val="clear" w:color="auto" w:fill="auto"/>
        </w:tcPr>
        <w:p w:rsidR="003D6704" w:rsidRDefault="003D6704" w:rsidP="00C83A3D">
          <w:pPr>
            <w:pStyle w:val="HeaderOdd"/>
          </w:pPr>
        </w:p>
      </w:tc>
    </w:tr>
  </w:tbl>
  <w:p w:rsidR="003D6704" w:rsidRPr="00C83A3D" w:rsidRDefault="003D6704" w:rsidP="00C83A3D">
    <w:pPr>
      <w:pStyle w:val="HeaderEnd"/>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2154"/>
      <w:gridCol w:w="6633"/>
    </w:tblGrid>
    <w:tr w:rsidR="003D6704" w:rsidTr="00C83A3D">
      <w:trPr>
        <w:trHeight w:val="300"/>
      </w:trPr>
      <w:tc>
        <w:tcPr>
          <w:tcW w:w="2154" w:type="dxa"/>
          <w:tcBorders>
            <w:top w:val="single" w:sz="24" w:space="0" w:color="auto"/>
          </w:tcBorders>
          <w:shd w:val="clear" w:color="auto" w:fill="auto"/>
        </w:tcPr>
        <w:p w:rsidR="003D6704" w:rsidRDefault="003D6704" w:rsidP="00C83A3D">
          <w:pPr>
            <w:pStyle w:val="HeaderEven"/>
          </w:pPr>
        </w:p>
      </w:tc>
      <w:tc>
        <w:tcPr>
          <w:tcW w:w="6633" w:type="dxa"/>
          <w:tcBorders>
            <w:top w:val="single" w:sz="6" w:space="0" w:color="auto"/>
          </w:tcBorders>
          <w:shd w:val="clear" w:color="auto" w:fill="auto"/>
        </w:tcPr>
        <w:p w:rsidR="003D6704" w:rsidRDefault="003D6704" w:rsidP="00C83A3D">
          <w:pPr>
            <w:pStyle w:val="HeaderEven"/>
          </w:pPr>
        </w:p>
      </w:tc>
    </w:tr>
  </w:tbl>
  <w:p w:rsidR="003D6704" w:rsidRPr="00C83A3D" w:rsidRDefault="003D6704" w:rsidP="00C83A3D">
    <w:pPr>
      <w:pStyle w:val="HeaderEnd"/>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7" w:type="dxa"/>
      <w:tblLayout w:type="fixed"/>
      <w:tblCellMar>
        <w:left w:w="0" w:type="dxa"/>
        <w:right w:w="0" w:type="dxa"/>
      </w:tblCellMar>
      <w:tblLook w:val="0000" w:firstRow="0" w:lastRow="0" w:firstColumn="0" w:lastColumn="0" w:noHBand="0" w:noVBand="0"/>
    </w:tblPr>
    <w:tblGrid>
      <w:gridCol w:w="6633"/>
      <w:gridCol w:w="2154"/>
    </w:tblGrid>
    <w:tr w:rsidR="003D6704" w:rsidTr="00C83A3D">
      <w:trPr>
        <w:trHeight w:val="300"/>
      </w:trPr>
      <w:tc>
        <w:tcPr>
          <w:tcW w:w="6633" w:type="dxa"/>
          <w:tcBorders>
            <w:top w:val="single" w:sz="6" w:space="0" w:color="auto"/>
          </w:tcBorders>
          <w:shd w:val="clear" w:color="auto" w:fill="auto"/>
        </w:tcPr>
        <w:p w:rsidR="003D6704" w:rsidRDefault="003D6704" w:rsidP="00C83A3D">
          <w:pPr>
            <w:pStyle w:val="HeaderOdd"/>
          </w:pPr>
        </w:p>
      </w:tc>
      <w:tc>
        <w:tcPr>
          <w:tcW w:w="2154" w:type="dxa"/>
          <w:tcBorders>
            <w:top w:val="single" w:sz="24" w:space="0" w:color="auto"/>
          </w:tcBorders>
          <w:shd w:val="clear" w:color="auto" w:fill="auto"/>
        </w:tcPr>
        <w:p w:rsidR="003D6704" w:rsidRDefault="003D6704" w:rsidP="00C83A3D">
          <w:pPr>
            <w:pStyle w:val="HeaderOdd"/>
          </w:pPr>
        </w:p>
      </w:tc>
    </w:tr>
  </w:tbl>
  <w:p w:rsidR="003D6704" w:rsidRPr="00C83A3D" w:rsidRDefault="003D6704" w:rsidP="00C83A3D">
    <w:pPr>
      <w:pStyle w:val="HeaderEnd"/>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2154"/>
      <w:gridCol w:w="6633"/>
    </w:tblGrid>
    <w:tr w:rsidR="003D6704" w:rsidTr="00C83A3D">
      <w:trPr>
        <w:trHeight w:val="300"/>
      </w:trPr>
      <w:tc>
        <w:tcPr>
          <w:tcW w:w="2154" w:type="dxa"/>
          <w:tcBorders>
            <w:top w:val="single" w:sz="24" w:space="0" w:color="auto"/>
          </w:tcBorders>
          <w:shd w:val="clear" w:color="auto" w:fill="auto"/>
        </w:tcPr>
        <w:p w:rsidR="003D6704" w:rsidRDefault="003D6704" w:rsidP="00C83A3D">
          <w:pPr>
            <w:pStyle w:val="HeaderEven"/>
          </w:pPr>
        </w:p>
      </w:tc>
      <w:tc>
        <w:tcPr>
          <w:tcW w:w="6633" w:type="dxa"/>
          <w:tcBorders>
            <w:top w:val="single" w:sz="6" w:space="0" w:color="auto"/>
          </w:tcBorders>
          <w:shd w:val="clear" w:color="auto" w:fill="auto"/>
        </w:tcPr>
        <w:p w:rsidR="003D6704" w:rsidRDefault="003D6704" w:rsidP="00C83A3D">
          <w:pPr>
            <w:pStyle w:val="HeaderEven"/>
          </w:pPr>
        </w:p>
      </w:tc>
    </w:tr>
  </w:tbl>
  <w:p w:rsidR="003D6704" w:rsidRPr="00C83A3D" w:rsidRDefault="003D6704" w:rsidP="00C83A3D">
    <w:pPr>
      <w:pStyle w:val="HeaderEn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0BA2943E"/>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521C75D6"/>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2D84BB9"/>
    <w:multiLevelType w:val="hybridMultilevel"/>
    <w:tmpl w:val="5F24570C"/>
    <w:lvl w:ilvl="0" w:tplc="6C209310">
      <w:start w:val="1"/>
      <w:numFmt w:val="bullet"/>
      <w:pStyle w:val="Jurisdictioncommentslistbullet"/>
      <w:lvlText w:val=""/>
      <w:lvlJc w:val="left"/>
      <w:pPr>
        <w:tabs>
          <w:tab w:val="num" w:pos="318"/>
        </w:tabs>
        <w:ind w:left="318" w:hanging="318"/>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47A7C39"/>
    <w:multiLevelType w:val="singleLevel"/>
    <w:tmpl w:val="4438961C"/>
    <w:lvl w:ilvl="0">
      <w:numFmt w:val="bullet"/>
      <w:pStyle w:val="ListBullet2"/>
      <w:lvlText w:val="–"/>
      <w:lvlJc w:val="left"/>
      <w:pPr>
        <w:tabs>
          <w:tab w:val="num" w:pos="680"/>
        </w:tabs>
        <w:ind w:left="680" w:hanging="340"/>
      </w:pPr>
      <w:rPr>
        <w:rFonts w:ascii="Times New Roman" w:hAnsi="Times New Roman" w:cs="Times New Roman" w:hint="default"/>
      </w:rPr>
    </w:lvl>
  </w:abstractNum>
  <w:abstractNum w:abstractNumId="5" w15:restartNumberingAfterBreak="0">
    <w:nsid w:val="06214B87"/>
    <w:multiLevelType w:val="singleLevel"/>
    <w:tmpl w:val="AB185BC4"/>
    <w:lvl w:ilvl="0">
      <w:numFmt w:val="bullet"/>
      <w:pStyle w:val="BoxListBullet2"/>
      <w:lvlText w:val="–"/>
      <w:lvlJc w:val="left"/>
      <w:pPr>
        <w:tabs>
          <w:tab w:val="num" w:pos="567"/>
        </w:tabs>
        <w:ind w:left="567" w:hanging="283"/>
      </w:pPr>
      <w:rPr>
        <w:rFonts w:ascii="Times New Roman" w:hAnsi="Times New Roman" w:cs="Times New Roman" w:hint="default"/>
      </w:rPr>
    </w:lvl>
  </w:abstractNum>
  <w:abstractNum w:abstractNumId="6" w15:restartNumberingAfterBreak="0">
    <w:nsid w:val="0E116344"/>
    <w:multiLevelType w:val="multilevel"/>
    <w:tmpl w:val="3B188B36"/>
    <w:lvl w:ilvl="0">
      <w:start w:val="1"/>
      <w:numFmt w:val="decimal"/>
      <w:pStyle w:val="BoxListNumber"/>
      <w:lvlText w:val="%1."/>
      <w:lvlJc w:val="left"/>
      <w:pPr>
        <w:tabs>
          <w:tab w:val="num" w:pos="284"/>
        </w:tabs>
        <w:ind w:left="284" w:hanging="284"/>
      </w:pPr>
      <w:rPr>
        <w:rFonts w:hint="default"/>
      </w:rPr>
    </w:lvl>
    <w:lvl w:ilvl="1">
      <w:start w:val="1"/>
      <w:numFmt w:val="lowerLetter"/>
      <w:pStyle w:val="BoxListNumber2"/>
      <w:lvlText w:val="(%2)"/>
      <w:lvlJc w:val="left"/>
      <w:pPr>
        <w:tabs>
          <w:tab w:val="num" w:pos="680"/>
        </w:tabs>
        <w:ind w:left="680" w:hanging="396"/>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0ED95F65"/>
    <w:multiLevelType w:val="multilevel"/>
    <w:tmpl w:val="C444122C"/>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794"/>
        </w:tabs>
        <w:ind w:left="794" w:hanging="454"/>
      </w:pPr>
      <w:rPr>
        <w:rFonts w:hint="default"/>
      </w:rPr>
    </w:lvl>
    <w:lvl w:ilvl="2">
      <w:start w:val="1"/>
      <w:numFmt w:val="lowerRoman"/>
      <w:pStyle w:val="ListNumber3"/>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11CE45D8"/>
    <w:multiLevelType w:val="singleLevel"/>
    <w:tmpl w:val="650622E4"/>
    <w:lvl w:ilvl="0">
      <w:numFmt w:val="bullet"/>
      <w:pStyle w:val="SideNoteBullet"/>
      <w:lvlText w:val="–"/>
      <w:lvlJc w:val="left"/>
      <w:pPr>
        <w:tabs>
          <w:tab w:val="num" w:pos="360"/>
        </w:tabs>
        <w:ind w:left="227" w:hanging="227"/>
      </w:pPr>
      <w:rPr>
        <w:rFonts w:ascii="Times New Roman" w:hAnsi="Times New Roman" w:hint="default"/>
      </w:rPr>
    </w:lvl>
  </w:abstractNum>
  <w:abstractNum w:abstractNumId="9" w15:restartNumberingAfterBreak="0">
    <w:nsid w:val="1452415F"/>
    <w:multiLevelType w:val="hybridMultilevel"/>
    <w:tmpl w:val="11042038"/>
    <w:lvl w:ilvl="0" w:tplc="CC683DAA">
      <w:start w:val="1"/>
      <w:numFmt w:val="bullet"/>
      <w:pStyle w:val="KeyPointsListBullet2"/>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23FF358D"/>
    <w:multiLevelType w:val="singleLevel"/>
    <w:tmpl w:val="4146A198"/>
    <w:lvl w:ilvl="0">
      <w:start w:val="1"/>
      <w:numFmt w:val="bullet"/>
      <w:pStyle w:val="RecBBullet"/>
      <w:lvlText w:val=""/>
      <w:lvlJc w:val="left"/>
      <w:pPr>
        <w:tabs>
          <w:tab w:val="num" w:pos="340"/>
        </w:tabs>
        <w:ind w:left="340" w:hanging="340"/>
      </w:pPr>
      <w:rPr>
        <w:rFonts w:ascii="Symbol" w:hAnsi="Symbol" w:hint="default"/>
        <w:b w:val="0"/>
        <w:i w:val="0"/>
        <w:sz w:val="18"/>
      </w:rPr>
    </w:lvl>
  </w:abstractNum>
  <w:abstractNum w:abstractNumId="11" w15:restartNumberingAfterBreak="0">
    <w:nsid w:val="2B466A13"/>
    <w:multiLevelType w:val="hybridMultilevel"/>
    <w:tmpl w:val="3E0CC5BA"/>
    <w:lvl w:ilvl="0" w:tplc="2B829644">
      <w:numFmt w:val="bullet"/>
      <w:pStyle w:val="BoxQuoteBullet"/>
      <w:lvlText w:val=""/>
      <w:lvlJc w:val="left"/>
      <w:pPr>
        <w:ind w:left="1004" w:hanging="360"/>
      </w:pPr>
      <w:rPr>
        <w:rFonts w:ascii="Symbol" w:hAnsi="Symbol" w:hint="default"/>
        <w:sz w:val="18"/>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2" w15:restartNumberingAfterBreak="0">
    <w:nsid w:val="30E90CE4"/>
    <w:multiLevelType w:val="singleLevel"/>
    <w:tmpl w:val="52F61D9A"/>
    <w:lvl w:ilvl="0">
      <w:start w:val="1"/>
      <w:numFmt w:val="bullet"/>
      <w:pStyle w:val="BoxListBullet"/>
      <w:lvlText w:val=""/>
      <w:lvlJc w:val="left"/>
      <w:pPr>
        <w:tabs>
          <w:tab w:val="num" w:pos="284"/>
        </w:tabs>
        <w:ind w:left="284" w:hanging="284"/>
      </w:pPr>
      <w:rPr>
        <w:rFonts w:ascii="Symbol" w:hAnsi="Symbol" w:hint="default"/>
        <w:sz w:val="18"/>
      </w:rPr>
    </w:lvl>
  </w:abstractNum>
  <w:abstractNum w:abstractNumId="13" w15:restartNumberingAfterBreak="0">
    <w:nsid w:val="4C2B5347"/>
    <w:multiLevelType w:val="hybridMultilevel"/>
    <w:tmpl w:val="8B002072"/>
    <w:lvl w:ilvl="0" w:tplc="720CA4D2">
      <w:start w:val="1"/>
      <w:numFmt w:val="bullet"/>
      <w:pStyle w:val="InformationRequestBullet"/>
      <w:lvlText w:val=""/>
      <w:lvlJc w:val="left"/>
      <w:pPr>
        <w:ind w:left="36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15" w15:restartNumberingAfterBreak="0">
    <w:nsid w:val="543E1FD6"/>
    <w:multiLevelType w:val="singleLevel"/>
    <w:tmpl w:val="039AA380"/>
    <w:lvl w:ilvl="0">
      <w:start w:val="1"/>
      <w:numFmt w:val="bullet"/>
      <w:pStyle w:val="TableBullet"/>
      <w:lvlText w:val=""/>
      <w:lvlJc w:val="left"/>
      <w:pPr>
        <w:tabs>
          <w:tab w:val="num" w:pos="170"/>
        </w:tabs>
        <w:ind w:left="170" w:hanging="170"/>
      </w:pPr>
      <w:rPr>
        <w:rFonts w:ascii="Symbol" w:hAnsi="Symbol" w:hint="default"/>
        <w:b w:val="0"/>
        <w:i w:val="0"/>
        <w:sz w:val="18"/>
      </w:rPr>
    </w:lvl>
  </w:abstractNum>
  <w:abstractNum w:abstractNumId="16" w15:restartNumberingAfterBreak="0">
    <w:nsid w:val="56107838"/>
    <w:multiLevelType w:val="singleLevel"/>
    <w:tmpl w:val="775A3F3A"/>
    <w:lvl w:ilvl="0">
      <w:start w:val="1"/>
      <w:numFmt w:val="bullet"/>
      <w:pStyle w:val="QuoteBullet"/>
      <w:lvlText w:val=""/>
      <w:lvlJc w:val="left"/>
      <w:pPr>
        <w:tabs>
          <w:tab w:val="num" w:pos="680"/>
        </w:tabs>
        <w:ind w:left="680" w:hanging="340"/>
      </w:pPr>
      <w:rPr>
        <w:rFonts w:ascii="Symbol" w:hAnsi="Symbol" w:hint="default"/>
        <w:sz w:val="18"/>
      </w:rPr>
    </w:lvl>
  </w:abstractNum>
  <w:abstractNum w:abstractNumId="17" w15:restartNumberingAfterBreak="0">
    <w:nsid w:val="592D6D4E"/>
    <w:multiLevelType w:val="hybridMultilevel"/>
    <w:tmpl w:val="0C44FF7A"/>
    <w:lvl w:ilvl="0" w:tplc="B4385E08">
      <w:start w:val="1"/>
      <w:numFmt w:val="bullet"/>
      <w:pStyle w:val="BoxListBullet3"/>
      <w:lvlText w:val=""/>
      <w:lvlJc w:val="left"/>
      <w:pPr>
        <w:ind w:left="1287" w:hanging="360"/>
      </w:pPr>
      <w:rPr>
        <w:rFonts w:ascii="MT Extra" w:hAnsi="MT Extra" w:hint="default"/>
        <w:b w:val="0"/>
        <w:i w:val="0"/>
        <w:sz w:val="16"/>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8" w15:restartNumberingAfterBreak="0">
    <w:nsid w:val="60A27097"/>
    <w:multiLevelType w:val="hybridMultilevel"/>
    <w:tmpl w:val="39D64E4A"/>
    <w:lvl w:ilvl="0" w:tplc="FEF6E6BE">
      <w:start w:val="1"/>
      <w:numFmt w:val="bullet"/>
      <w:pStyle w:val="KeyPointsList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43516F3"/>
    <w:multiLevelType w:val="singleLevel"/>
    <w:tmpl w:val="C05AE1DC"/>
    <w:lvl w:ilvl="0">
      <w:start w:val="1"/>
      <w:numFmt w:val="bullet"/>
      <w:pStyle w:val="ListBullet3"/>
      <w:lvlText w:val=""/>
      <w:lvlJc w:val="left"/>
      <w:pPr>
        <w:tabs>
          <w:tab w:val="num" w:pos="1021"/>
        </w:tabs>
        <w:ind w:left="1021" w:hanging="341"/>
      </w:pPr>
      <w:rPr>
        <w:rFonts w:ascii="MT Extra" w:hAnsi="MT Extra" w:hint="default"/>
        <w:b w:val="0"/>
        <w:i w:val="0"/>
        <w:sz w:val="16"/>
      </w:rPr>
    </w:lvl>
  </w:abstractNum>
  <w:abstractNum w:abstractNumId="20" w15:restartNumberingAfterBreak="0">
    <w:nsid w:val="7A1373DF"/>
    <w:multiLevelType w:val="singleLevel"/>
    <w:tmpl w:val="66CC34AA"/>
    <w:lvl w:ilvl="0">
      <w:start w:val="1"/>
      <w:numFmt w:val="bullet"/>
      <w:pStyle w:val="FindingBullet"/>
      <w:lvlText w:val=""/>
      <w:lvlJc w:val="left"/>
      <w:pPr>
        <w:tabs>
          <w:tab w:val="num" w:pos="340"/>
        </w:tabs>
        <w:ind w:left="340" w:hanging="340"/>
      </w:pPr>
      <w:rPr>
        <w:rFonts w:ascii="Symbol" w:hAnsi="Symbol" w:hint="default"/>
        <w:b w:val="0"/>
        <w:i w:val="0"/>
        <w:sz w:val="18"/>
      </w:rPr>
    </w:lvl>
  </w:abstractNum>
  <w:abstractNum w:abstractNumId="21" w15:restartNumberingAfterBreak="0">
    <w:nsid w:val="7BFA7D75"/>
    <w:multiLevelType w:val="singleLevel"/>
    <w:tmpl w:val="B4C476FC"/>
    <w:lvl w:ilvl="0">
      <w:start w:val="1"/>
      <w:numFmt w:val="bullet"/>
      <w:pStyle w:val="RecBullet"/>
      <w:lvlText w:val=""/>
      <w:lvlJc w:val="left"/>
      <w:pPr>
        <w:tabs>
          <w:tab w:val="num" w:pos="340"/>
        </w:tabs>
        <w:ind w:left="340" w:hanging="340"/>
      </w:pPr>
      <w:rPr>
        <w:rFonts w:ascii="Symbol" w:hAnsi="Symbol" w:hint="default"/>
        <w:b w:val="0"/>
        <w:i w:val="0"/>
        <w:sz w:val="18"/>
      </w:rPr>
    </w:lvl>
  </w:abstractNum>
  <w:num w:numId="1">
    <w:abstractNumId w:val="12"/>
  </w:num>
  <w:num w:numId="2">
    <w:abstractNumId w:val="3"/>
  </w:num>
  <w:num w:numId="3">
    <w:abstractNumId w:val="14"/>
  </w:num>
  <w:num w:numId="4">
    <w:abstractNumId w:val="4"/>
  </w:num>
  <w:num w:numId="5">
    <w:abstractNumId w:val="19"/>
  </w:num>
  <w:num w:numId="6">
    <w:abstractNumId w:val="16"/>
  </w:num>
  <w:num w:numId="7">
    <w:abstractNumId w:val="8"/>
  </w:num>
  <w:num w:numId="8">
    <w:abstractNumId w:val="15"/>
  </w:num>
  <w:num w:numId="9">
    <w:abstractNumId w:val="7"/>
  </w:num>
  <w:num w:numId="10">
    <w:abstractNumId w:val="6"/>
  </w:num>
  <w:num w:numId="11">
    <w:abstractNumId w:val="10"/>
  </w:num>
  <w:num w:numId="12">
    <w:abstractNumId w:val="11"/>
  </w:num>
  <w:num w:numId="13">
    <w:abstractNumId w:val="5"/>
  </w:num>
  <w:num w:numId="14">
    <w:abstractNumId w:val="17"/>
  </w:num>
  <w:num w:numId="15">
    <w:abstractNumId w:val="20"/>
  </w:num>
  <w:num w:numId="16">
    <w:abstractNumId w:val="13"/>
  </w:num>
  <w:num w:numId="17">
    <w:abstractNumId w:val="21"/>
  </w:num>
  <w:num w:numId="18">
    <w:abstractNumId w:val="0"/>
  </w:num>
  <w:num w:numId="19">
    <w:abstractNumId w:val="2"/>
    <w:lvlOverride w:ilvl="0">
      <w:lvl w:ilvl="0">
        <w:start w:val="1"/>
        <w:numFmt w:val="bullet"/>
        <w:lvlText w:val=""/>
        <w:legacy w:legacy="1" w:legacySpace="0" w:legacyIndent="284"/>
        <w:lvlJc w:val="left"/>
        <w:pPr>
          <w:ind w:left="284" w:hanging="284"/>
        </w:pPr>
        <w:rPr>
          <w:rFonts w:ascii="Symbol" w:hAnsi="Symbol" w:hint="default"/>
          <w:sz w:val="18"/>
        </w:rPr>
      </w:lvl>
    </w:lvlOverride>
  </w:num>
  <w:num w:numId="20">
    <w:abstractNumId w:val="18"/>
  </w:num>
  <w:num w:numId="21">
    <w:abstractNumId w:val="9"/>
  </w:num>
  <w:num w:numId="22">
    <w:abstractNumId w:val="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6"/>
  <w:mirrorMargins/>
  <w:proofState w:spelling="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clickAndTypeStyle w:val="BodyText"/>
  <w:evenAndOddHeaders/>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FindingOptions" w:val="1"/>
    <w:docVar w:name="RecOptions" w:val="111"/>
    <w:docVar w:name="ShortChapterTitle" w:val="Chapter"/>
    <w:docVar w:name="ShortReportTitle" w:val="Report"/>
  </w:docVars>
  <w:rsids>
    <w:rsidRoot w:val="00C83A3D"/>
    <w:rsid w:val="000227D5"/>
    <w:rsid w:val="000245AA"/>
    <w:rsid w:val="0003664B"/>
    <w:rsid w:val="0004111F"/>
    <w:rsid w:val="00055077"/>
    <w:rsid w:val="000565B3"/>
    <w:rsid w:val="0007150B"/>
    <w:rsid w:val="000938F5"/>
    <w:rsid w:val="00095663"/>
    <w:rsid w:val="00096E55"/>
    <w:rsid w:val="0009783E"/>
    <w:rsid w:val="000A4629"/>
    <w:rsid w:val="000B1022"/>
    <w:rsid w:val="000B5BB7"/>
    <w:rsid w:val="000B601B"/>
    <w:rsid w:val="000C207E"/>
    <w:rsid w:val="000D41E9"/>
    <w:rsid w:val="000F0035"/>
    <w:rsid w:val="000F04E7"/>
    <w:rsid w:val="000F060A"/>
    <w:rsid w:val="000F420B"/>
    <w:rsid w:val="000F4D14"/>
    <w:rsid w:val="00110116"/>
    <w:rsid w:val="00120072"/>
    <w:rsid w:val="00126EB8"/>
    <w:rsid w:val="001274D4"/>
    <w:rsid w:val="001363AA"/>
    <w:rsid w:val="0013739A"/>
    <w:rsid w:val="0014097F"/>
    <w:rsid w:val="00142165"/>
    <w:rsid w:val="00162434"/>
    <w:rsid w:val="00183E82"/>
    <w:rsid w:val="001878BB"/>
    <w:rsid w:val="00191AE0"/>
    <w:rsid w:val="0019293B"/>
    <w:rsid w:val="0019426B"/>
    <w:rsid w:val="001A6A4B"/>
    <w:rsid w:val="001C0865"/>
    <w:rsid w:val="001C0AED"/>
    <w:rsid w:val="001C3ABA"/>
    <w:rsid w:val="001C5111"/>
    <w:rsid w:val="001E7BE8"/>
    <w:rsid w:val="001F0248"/>
    <w:rsid w:val="001F3EB3"/>
    <w:rsid w:val="001F4F86"/>
    <w:rsid w:val="00202C2C"/>
    <w:rsid w:val="00203050"/>
    <w:rsid w:val="002135AB"/>
    <w:rsid w:val="002144BE"/>
    <w:rsid w:val="00242279"/>
    <w:rsid w:val="00243997"/>
    <w:rsid w:val="0024516C"/>
    <w:rsid w:val="00245C82"/>
    <w:rsid w:val="002724BA"/>
    <w:rsid w:val="00277F71"/>
    <w:rsid w:val="00291B40"/>
    <w:rsid w:val="002B4008"/>
    <w:rsid w:val="002C439F"/>
    <w:rsid w:val="002D0C42"/>
    <w:rsid w:val="002D0E8E"/>
    <w:rsid w:val="002F6F8F"/>
    <w:rsid w:val="00301189"/>
    <w:rsid w:val="00301E4A"/>
    <w:rsid w:val="003168B8"/>
    <w:rsid w:val="00322D64"/>
    <w:rsid w:val="00323E09"/>
    <w:rsid w:val="00333932"/>
    <w:rsid w:val="003518AA"/>
    <w:rsid w:val="00352165"/>
    <w:rsid w:val="00353182"/>
    <w:rsid w:val="003565D9"/>
    <w:rsid w:val="003602E1"/>
    <w:rsid w:val="0037026F"/>
    <w:rsid w:val="00371240"/>
    <w:rsid w:val="00374731"/>
    <w:rsid w:val="00376E59"/>
    <w:rsid w:val="00377EC1"/>
    <w:rsid w:val="00380340"/>
    <w:rsid w:val="003919F9"/>
    <w:rsid w:val="003920CF"/>
    <w:rsid w:val="00395532"/>
    <w:rsid w:val="003B23C2"/>
    <w:rsid w:val="003C38B5"/>
    <w:rsid w:val="003C5D99"/>
    <w:rsid w:val="003D1087"/>
    <w:rsid w:val="003D4355"/>
    <w:rsid w:val="003D6704"/>
    <w:rsid w:val="003E2F59"/>
    <w:rsid w:val="003E746B"/>
    <w:rsid w:val="003F0789"/>
    <w:rsid w:val="00401882"/>
    <w:rsid w:val="004100C8"/>
    <w:rsid w:val="00411889"/>
    <w:rsid w:val="00411DBD"/>
    <w:rsid w:val="00412ACE"/>
    <w:rsid w:val="004145D2"/>
    <w:rsid w:val="00426CB4"/>
    <w:rsid w:val="00431249"/>
    <w:rsid w:val="00434C19"/>
    <w:rsid w:val="00450810"/>
    <w:rsid w:val="00455FFC"/>
    <w:rsid w:val="00462C59"/>
    <w:rsid w:val="00470737"/>
    <w:rsid w:val="00477144"/>
    <w:rsid w:val="00491380"/>
    <w:rsid w:val="0049459F"/>
    <w:rsid w:val="004A38DD"/>
    <w:rsid w:val="004B43AE"/>
    <w:rsid w:val="004C30ED"/>
    <w:rsid w:val="004D5675"/>
    <w:rsid w:val="00517795"/>
    <w:rsid w:val="00523639"/>
    <w:rsid w:val="00531FE5"/>
    <w:rsid w:val="005402FA"/>
    <w:rsid w:val="005729BD"/>
    <w:rsid w:val="00580154"/>
    <w:rsid w:val="00583C39"/>
    <w:rsid w:val="00586A90"/>
    <w:rsid w:val="00587F28"/>
    <w:rsid w:val="005909CF"/>
    <w:rsid w:val="00591E71"/>
    <w:rsid w:val="005A0D41"/>
    <w:rsid w:val="005D329F"/>
    <w:rsid w:val="005F48ED"/>
    <w:rsid w:val="00606E78"/>
    <w:rsid w:val="00607BF1"/>
    <w:rsid w:val="0062370A"/>
    <w:rsid w:val="00630D4D"/>
    <w:rsid w:val="00632A74"/>
    <w:rsid w:val="00654D42"/>
    <w:rsid w:val="00666E02"/>
    <w:rsid w:val="006A4655"/>
    <w:rsid w:val="006B2B3C"/>
    <w:rsid w:val="006C1D81"/>
    <w:rsid w:val="006C7038"/>
    <w:rsid w:val="006E73EF"/>
    <w:rsid w:val="006F732E"/>
    <w:rsid w:val="007079C9"/>
    <w:rsid w:val="00714D4D"/>
    <w:rsid w:val="007266D3"/>
    <w:rsid w:val="00732029"/>
    <w:rsid w:val="007604BB"/>
    <w:rsid w:val="00772909"/>
    <w:rsid w:val="00785232"/>
    <w:rsid w:val="0079701E"/>
    <w:rsid w:val="007A21EB"/>
    <w:rsid w:val="007B1A93"/>
    <w:rsid w:val="007B69E1"/>
    <w:rsid w:val="007C36C9"/>
    <w:rsid w:val="007D6401"/>
    <w:rsid w:val="007E01E4"/>
    <w:rsid w:val="007E7A12"/>
    <w:rsid w:val="007F0D21"/>
    <w:rsid w:val="007F7107"/>
    <w:rsid w:val="00800D4C"/>
    <w:rsid w:val="0081030F"/>
    <w:rsid w:val="00812F4A"/>
    <w:rsid w:val="0082087D"/>
    <w:rsid w:val="00835771"/>
    <w:rsid w:val="00842933"/>
    <w:rsid w:val="0086082C"/>
    <w:rsid w:val="00864ADC"/>
    <w:rsid w:val="00880153"/>
    <w:rsid w:val="00880F97"/>
    <w:rsid w:val="0088133A"/>
    <w:rsid w:val="0089285E"/>
    <w:rsid w:val="0089436C"/>
    <w:rsid w:val="008D365C"/>
    <w:rsid w:val="008D7622"/>
    <w:rsid w:val="009021A6"/>
    <w:rsid w:val="009030BF"/>
    <w:rsid w:val="00903B52"/>
    <w:rsid w:val="0091032F"/>
    <w:rsid w:val="00914368"/>
    <w:rsid w:val="00931076"/>
    <w:rsid w:val="009345D9"/>
    <w:rsid w:val="00934B15"/>
    <w:rsid w:val="00940C87"/>
    <w:rsid w:val="00942B62"/>
    <w:rsid w:val="0095323B"/>
    <w:rsid w:val="00956A0C"/>
    <w:rsid w:val="00956BD9"/>
    <w:rsid w:val="00962489"/>
    <w:rsid w:val="00967CD3"/>
    <w:rsid w:val="00990C2C"/>
    <w:rsid w:val="009A5171"/>
    <w:rsid w:val="009E1844"/>
    <w:rsid w:val="009F0D1B"/>
    <w:rsid w:val="009F5BBD"/>
    <w:rsid w:val="009F696D"/>
    <w:rsid w:val="009F6BC6"/>
    <w:rsid w:val="009F74EF"/>
    <w:rsid w:val="00A02826"/>
    <w:rsid w:val="00A15D5A"/>
    <w:rsid w:val="00A17328"/>
    <w:rsid w:val="00A23A20"/>
    <w:rsid w:val="00A24443"/>
    <w:rsid w:val="00A268B9"/>
    <w:rsid w:val="00A2703A"/>
    <w:rsid w:val="00A33DFF"/>
    <w:rsid w:val="00A35115"/>
    <w:rsid w:val="00A36D9A"/>
    <w:rsid w:val="00A451DC"/>
    <w:rsid w:val="00A554AB"/>
    <w:rsid w:val="00A57062"/>
    <w:rsid w:val="00A67781"/>
    <w:rsid w:val="00A761F9"/>
    <w:rsid w:val="00A92B53"/>
    <w:rsid w:val="00A94FA6"/>
    <w:rsid w:val="00AA49A0"/>
    <w:rsid w:val="00AA6710"/>
    <w:rsid w:val="00AB0681"/>
    <w:rsid w:val="00AC3A15"/>
    <w:rsid w:val="00AD520B"/>
    <w:rsid w:val="00AE3BCC"/>
    <w:rsid w:val="00B425C3"/>
    <w:rsid w:val="00B440AD"/>
    <w:rsid w:val="00B479BB"/>
    <w:rsid w:val="00B53E7E"/>
    <w:rsid w:val="00B556D9"/>
    <w:rsid w:val="00B6342E"/>
    <w:rsid w:val="00B65C16"/>
    <w:rsid w:val="00B7113F"/>
    <w:rsid w:val="00B92BF6"/>
    <w:rsid w:val="00BA2BCF"/>
    <w:rsid w:val="00BA5B14"/>
    <w:rsid w:val="00BA73B6"/>
    <w:rsid w:val="00BA7E27"/>
    <w:rsid w:val="00BB2603"/>
    <w:rsid w:val="00BB4FCD"/>
    <w:rsid w:val="00BB507B"/>
    <w:rsid w:val="00BC04E9"/>
    <w:rsid w:val="00BD13EA"/>
    <w:rsid w:val="00BE3808"/>
    <w:rsid w:val="00C03B88"/>
    <w:rsid w:val="00C062E9"/>
    <w:rsid w:val="00C07B64"/>
    <w:rsid w:val="00C13721"/>
    <w:rsid w:val="00C14FE4"/>
    <w:rsid w:val="00C3066D"/>
    <w:rsid w:val="00C52416"/>
    <w:rsid w:val="00C543F4"/>
    <w:rsid w:val="00C6291C"/>
    <w:rsid w:val="00C633CB"/>
    <w:rsid w:val="00C664CD"/>
    <w:rsid w:val="00C736B7"/>
    <w:rsid w:val="00C81D4A"/>
    <w:rsid w:val="00C83A3D"/>
    <w:rsid w:val="00C8762C"/>
    <w:rsid w:val="00CA00F9"/>
    <w:rsid w:val="00CA2961"/>
    <w:rsid w:val="00CB50D7"/>
    <w:rsid w:val="00CB7177"/>
    <w:rsid w:val="00CB7CED"/>
    <w:rsid w:val="00CC070F"/>
    <w:rsid w:val="00CC1998"/>
    <w:rsid w:val="00CC4946"/>
    <w:rsid w:val="00CC64A1"/>
    <w:rsid w:val="00CC6BFA"/>
    <w:rsid w:val="00CE1C63"/>
    <w:rsid w:val="00CF3B11"/>
    <w:rsid w:val="00D270A4"/>
    <w:rsid w:val="00D31FE9"/>
    <w:rsid w:val="00D34E1B"/>
    <w:rsid w:val="00D376BA"/>
    <w:rsid w:val="00D434A0"/>
    <w:rsid w:val="00D45634"/>
    <w:rsid w:val="00D5568A"/>
    <w:rsid w:val="00D63D73"/>
    <w:rsid w:val="00D64452"/>
    <w:rsid w:val="00D66E1E"/>
    <w:rsid w:val="00D70696"/>
    <w:rsid w:val="00D75722"/>
    <w:rsid w:val="00D80CF5"/>
    <w:rsid w:val="00DA5BBA"/>
    <w:rsid w:val="00DB26D2"/>
    <w:rsid w:val="00DB67C9"/>
    <w:rsid w:val="00DC0C95"/>
    <w:rsid w:val="00DC4F0B"/>
    <w:rsid w:val="00DD6580"/>
    <w:rsid w:val="00E01D7F"/>
    <w:rsid w:val="00E05C03"/>
    <w:rsid w:val="00E14CE1"/>
    <w:rsid w:val="00E17C72"/>
    <w:rsid w:val="00E21FC6"/>
    <w:rsid w:val="00E32570"/>
    <w:rsid w:val="00E431A9"/>
    <w:rsid w:val="00E669E2"/>
    <w:rsid w:val="00E76135"/>
    <w:rsid w:val="00E82F4F"/>
    <w:rsid w:val="00E864DF"/>
    <w:rsid w:val="00EA06CD"/>
    <w:rsid w:val="00EB23A1"/>
    <w:rsid w:val="00EB2CC3"/>
    <w:rsid w:val="00EC2844"/>
    <w:rsid w:val="00EC5500"/>
    <w:rsid w:val="00ED18F8"/>
    <w:rsid w:val="00EE6EDA"/>
    <w:rsid w:val="00EE778E"/>
    <w:rsid w:val="00EF6719"/>
    <w:rsid w:val="00EF6C6C"/>
    <w:rsid w:val="00F0384E"/>
    <w:rsid w:val="00F056FC"/>
    <w:rsid w:val="00F0632F"/>
    <w:rsid w:val="00F069AE"/>
    <w:rsid w:val="00F10476"/>
    <w:rsid w:val="00F135D8"/>
    <w:rsid w:val="00F31299"/>
    <w:rsid w:val="00F3534A"/>
    <w:rsid w:val="00F35BFB"/>
    <w:rsid w:val="00F36ACC"/>
    <w:rsid w:val="00F51609"/>
    <w:rsid w:val="00F55C25"/>
    <w:rsid w:val="00F73727"/>
    <w:rsid w:val="00F766A7"/>
    <w:rsid w:val="00F81006"/>
    <w:rsid w:val="00F85325"/>
    <w:rsid w:val="00FD22B1"/>
    <w:rsid w:val="00FD3172"/>
    <w:rsid w:val="00FD33F1"/>
    <w:rsid w:val="00FD3566"/>
    <w:rsid w:val="00FE49DF"/>
    <w:rsid w:val="00FE539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147E17AA-4B2D-44DB-8554-869A3A8B2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heading 2" w:qFormat="1"/>
    <w:lsdException w:name="heading 3"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02826"/>
    <w:rPr>
      <w:sz w:val="24"/>
      <w:szCs w:val="24"/>
    </w:rPr>
  </w:style>
  <w:style w:type="paragraph" w:styleId="Heading1">
    <w:name w:val="heading 1"/>
    <w:basedOn w:val="BodyText"/>
    <w:next w:val="BodyText"/>
    <w:rsid w:val="00FD22B1"/>
    <w:pPr>
      <w:keepNext/>
      <w:spacing w:before="160" w:after="1360" w:line="600" w:lineRule="exact"/>
      <w:ind w:left="907" w:hanging="907"/>
      <w:jc w:val="left"/>
      <w:outlineLvl w:val="0"/>
    </w:pPr>
    <w:rPr>
      <w:sz w:val="52"/>
    </w:rPr>
  </w:style>
  <w:style w:type="paragraph" w:styleId="Heading2">
    <w:name w:val="heading 2"/>
    <w:basedOn w:val="Chapter"/>
    <w:next w:val="BodyText"/>
    <w:qFormat/>
    <w:rsid w:val="00A17328"/>
    <w:pPr>
      <w:spacing w:before="600" w:after="0" w:line="400" w:lineRule="exact"/>
      <w:ind w:left="907" w:hanging="907"/>
      <w:outlineLvl w:val="1"/>
    </w:pPr>
    <w:rPr>
      <w:rFonts w:ascii="Arial" w:hAnsi="Arial"/>
      <w:b/>
      <w:sz w:val="32"/>
    </w:rPr>
  </w:style>
  <w:style w:type="paragraph" w:styleId="Heading3">
    <w:name w:val="heading 3"/>
    <w:basedOn w:val="Heading2"/>
    <w:next w:val="BodyText"/>
    <w:qFormat/>
    <w:rsid w:val="00A17328"/>
    <w:pPr>
      <w:spacing w:before="560" w:line="320" w:lineRule="exact"/>
      <w:ind w:left="0" w:firstLine="0"/>
      <w:outlineLvl w:val="2"/>
    </w:pPr>
    <w:rPr>
      <w:sz w:val="26"/>
    </w:rPr>
  </w:style>
  <w:style w:type="paragraph" w:styleId="Heading4">
    <w:name w:val="heading 4"/>
    <w:basedOn w:val="Heading3"/>
    <w:next w:val="BodyText"/>
    <w:qFormat/>
    <w:rsid w:val="00812F4A"/>
    <w:pPr>
      <w:spacing w:before="480"/>
      <w:outlineLvl w:val="3"/>
    </w:pPr>
    <w:rPr>
      <w:b w:val="0"/>
      <w:sz w:val="24"/>
    </w:rPr>
  </w:style>
  <w:style w:type="paragraph" w:styleId="Heading5">
    <w:name w:val="heading 5"/>
    <w:basedOn w:val="Heading4"/>
    <w:next w:val="BodyText"/>
    <w:link w:val="Heading5Char"/>
    <w:qFormat/>
    <w:rsid w:val="00812F4A"/>
    <w:pPr>
      <w:outlineLvl w:val="4"/>
    </w:pPr>
    <w:rPr>
      <w:i/>
      <w:sz w:val="22"/>
    </w:rPr>
  </w:style>
  <w:style w:type="paragraph" w:styleId="Heading6">
    <w:name w:val="heading 6"/>
    <w:basedOn w:val="BodyText"/>
    <w:next w:val="BodyText"/>
    <w:semiHidden/>
    <w:rsid w:val="00A17328"/>
    <w:pPr>
      <w:spacing w:after="60"/>
      <w:jc w:val="left"/>
      <w:outlineLvl w:val="5"/>
    </w:pPr>
    <w:rPr>
      <w:i/>
      <w:sz w:val="22"/>
    </w:rPr>
  </w:style>
  <w:style w:type="paragraph" w:styleId="Heading7">
    <w:name w:val="heading 7"/>
    <w:basedOn w:val="BodyText"/>
    <w:next w:val="BodyText"/>
    <w:semiHidden/>
    <w:rsid w:val="00A17328"/>
    <w:pPr>
      <w:spacing w:after="60" w:line="240" w:lineRule="auto"/>
      <w:jc w:val="left"/>
      <w:outlineLvl w:val="6"/>
    </w:pPr>
    <w:rPr>
      <w:rFonts w:ascii="Arial" w:hAnsi="Arial"/>
      <w:sz w:val="20"/>
    </w:rPr>
  </w:style>
  <w:style w:type="paragraph" w:styleId="Heading8">
    <w:name w:val="heading 8"/>
    <w:basedOn w:val="BodyText"/>
    <w:next w:val="BodyText"/>
    <w:semiHidden/>
    <w:rsid w:val="00A17328"/>
    <w:pPr>
      <w:spacing w:after="60" w:line="240" w:lineRule="auto"/>
      <w:jc w:val="left"/>
      <w:outlineLvl w:val="7"/>
    </w:pPr>
    <w:rPr>
      <w:rFonts w:ascii="Arial" w:hAnsi="Arial"/>
      <w:i/>
      <w:sz w:val="20"/>
    </w:rPr>
  </w:style>
  <w:style w:type="paragraph" w:styleId="Heading9">
    <w:name w:val="heading 9"/>
    <w:basedOn w:val="BodyText"/>
    <w:next w:val="BodyText"/>
    <w:semiHidden/>
    <w:rsid w:val="00A17328"/>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1,new legislation style,new legislation style1,new legislation style Ch,headBody Text"/>
    <w:link w:val="BodyTextChar"/>
    <w:qFormat/>
    <w:rsid w:val="00812F4A"/>
    <w:pPr>
      <w:spacing w:before="240" w:line="300" w:lineRule="atLeast"/>
      <w:jc w:val="both"/>
    </w:pPr>
    <w:rPr>
      <w:sz w:val="24"/>
    </w:rPr>
  </w:style>
  <w:style w:type="paragraph" w:styleId="Footer">
    <w:name w:val="footer"/>
    <w:basedOn w:val="BodyText"/>
    <w:link w:val="FooterChar"/>
    <w:rsid w:val="00E01D7F"/>
    <w:pPr>
      <w:spacing w:before="80" w:line="200" w:lineRule="exact"/>
      <w:ind w:right="6"/>
      <w:jc w:val="left"/>
    </w:pPr>
    <w:rPr>
      <w:rFonts w:ascii="Arial" w:hAnsi="Arial"/>
      <w:caps/>
      <w:spacing w:val="-4"/>
      <w:sz w:val="16"/>
    </w:rPr>
  </w:style>
  <w:style w:type="paragraph" w:customStyle="1" w:styleId="FooterEnd">
    <w:name w:val="Footer End"/>
    <w:basedOn w:val="Footer"/>
    <w:rsid w:val="00A17328"/>
    <w:pPr>
      <w:spacing w:before="0" w:line="20" w:lineRule="exact"/>
    </w:pPr>
  </w:style>
  <w:style w:type="paragraph" w:styleId="Header">
    <w:name w:val="header"/>
    <w:basedOn w:val="BodyText"/>
    <w:rsid w:val="00A17328"/>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914368"/>
    <w:pPr>
      <w:spacing w:line="20" w:lineRule="exact"/>
    </w:pPr>
    <w:rPr>
      <w:sz w:val="16"/>
    </w:rPr>
  </w:style>
  <w:style w:type="paragraph" w:customStyle="1" w:styleId="HeaderEven">
    <w:name w:val="Header Even"/>
    <w:basedOn w:val="Header"/>
    <w:rsid w:val="00C543F4"/>
  </w:style>
  <w:style w:type="paragraph" w:customStyle="1" w:styleId="HeaderOdd">
    <w:name w:val="Header Odd"/>
    <w:basedOn w:val="Header"/>
    <w:rsid w:val="00C543F4"/>
  </w:style>
  <w:style w:type="character" w:styleId="PageNumber">
    <w:name w:val="page number"/>
    <w:basedOn w:val="DefaultParagraphFont"/>
    <w:rsid w:val="00A17328"/>
    <w:rPr>
      <w:rFonts w:ascii="Arial" w:hAnsi="Arial"/>
      <w:b/>
      <w:sz w:val="16"/>
    </w:rPr>
  </w:style>
  <w:style w:type="paragraph" w:customStyle="1" w:styleId="Abbreviation">
    <w:name w:val="Abbreviation"/>
    <w:basedOn w:val="BodyText"/>
    <w:rsid w:val="00A17328"/>
    <w:pPr>
      <w:spacing w:before="120"/>
      <w:ind w:left="2381" w:hanging="2381"/>
      <w:jc w:val="left"/>
    </w:pPr>
  </w:style>
  <w:style w:type="paragraph" w:customStyle="1" w:styleId="Box">
    <w:name w:val="Box"/>
    <w:basedOn w:val="BodyText"/>
    <w:link w:val="BoxChar"/>
    <w:qFormat/>
    <w:rsid w:val="00812F4A"/>
    <w:pPr>
      <w:keepNext/>
      <w:spacing w:before="120" w:line="260" w:lineRule="atLeast"/>
    </w:pPr>
    <w:rPr>
      <w:rFonts w:ascii="Arial" w:hAnsi="Arial"/>
      <w:sz w:val="20"/>
    </w:rPr>
  </w:style>
  <w:style w:type="paragraph" w:customStyle="1" w:styleId="BoxContinued">
    <w:name w:val="Box Continued"/>
    <w:basedOn w:val="BodyText"/>
    <w:next w:val="BodyText"/>
    <w:semiHidden/>
    <w:rsid w:val="00A17328"/>
    <w:pPr>
      <w:spacing w:before="180" w:line="220" w:lineRule="exact"/>
      <w:jc w:val="right"/>
    </w:pPr>
    <w:rPr>
      <w:rFonts w:ascii="Arial" w:hAnsi="Arial"/>
      <w:sz w:val="18"/>
    </w:rPr>
  </w:style>
  <w:style w:type="paragraph" w:customStyle="1" w:styleId="BoxHeading1">
    <w:name w:val="Box Heading 1"/>
    <w:basedOn w:val="BodyText"/>
    <w:next w:val="Box"/>
    <w:rsid w:val="00A17328"/>
    <w:pPr>
      <w:keepNext/>
      <w:spacing w:before="200" w:line="280" w:lineRule="atLeast"/>
    </w:pPr>
    <w:rPr>
      <w:rFonts w:ascii="Arial" w:hAnsi="Arial"/>
      <w:b/>
      <w:sz w:val="22"/>
    </w:rPr>
  </w:style>
  <w:style w:type="paragraph" w:customStyle="1" w:styleId="BoxHeading2">
    <w:name w:val="Box Heading 2"/>
    <w:basedOn w:val="BoxHeading1"/>
    <w:next w:val="Normal"/>
    <w:rsid w:val="00A17328"/>
    <w:rPr>
      <w:b w:val="0"/>
      <w:i/>
    </w:rPr>
  </w:style>
  <w:style w:type="paragraph" w:customStyle="1" w:styleId="BoxListBullet">
    <w:name w:val="Box List Bullet"/>
    <w:basedOn w:val="BodyText"/>
    <w:rsid w:val="009F5BBD"/>
    <w:pPr>
      <w:keepNext/>
      <w:numPr>
        <w:numId w:val="1"/>
      </w:numPr>
      <w:spacing w:before="100" w:line="260" w:lineRule="atLeast"/>
    </w:pPr>
    <w:rPr>
      <w:rFonts w:ascii="Arial" w:hAnsi="Arial"/>
      <w:sz w:val="20"/>
    </w:rPr>
  </w:style>
  <w:style w:type="paragraph" w:customStyle="1" w:styleId="BoxListBullet2">
    <w:name w:val="Box List Bullet 2"/>
    <w:basedOn w:val="BoxListBullet"/>
    <w:rsid w:val="00812F4A"/>
    <w:pPr>
      <w:numPr>
        <w:numId w:val="13"/>
      </w:numPr>
      <w:ind w:left="568" w:hanging="284"/>
    </w:pPr>
  </w:style>
  <w:style w:type="paragraph" w:customStyle="1" w:styleId="BoxListNumber">
    <w:name w:val="Box List Number"/>
    <w:basedOn w:val="BodyText"/>
    <w:rsid w:val="00812F4A"/>
    <w:pPr>
      <w:keepNext/>
      <w:numPr>
        <w:numId w:val="10"/>
      </w:numPr>
      <w:spacing w:before="100" w:line="260" w:lineRule="atLeast"/>
    </w:pPr>
    <w:rPr>
      <w:rFonts w:ascii="Arial" w:hAnsi="Arial"/>
      <w:sz w:val="20"/>
    </w:rPr>
  </w:style>
  <w:style w:type="paragraph" w:customStyle="1" w:styleId="BoxListNumber2">
    <w:name w:val="Box List Number 2"/>
    <w:basedOn w:val="BoxListNumber"/>
    <w:rsid w:val="00055077"/>
    <w:pPr>
      <w:numPr>
        <w:ilvl w:val="1"/>
      </w:numPr>
      <w:ind w:left="681" w:hanging="397"/>
    </w:pPr>
  </w:style>
  <w:style w:type="paragraph" w:customStyle="1" w:styleId="BoxQuote">
    <w:name w:val="Box Quote"/>
    <w:basedOn w:val="BodyText"/>
    <w:next w:val="Box"/>
    <w:qFormat/>
    <w:rsid w:val="00812F4A"/>
    <w:pPr>
      <w:keepNext/>
      <w:spacing w:before="60" w:line="240" w:lineRule="exact"/>
      <w:ind w:left="284"/>
    </w:pPr>
    <w:rPr>
      <w:rFonts w:ascii="Arial" w:hAnsi="Arial"/>
      <w:sz w:val="18"/>
    </w:rPr>
  </w:style>
  <w:style w:type="paragraph" w:customStyle="1" w:styleId="Note">
    <w:name w:val="Note"/>
    <w:basedOn w:val="BodyText"/>
    <w:next w:val="BodyText"/>
    <w:rsid w:val="00812F4A"/>
    <w:pPr>
      <w:keepLines/>
      <w:spacing w:before="80" w:line="220" w:lineRule="exact"/>
    </w:pPr>
    <w:rPr>
      <w:rFonts w:ascii="Arial" w:hAnsi="Arial"/>
      <w:sz w:val="18"/>
    </w:rPr>
  </w:style>
  <w:style w:type="paragraph" w:customStyle="1" w:styleId="Source">
    <w:name w:val="Source"/>
    <w:basedOn w:val="Normal"/>
    <w:next w:val="BodyText"/>
    <w:rsid w:val="00517795"/>
    <w:pPr>
      <w:keepLines/>
      <w:spacing w:before="80" w:line="220" w:lineRule="exact"/>
      <w:jc w:val="both"/>
    </w:pPr>
    <w:rPr>
      <w:rFonts w:ascii="Arial" w:hAnsi="Arial"/>
      <w:sz w:val="18"/>
      <w:szCs w:val="20"/>
    </w:rPr>
  </w:style>
  <w:style w:type="paragraph" w:customStyle="1" w:styleId="BoxSource">
    <w:name w:val="Box Source"/>
    <w:basedOn w:val="Source"/>
    <w:next w:val="BodyText"/>
    <w:rsid w:val="009F74EF"/>
    <w:pPr>
      <w:spacing w:before="120"/>
    </w:pPr>
  </w:style>
  <w:style w:type="paragraph" w:customStyle="1" w:styleId="BoxSpaceAbove">
    <w:name w:val="Box Space Above"/>
    <w:basedOn w:val="BodyText"/>
    <w:rsid w:val="00A17328"/>
    <w:pPr>
      <w:keepNext/>
      <w:spacing w:before="360" w:line="80" w:lineRule="exact"/>
      <w:jc w:val="left"/>
    </w:pPr>
  </w:style>
  <w:style w:type="paragraph" w:styleId="Caption">
    <w:name w:val="caption"/>
    <w:basedOn w:val="Normal"/>
    <w:next w:val="BodyText"/>
    <w:rsid w:val="00A17328"/>
    <w:pPr>
      <w:keepNext/>
      <w:keepLines/>
      <w:spacing w:before="360" w:after="80" w:line="280" w:lineRule="exact"/>
      <w:ind w:left="1474" w:hanging="1474"/>
    </w:pPr>
    <w:rPr>
      <w:rFonts w:ascii="Arial" w:hAnsi="Arial"/>
      <w:b/>
    </w:rPr>
  </w:style>
  <w:style w:type="paragraph" w:customStyle="1" w:styleId="BoxTitle">
    <w:name w:val="Box Title"/>
    <w:basedOn w:val="Caption"/>
    <w:next w:val="BoxSubtitle"/>
    <w:rsid w:val="009F74EF"/>
    <w:pPr>
      <w:spacing w:before="120" w:after="0"/>
    </w:pPr>
  </w:style>
  <w:style w:type="paragraph" w:customStyle="1" w:styleId="BoxSubtitle">
    <w:name w:val="Box Subtitle"/>
    <w:basedOn w:val="BoxTitle"/>
    <w:next w:val="Normal"/>
    <w:rsid w:val="009F74EF"/>
    <w:pPr>
      <w:spacing w:after="80" w:line="200" w:lineRule="exact"/>
      <w:ind w:firstLine="0"/>
    </w:pPr>
    <w:rPr>
      <w:b w:val="0"/>
      <w:sz w:val="20"/>
    </w:rPr>
  </w:style>
  <w:style w:type="paragraph" w:customStyle="1" w:styleId="Chapter">
    <w:name w:val="Chapter"/>
    <w:basedOn w:val="Heading1"/>
    <w:next w:val="BodyText"/>
    <w:semiHidden/>
    <w:rsid w:val="00A17328"/>
    <w:pPr>
      <w:ind w:left="0" w:firstLine="0"/>
      <w:outlineLvl w:val="9"/>
    </w:pPr>
  </w:style>
  <w:style w:type="paragraph" w:customStyle="1" w:styleId="ChapterSummary">
    <w:name w:val="Chapter Summary"/>
    <w:basedOn w:val="BodyText"/>
    <w:rsid w:val="00517795"/>
    <w:pPr>
      <w:spacing w:line="280" w:lineRule="atLeast"/>
      <w:ind w:left="907"/>
    </w:pPr>
    <w:rPr>
      <w:rFonts w:ascii="Arial" w:hAnsi="Arial"/>
      <w:b/>
      <w:sz w:val="20"/>
    </w:rPr>
  </w:style>
  <w:style w:type="character" w:styleId="CommentReference">
    <w:name w:val="annotation reference"/>
    <w:basedOn w:val="DefaultParagraphFont"/>
    <w:semiHidden/>
    <w:rsid w:val="00A17328"/>
    <w:rPr>
      <w:b/>
      <w:vanish/>
      <w:color w:val="FF00FF"/>
      <w:sz w:val="20"/>
    </w:rPr>
  </w:style>
  <w:style w:type="paragraph" w:styleId="CommentText">
    <w:name w:val="annotation text"/>
    <w:basedOn w:val="Normal"/>
    <w:semiHidden/>
    <w:rsid w:val="00A17328"/>
    <w:pPr>
      <w:spacing w:before="120" w:line="240" w:lineRule="atLeast"/>
      <w:ind w:left="567" w:hanging="567"/>
    </w:pPr>
    <w:rPr>
      <w:sz w:val="20"/>
    </w:rPr>
  </w:style>
  <w:style w:type="paragraph" w:customStyle="1" w:styleId="Continued">
    <w:name w:val="Continued"/>
    <w:basedOn w:val="BoxContinued"/>
    <w:next w:val="BodyText"/>
    <w:rsid w:val="00517795"/>
  </w:style>
  <w:style w:type="character" w:customStyle="1" w:styleId="DocumentInfo">
    <w:name w:val="Document Info"/>
    <w:basedOn w:val="DefaultParagraphFont"/>
    <w:semiHidden/>
    <w:rsid w:val="00A17328"/>
    <w:rPr>
      <w:rFonts w:ascii="Arial" w:hAnsi="Arial"/>
      <w:sz w:val="14"/>
    </w:rPr>
  </w:style>
  <w:style w:type="character" w:customStyle="1" w:styleId="DraftingNote">
    <w:name w:val="Drafting Note"/>
    <w:basedOn w:val="DefaultParagraphFont"/>
    <w:rsid w:val="00A17328"/>
    <w:rPr>
      <w:b/>
      <w:color w:val="FF0000"/>
      <w:sz w:val="24"/>
      <w:u w:val="dotted"/>
    </w:rPr>
  </w:style>
  <w:style w:type="paragraph" w:customStyle="1" w:styleId="Figure">
    <w:name w:val="Figure"/>
    <w:basedOn w:val="BodyText"/>
    <w:rsid w:val="00A17328"/>
    <w:pPr>
      <w:keepNext/>
      <w:spacing w:before="120" w:after="120" w:line="240" w:lineRule="atLeast"/>
      <w:jc w:val="center"/>
    </w:pPr>
  </w:style>
  <w:style w:type="paragraph" w:customStyle="1" w:styleId="FigureTitle">
    <w:name w:val="Figure Title"/>
    <w:basedOn w:val="Caption"/>
    <w:next w:val="Subtitle"/>
    <w:rsid w:val="009F74EF"/>
    <w:pPr>
      <w:spacing w:before="120"/>
    </w:pPr>
  </w:style>
  <w:style w:type="paragraph" w:styleId="Subtitle">
    <w:name w:val="Subtitle"/>
    <w:basedOn w:val="Caption"/>
    <w:link w:val="SubtitleChar"/>
    <w:qFormat/>
    <w:rsid w:val="00301E4A"/>
    <w:pPr>
      <w:spacing w:before="0" w:line="200" w:lineRule="exact"/>
      <w:ind w:firstLine="0"/>
    </w:pPr>
    <w:rPr>
      <w:b w:val="0"/>
      <w:sz w:val="20"/>
    </w:rPr>
  </w:style>
  <w:style w:type="paragraph" w:customStyle="1" w:styleId="Finding">
    <w:name w:val="Finding"/>
    <w:basedOn w:val="BodyText"/>
    <w:rsid w:val="009F5BBD"/>
    <w:pPr>
      <w:keepLines/>
      <w:spacing w:before="120" w:line="280" w:lineRule="atLeast"/>
    </w:pPr>
    <w:rPr>
      <w:rFonts w:ascii="Arial" w:hAnsi="Arial"/>
      <w:sz w:val="22"/>
    </w:rPr>
  </w:style>
  <w:style w:type="paragraph" w:customStyle="1" w:styleId="FindingBullet">
    <w:name w:val="Finding Bullet"/>
    <w:basedOn w:val="Finding"/>
    <w:rsid w:val="009F5BBD"/>
    <w:pPr>
      <w:numPr>
        <w:numId w:val="15"/>
      </w:numPr>
      <w:spacing w:before="80"/>
    </w:pPr>
  </w:style>
  <w:style w:type="paragraph" w:customStyle="1" w:styleId="FindingNoTitle">
    <w:name w:val="Finding NoTitle"/>
    <w:basedOn w:val="Finding"/>
    <w:semiHidden/>
    <w:rsid w:val="00AB0681"/>
    <w:pPr>
      <w:spacing w:before="240"/>
    </w:pPr>
  </w:style>
  <w:style w:type="paragraph" w:customStyle="1" w:styleId="RecTitle">
    <w:name w:val="Rec Title"/>
    <w:basedOn w:val="BodyText"/>
    <w:next w:val="Rec"/>
    <w:qFormat/>
    <w:rsid w:val="009F5BBD"/>
    <w:pPr>
      <w:keepNext/>
      <w:keepLines/>
      <w:spacing w:line="280" w:lineRule="atLeast"/>
    </w:pPr>
    <w:rPr>
      <w:rFonts w:ascii="Arial" w:hAnsi="Arial"/>
      <w:caps/>
      <w:sz w:val="18"/>
    </w:rPr>
  </w:style>
  <w:style w:type="paragraph" w:customStyle="1" w:styleId="FindingTitle">
    <w:name w:val="Finding Title"/>
    <w:basedOn w:val="RecTitle"/>
    <w:next w:val="Finding"/>
    <w:rsid w:val="009021A6"/>
  </w:style>
  <w:style w:type="character" w:styleId="FootnoteReference">
    <w:name w:val="footnote reference"/>
    <w:basedOn w:val="DefaultParagraphFont"/>
    <w:semiHidden/>
    <w:rsid w:val="00243997"/>
    <w:rPr>
      <w:rFonts w:ascii="Times New Roman" w:hAnsi="Times New Roman"/>
      <w:position w:val="6"/>
      <w:sz w:val="20"/>
      <w:vertAlign w:val="baseline"/>
    </w:rPr>
  </w:style>
  <w:style w:type="paragraph" w:styleId="FootnoteText">
    <w:name w:val="footnote text"/>
    <w:basedOn w:val="BodyText"/>
    <w:rsid w:val="00243997"/>
    <w:pPr>
      <w:tabs>
        <w:tab w:val="left" w:pos="284"/>
      </w:tabs>
      <w:spacing w:before="80" w:line="240" w:lineRule="exact"/>
      <w:ind w:left="284" w:hanging="284"/>
    </w:pPr>
    <w:rPr>
      <w:sz w:val="20"/>
    </w:rPr>
  </w:style>
  <w:style w:type="paragraph" w:customStyle="1" w:styleId="InformationRequest">
    <w:name w:val="Information Request"/>
    <w:basedOn w:val="Finding"/>
    <w:next w:val="BodyText"/>
    <w:rsid w:val="009F5BBD"/>
    <w:rPr>
      <w:i/>
    </w:rPr>
  </w:style>
  <w:style w:type="paragraph" w:customStyle="1" w:styleId="Jurisdictioncommentsbodytext">
    <w:name w:val="Jurisdiction comments body text"/>
    <w:rsid w:val="00A17328"/>
    <w:pPr>
      <w:spacing w:after="140"/>
      <w:jc w:val="both"/>
    </w:pPr>
    <w:rPr>
      <w:rFonts w:ascii="Arial" w:hAnsi="Arial"/>
      <w:sz w:val="24"/>
      <w:lang w:eastAsia="en-US"/>
    </w:rPr>
  </w:style>
  <w:style w:type="paragraph" w:customStyle="1" w:styleId="Jurisdictioncommentsheading">
    <w:name w:val="Jurisdiction comments heading"/>
    <w:rsid w:val="00A17328"/>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A17328"/>
    <w:pPr>
      <w:numPr>
        <w:numId w:val="2"/>
      </w:numPr>
      <w:spacing w:after="140"/>
      <w:jc w:val="both"/>
    </w:pPr>
    <w:rPr>
      <w:rFonts w:ascii="Arial" w:hAnsi="Arial"/>
      <w:sz w:val="24"/>
      <w:lang w:eastAsia="en-US"/>
    </w:rPr>
  </w:style>
  <w:style w:type="paragraph" w:styleId="ListBullet">
    <w:name w:val="List Bullet"/>
    <w:basedOn w:val="BodyText"/>
    <w:rsid w:val="00812F4A"/>
    <w:pPr>
      <w:numPr>
        <w:numId w:val="3"/>
      </w:numPr>
      <w:spacing w:before="120"/>
    </w:pPr>
  </w:style>
  <w:style w:type="paragraph" w:styleId="ListBullet2">
    <w:name w:val="List Bullet 2"/>
    <w:basedOn w:val="BodyText"/>
    <w:rsid w:val="00DB67C9"/>
    <w:pPr>
      <w:numPr>
        <w:numId w:val="4"/>
      </w:numPr>
      <w:spacing w:before="120"/>
    </w:pPr>
  </w:style>
  <w:style w:type="paragraph" w:styleId="ListBullet3">
    <w:name w:val="List Bullet 3"/>
    <w:basedOn w:val="BodyText"/>
    <w:rsid w:val="00055077"/>
    <w:pPr>
      <w:numPr>
        <w:numId w:val="5"/>
      </w:numPr>
      <w:spacing w:before="120"/>
      <w:ind w:left="1020" w:hanging="340"/>
    </w:pPr>
  </w:style>
  <w:style w:type="paragraph" w:styleId="ListNumber">
    <w:name w:val="List Number"/>
    <w:basedOn w:val="BodyText"/>
    <w:rsid w:val="00864ADC"/>
    <w:pPr>
      <w:numPr>
        <w:numId w:val="9"/>
      </w:numPr>
      <w:spacing w:before="120"/>
    </w:pPr>
  </w:style>
  <w:style w:type="paragraph" w:styleId="ListNumber2">
    <w:name w:val="List Number 2"/>
    <w:basedOn w:val="ListNumber"/>
    <w:rsid w:val="00864ADC"/>
    <w:pPr>
      <w:numPr>
        <w:ilvl w:val="1"/>
      </w:numPr>
    </w:pPr>
  </w:style>
  <w:style w:type="paragraph" w:styleId="ListNumber3">
    <w:name w:val="List Number 3"/>
    <w:basedOn w:val="ListNumber2"/>
    <w:rsid w:val="00C52416"/>
    <w:pPr>
      <w:numPr>
        <w:ilvl w:val="2"/>
      </w:numPr>
    </w:pPr>
  </w:style>
  <w:style w:type="character" w:customStyle="1" w:styleId="NoteLabel">
    <w:name w:val="Note Label"/>
    <w:basedOn w:val="DefaultParagraphFont"/>
    <w:rsid w:val="00812F4A"/>
    <w:rPr>
      <w:rFonts w:ascii="Arial" w:hAnsi="Arial"/>
      <w:b/>
      <w:position w:val="6"/>
      <w:sz w:val="18"/>
    </w:rPr>
  </w:style>
  <w:style w:type="paragraph" w:customStyle="1" w:styleId="PartDivider">
    <w:name w:val="Part Divider"/>
    <w:basedOn w:val="BodyText"/>
    <w:next w:val="BodyText"/>
    <w:semiHidden/>
    <w:rsid w:val="00A17328"/>
    <w:pPr>
      <w:spacing w:before="0" w:line="40" w:lineRule="exact"/>
      <w:jc w:val="right"/>
    </w:pPr>
    <w:rPr>
      <w:smallCaps/>
      <w:sz w:val="16"/>
    </w:rPr>
  </w:style>
  <w:style w:type="paragraph" w:customStyle="1" w:styleId="PartNumber">
    <w:name w:val="Part Number"/>
    <w:basedOn w:val="BodyText"/>
    <w:next w:val="BodyText"/>
    <w:semiHidden/>
    <w:rsid w:val="00A17328"/>
    <w:pPr>
      <w:spacing w:before="4000" w:line="320" w:lineRule="exact"/>
      <w:ind w:left="6634"/>
      <w:jc w:val="right"/>
    </w:pPr>
    <w:rPr>
      <w:smallCaps/>
      <w:spacing w:val="60"/>
      <w:sz w:val="32"/>
    </w:rPr>
  </w:style>
  <w:style w:type="paragraph" w:customStyle="1" w:styleId="PartTitle">
    <w:name w:val="Part Title"/>
    <w:basedOn w:val="BodyText"/>
    <w:semiHidden/>
    <w:rsid w:val="00A17328"/>
    <w:pPr>
      <w:spacing w:before="160" w:after="1360" w:line="520" w:lineRule="exact"/>
      <w:ind w:right="2381"/>
      <w:jc w:val="right"/>
    </w:pPr>
    <w:rPr>
      <w:smallCaps/>
      <w:sz w:val="52"/>
    </w:rPr>
  </w:style>
  <w:style w:type="paragraph" w:styleId="Quote">
    <w:name w:val="Quote"/>
    <w:basedOn w:val="BodyText"/>
    <w:next w:val="BodyText"/>
    <w:qFormat/>
    <w:rsid w:val="00CB7CED"/>
    <w:pPr>
      <w:spacing w:before="120" w:line="280" w:lineRule="exact"/>
      <w:ind w:left="340"/>
    </w:pPr>
    <w:rPr>
      <w:sz w:val="22"/>
    </w:rPr>
  </w:style>
  <w:style w:type="paragraph" w:customStyle="1" w:styleId="QuoteBullet">
    <w:name w:val="Quote Bullet"/>
    <w:basedOn w:val="Quote"/>
    <w:rsid w:val="00812F4A"/>
    <w:pPr>
      <w:numPr>
        <w:numId w:val="6"/>
      </w:numPr>
    </w:pPr>
  </w:style>
  <w:style w:type="paragraph" w:customStyle="1" w:styleId="Rec">
    <w:name w:val="Rec"/>
    <w:basedOn w:val="BodyText"/>
    <w:qFormat/>
    <w:rsid w:val="009F5BBD"/>
    <w:pPr>
      <w:keepLines/>
      <w:spacing w:before="120" w:line="280" w:lineRule="atLeast"/>
    </w:pPr>
    <w:rPr>
      <w:rFonts w:ascii="Arial" w:hAnsi="Arial"/>
      <w:sz w:val="22"/>
    </w:rPr>
  </w:style>
  <w:style w:type="paragraph" w:customStyle="1" w:styleId="RecBullet">
    <w:name w:val="Rec Bullet"/>
    <w:basedOn w:val="Rec"/>
    <w:rsid w:val="00301E4A"/>
    <w:pPr>
      <w:numPr>
        <w:numId w:val="17"/>
      </w:numPr>
      <w:spacing w:before="80"/>
    </w:pPr>
  </w:style>
  <w:style w:type="paragraph" w:customStyle="1" w:styleId="RecB">
    <w:name w:val="RecB"/>
    <w:basedOn w:val="Normal"/>
    <w:semiHidden/>
    <w:rsid w:val="00F85325"/>
    <w:pPr>
      <w:keepLines/>
      <w:pBdr>
        <w:left w:val="single" w:sz="24" w:space="12" w:color="C0C0C0"/>
      </w:pBdr>
      <w:spacing w:before="180" w:line="320" w:lineRule="atLeast"/>
      <w:jc w:val="both"/>
    </w:pPr>
    <w:rPr>
      <w:b/>
      <w:i/>
      <w:szCs w:val="20"/>
    </w:rPr>
  </w:style>
  <w:style w:type="paragraph" w:customStyle="1" w:styleId="RecBBullet">
    <w:name w:val="RecB Bullet"/>
    <w:basedOn w:val="RecB"/>
    <w:semiHidden/>
    <w:rsid w:val="00F85325"/>
    <w:pPr>
      <w:numPr>
        <w:numId w:val="11"/>
      </w:numPr>
      <w:spacing w:before="80"/>
    </w:pPr>
  </w:style>
  <w:style w:type="paragraph" w:customStyle="1" w:styleId="RecBNoTitle">
    <w:name w:val="RecB NoTitle"/>
    <w:basedOn w:val="RecB"/>
    <w:semiHidden/>
    <w:rsid w:val="00F85325"/>
    <w:pPr>
      <w:spacing w:before="240"/>
    </w:pPr>
  </w:style>
  <w:style w:type="paragraph" w:customStyle="1" w:styleId="Reference">
    <w:name w:val="Reference"/>
    <w:basedOn w:val="BodyText"/>
    <w:rsid w:val="00A17328"/>
    <w:pPr>
      <w:spacing w:before="120"/>
      <w:ind w:left="340" w:hanging="340"/>
    </w:pPr>
  </w:style>
  <w:style w:type="paragraph" w:customStyle="1" w:styleId="SequenceInfo">
    <w:name w:val="Sequence Info"/>
    <w:basedOn w:val="BodyText"/>
    <w:semiHidden/>
    <w:rsid w:val="00A17328"/>
    <w:rPr>
      <w:vanish/>
      <w:sz w:val="16"/>
    </w:rPr>
  </w:style>
  <w:style w:type="paragraph" w:customStyle="1" w:styleId="SideNote">
    <w:name w:val="Side Note"/>
    <w:basedOn w:val="BodyText"/>
    <w:next w:val="BodyText"/>
    <w:semiHidden/>
    <w:rsid w:val="00A17328"/>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A17328"/>
    <w:pPr>
      <w:framePr w:wrap="around"/>
      <w:numPr>
        <w:numId w:val="7"/>
      </w:numPr>
      <w:tabs>
        <w:tab w:val="left" w:pos="227"/>
      </w:tabs>
    </w:pPr>
  </w:style>
  <w:style w:type="paragraph" w:customStyle="1" w:styleId="SideNoteGraphic">
    <w:name w:val="Side Note Graphic"/>
    <w:basedOn w:val="SideNote"/>
    <w:next w:val="BodyText"/>
    <w:semiHidden/>
    <w:rsid w:val="00A17328"/>
    <w:pPr>
      <w:framePr w:wrap="around"/>
    </w:pPr>
  </w:style>
  <w:style w:type="paragraph" w:customStyle="1" w:styleId="TableBodyText">
    <w:name w:val="Table Body Text"/>
    <w:basedOn w:val="BodyText"/>
    <w:rsid w:val="00812F4A"/>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rsid w:val="00812F4A"/>
    <w:pPr>
      <w:numPr>
        <w:numId w:val="8"/>
      </w:numPr>
      <w:jc w:val="left"/>
    </w:pPr>
  </w:style>
  <w:style w:type="paragraph" w:customStyle="1" w:styleId="TableColumnHeading">
    <w:name w:val="Table Column Heading"/>
    <w:basedOn w:val="TableBodyText"/>
    <w:rsid w:val="00812F4A"/>
    <w:pPr>
      <w:spacing w:before="80" w:after="80"/>
    </w:pPr>
    <w:rPr>
      <w:i/>
    </w:rPr>
  </w:style>
  <w:style w:type="paragraph" w:styleId="TOC2">
    <w:name w:val="toc 2"/>
    <w:basedOn w:val="TOC1"/>
    <w:uiPriority w:val="39"/>
    <w:rsid w:val="00F35BFB"/>
    <w:pPr>
      <w:ind w:left="1134" w:hanging="624"/>
    </w:pPr>
    <w:rPr>
      <w:b w:val="0"/>
    </w:rPr>
  </w:style>
  <w:style w:type="paragraph" w:styleId="TOC3">
    <w:name w:val="toc 3"/>
    <w:basedOn w:val="TOC2"/>
    <w:rsid w:val="00F73727"/>
    <w:pPr>
      <w:spacing w:before="60"/>
      <w:ind w:left="1190" w:hanging="680"/>
    </w:pPr>
  </w:style>
  <w:style w:type="paragraph" w:styleId="TableofFigures">
    <w:name w:val="table of figures"/>
    <w:basedOn w:val="TOC3"/>
    <w:next w:val="BodyText"/>
    <w:semiHidden/>
    <w:rsid w:val="00A17328"/>
    <w:pPr>
      <w:ind w:left="737" w:hanging="737"/>
    </w:pPr>
  </w:style>
  <w:style w:type="paragraph" w:customStyle="1" w:styleId="TableTitle">
    <w:name w:val="Table Title"/>
    <w:basedOn w:val="Caption"/>
    <w:next w:val="Subtitle"/>
    <w:qFormat/>
    <w:rsid w:val="009021A6"/>
    <w:pPr>
      <w:spacing w:before="120"/>
    </w:pPr>
  </w:style>
  <w:style w:type="paragraph" w:customStyle="1" w:styleId="TableUnitsRow">
    <w:name w:val="Table Units Row"/>
    <w:basedOn w:val="TableBodyText"/>
    <w:rsid w:val="008D7622"/>
    <w:pPr>
      <w:spacing w:before="40"/>
    </w:pPr>
  </w:style>
  <w:style w:type="paragraph" w:styleId="TOC1">
    <w:name w:val="toc 1"/>
    <w:basedOn w:val="Normal"/>
    <w:next w:val="TOC2"/>
    <w:link w:val="TOC1Char"/>
    <w:uiPriority w:val="39"/>
    <w:rsid w:val="00F73727"/>
    <w:pPr>
      <w:tabs>
        <w:tab w:val="right" w:pos="8789"/>
      </w:tabs>
      <w:spacing w:before="120" w:line="320" w:lineRule="exact"/>
      <w:ind w:left="510" w:right="851" w:hanging="510"/>
    </w:pPr>
    <w:rPr>
      <w:rFonts w:ascii="Arial" w:hAnsi="Arial"/>
      <w:b/>
      <w:sz w:val="26"/>
      <w:szCs w:val="26"/>
      <w:lang w:eastAsia="en-US"/>
    </w:rPr>
  </w:style>
  <w:style w:type="paragraph" w:styleId="TOC4">
    <w:name w:val="toc 4"/>
    <w:basedOn w:val="TOC3"/>
    <w:semiHidden/>
    <w:rsid w:val="00A17328"/>
    <w:pPr>
      <w:ind w:left="1191" w:firstLine="0"/>
    </w:pPr>
  </w:style>
  <w:style w:type="paragraph" w:customStyle="1" w:styleId="RecBBullet2">
    <w:name w:val="RecB Bullet 2"/>
    <w:basedOn w:val="ListBullet2"/>
    <w:semiHidden/>
    <w:rsid w:val="006B2B3C"/>
    <w:pPr>
      <w:pBdr>
        <w:left w:val="single" w:sz="24" w:space="29" w:color="C0C0C0"/>
      </w:pBdr>
    </w:pPr>
    <w:rPr>
      <w:b/>
      <w:i/>
    </w:rPr>
  </w:style>
  <w:style w:type="paragraph" w:styleId="BalloonText">
    <w:name w:val="Balloon Text"/>
    <w:basedOn w:val="Normal"/>
    <w:link w:val="BalloonTextChar"/>
    <w:rsid w:val="006B2B3C"/>
    <w:rPr>
      <w:rFonts w:ascii="Tahoma" w:hAnsi="Tahoma" w:cs="Tahoma"/>
      <w:sz w:val="16"/>
      <w:szCs w:val="16"/>
    </w:rPr>
  </w:style>
  <w:style w:type="character" w:customStyle="1" w:styleId="BalloonTextChar">
    <w:name w:val="Balloon Text Char"/>
    <w:basedOn w:val="DefaultParagraphFont"/>
    <w:link w:val="BalloonText"/>
    <w:rsid w:val="006B2B3C"/>
    <w:rPr>
      <w:rFonts w:ascii="Tahoma" w:hAnsi="Tahoma" w:cs="Tahoma"/>
      <w:sz w:val="16"/>
      <w:szCs w:val="16"/>
    </w:rPr>
  </w:style>
  <w:style w:type="character" w:customStyle="1" w:styleId="SubtitleChar">
    <w:name w:val="Subtitle Char"/>
    <w:basedOn w:val="DefaultParagraphFont"/>
    <w:link w:val="Subtitle"/>
    <w:rsid w:val="00301E4A"/>
    <w:rPr>
      <w:rFonts w:ascii="Arial" w:hAnsi="Arial"/>
      <w:szCs w:val="24"/>
    </w:rPr>
  </w:style>
  <w:style w:type="paragraph" w:customStyle="1" w:styleId="BoxListBullet3">
    <w:name w:val="Box List Bullet 3"/>
    <w:basedOn w:val="ListBullet3"/>
    <w:rsid w:val="00812F4A"/>
    <w:pPr>
      <w:numPr>
        <w:numId w:val="14"/>
      </w:numPr>
      <w:tabs>
        <w:tab w:val="left" w:pos="907"/>
      </w:tabs>
      <w:spacing w:before="60" w:line="260" w:lineRule="atLeast"/>
      <w:ind w:left="907" w:hanging="340"/>
    </w:pPr>
    <w:rPr>
      <w:rFonts w:ascii="Arial" w:hAnsi="Arial"/>
      <w:sz w:val="20"/>
    </w:rPr>
  </w:style>
  <w:style w:type="character" w:styleId="Emphasis">
    <w:name w:val="Emphasis"/>
    <w:basedOn w:val="DefaultParagraphFont"/>
    <w:rsid w:val="00DA5BBA"/>
    <w:rPr>
      <w:i/>
      <w:iCs/>
    </w:rPr>
  </w:style>
  <w:style w:type="paragraph" w:customStyle="1" w:styleId="BoxQuoteBullet">
    <w:name w:val="Box Quote Bullet"/>
    <w:basedOn w:val="BoxQuote"/>
    <w:next w:val="Box"/>
    <w:rsid w:val="00812F4A"/>
    <w:pPr>
      <w:numPr>
        <w:numId w:val="12"/>
      </w:numPr>
      <w:ind w:left="568" w:hanging="284"/>
    </w:pPr>
  </w:style>
  <w:style w:type="paragraph" w:customStyle="1" w:styleId="InformationRequestBullet">
    <w:name w:val="Information Request Bullet"/>
    <w:basedOn w:val="ListBullet"/>
    <w:next w:val="BodyText"/>
    <w:rsid w:val="004145D2"/>
    <w:pPr>
      <w:numPr>
        <w:numId w:val="16"/>
      </w:numPr>
      <w:spacing w:before="80" w:line="280" w:lineRule="atLeast"/>
      <w:ind w:left="357" w:hanging="357"/>
    </w:pPr>
    <w:rPr>
      <w:rFonts w:ascii="Arial" w:hAnsi="Arial"/>
      <w:i/>
      <w:sz w:val="22"/>
    </w:rPr>
  </w:style>
  <w:style w:type="paragraph" w:customStyle="1" w:styleId="BoxSpaceBelow">
    <w:name w:val="Box Space Below"/>
    <w:basedOn w:val="Box"/>
    <w:rsid w:val="009E1844"/>
    <w:pPr>
      <w:keepNext w:val="0"/>
      <w:spacing w:before="60" w:after="60" w:line="80" w:lineRule="exact"/>
    </w:pPr>
    <w:rPr>
      <w:sz w:val="14"/>
    </w:rPr>
  </w:style>
  <w:style w:type="paragraph" w:customStyle="1" w:styleId="KeyPointsListBullet">
    <w:name w:val="Key Points List Bullet"/>
    <w:basedOn w:val="Normal"/>
    <w:qFormat/>
    <w:rsid w:val="00F55C25"/>
    <w:pPr>
      <w:keepNext/>
      <w:numPr>
        <w:numId w:val="20"/>
      </w:numPr>
      <w:spacing w:before="100" w:line="260" w:lineRule="atLeast"/>
      <w:ind w:left="357" w:hanging="357"/>
      <w:jc w:val="both"/>
    </w:pPr>
    <w:rPr>
      <w:rFonts w:ascii="Arial" w:hAnsi="Arial"/>
      <w:sz w:val="20"/>
      <w:szCs w:val="20"/>
      <w:lang w:eastAsia="en-US"/>
    </w:rPr>
  </w:style>
  <w:style w:type="paragraph" w:customStyle="1" w:styleId="KeyPointsListBullet2">
    <w:name w:val="Key Points List Bullet 2"/>
    <w:basedOn w:val="BoxListBullet2"/>
    <w:rsid w:val="00470737"/>
    <w:pPr>
      <w:numPr>
        <w:numId w:val="21"/>
      </w:numPr>
      <w:ind w:left="568" w:hanging="284"/>
    </w:pPr>
  </w:style>
  <w:style w:type="paragraph" w:customStyle="1" w:styleId="InformationRequestTitle">
    <w:name w:val="Information Request Title"/>
    <w:basedOn w:val="FindingTitle"/>
    <w:next w:val="InformationRequest"/>
    <w:rsid w:val="009F5BBD"/>
    <w:rPr>
      <w:i/>
    </w:rPr>
  </w:style>
  <w:style w:type="paragraph" w:customStyle="1" w:styleId="Space">
    <w:name w:val="Space"/>
    <w:basedOn w:val="Normal"/>
    <w:rsid w:val="00967CD3"/>
    <w:pPr>
      <w:keepNext/>
      <w:spacing w:line="120" w:lineRule="exact"/>
      <w:jc w:val="both"/>
    </w:pPr>
    <w:rPr>
      <w:rFonts w:ascii="Arial" w:hAnsi="Arial"/>
      <w:sz w:val="20"/>
      <w:szCs w:val="20"/>
    </w:rPr>
  </w:style>
  <w:style w:type="paragraph" w:customStyle="1" w:styleId="Heading1nochapterno">
    <w:name w:val="Heading 1 (no chapter no.)"/>
    <w:basedOn w:val="Heading1"/>
    <w:rsid w:val="00CC070F"/>
    <w:pPr>
      <w:spacing w:before="0"/>
      <w:ind w:left="0" w:firstLine="0"/>
    </w:pPr>
  </w:style>
  <w:style w:type="paragraph" w:customStyle="1" w:styleId="Heading2nosectionno">
    <w:name w:val="Heading 2 (no section no.)"/>
    <w:basedOn w:val="Heading2"/>
    <w:rsid w:val="00CC070F"/>
    <w:pPr>
      <w:ind w:left="0" w:firstLine="0"/>
    </w:pPr>
  </w:style>
  <w:style w:type="character" w:customStyle="1" w:styleId="Heading5Char">
    <w:name w:val="Heading 5 Char"/>
    <w:basedOn w:val="DefaultParagraphFont"/>
    <w:link w:val="Heading5"/>
    <w:rsid w:val="00812F4A"/>
    <w:rPr>
      <w:rFonts w:ascii="Arial" w:hAnsi="Arial"/>
      <w:i/>
      <w:sz w:val="22"/>
    </w:rPr>
  </w:style>
  <w:style w:type="paragraph" w:customStyle="1" w:styleId="Figurespace">
    <w:name w:val="Figure space"/>
    <w:basedOn w:val="Box"/>
    <w:rsid w:val="000B1022"/>
    <w:pPr>
      <w:spacing w:before="0" w:line="120" w:lineRule="exact"/>
    </w:pPr>
  </w:style>
  <w:style w:type="paragraph" w:customStyle="1" w:styleId="FooterDraftReport">
    <w:name w:val="FooterDraftReport"/>
    <w:basedOn w:val="Footer"/>
    <w:link w:val="FooterDraftReportChar"/>
    <w:rsid w:val="00162434"/>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BodyTextChar">
    <w:name w:val="Body Text Char"/>
    <w:aliases w:val="Body Text1 Char,new legislation style Char,new legislation style1 Char,new legislation style Ch Char,headBody Text Char"/>
    <w:basedOn w:val="DefaultParagraphFont"/>
    <w:link w:val="BodyText"/>
    <w:rsid w:val="00EB2CC3"/>
    <w:rPr>
      <w:sz w:val="24"/>
    </w:rPr>
  </w:style>
  <w:style w:type="character" w:customStyle="1" w:styleId="FooterChar">
    <w:name w:val="Footer Char"/>
    <w:basedOn w:val="BodyTextChar"/>
    <w:link w:val="Footer"/>
    <w:rsid w:val="00EB2CC3"/>
    <w:rPr>
      <w:rFonts w:ascii="Arial" w:hAnsi="Arial"/>
      <w:caps/>
      <w:spacing w:val="-4"/>
      <w:sz w:val="16"/>
    </w:rPr>
  </w:style>
  <w:style w:type="character" w:customStyle="1" w:styleId="FooterDraftReportChar">
    <w:name w:val="FooterDraftReport Char"/>
    <w:basedOn w:val="FooterChar"/>
    <w:link w:val="FooterDraftReport"/>
    <w:rsid w:val="00162434"/>
    <w:rPr>
      <w:rFonts w:ascii="Arial" w:hAnsi="Arial" w:cs="Arial"/>
      <w:caps/>
      <w:color w:val="808080"/>
      <w:spacing w:val="-4"/>
      <w:sz w:val="16"/>
      <w14:textFill>
        <w14:solidFill>
          <w14:srgbClr w14:val="808080">
            <w14:lumMod w14:val="50000"/>
            <w14:lumOff w14:val="50000"/>
            <w14:lumMod w14:val="50000"/>
            <w14:lumOff w14:val="50000"/>
            <w14:lumMod w14:val="50000"/>
          </w14:srgbClr>
        </w14:solidFill>
      </w14:textFill>
    </w:rPr>
  </w:style>
  <w:style w:type="table" w:styleId="TableGrid">
    <w:name w:val="Table Grid"/>
    <w:basedOn w:val="TableNormal"/>
    <w:rsid w:val="00666E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OC1Char">
    <w:name w:val="TOC 1 Char"/>
    <w:basedOn w:val="DefaultParagraphFont"/>
    <w:link w:val="TOC1"/>
    <w:uiPriority w:val="39"/>
    <w:rsid w:val="00F73727"/>
    <w:rPr>
      <w:rFonts w:ascii="Arial" w:hAnsi="Arial"/>
      <w:b/>
      <w:sz w:val="26"/>
      <w:szCs w:val="26"/>
      <w:lang w:eastAsia="en-US"/>
    </w:rPr>
  </w:style>
  <w:style w:type="character" w:styleId="Hyperlink">
    <w:name w:val="Hyperlink"/>
    <w:basedOn w:val="DefaultParagraphFont"/>
    <w:unhideWhenUsed/>
    <w:rsid w:val="00C83A3D"/>
    <w:rPr>
      <w:color w:val="000000" w:themeColor="hyperlink"/>
      <w:u w:val="single"/>
    </w:rPr>
  </w:style>
  <w:style w:type="paragraph" w:customStyle="1" w:styleId="Copyrightheading">
    <w:name w:val="Copyright heading"/>
    <w:basedOn w:val="TOC1"/>
    <w:link w:val="CopyrightheadingChar"/>
    <w:qFormat/>
    <w:rsid w:val="00CC6BFA"/>
    <w:pPr>
      <w:spacing w:line="300" w:lineRule="exact"/>
    </w:pPr>
    <w:rPr>
      <w:sz w:val="22"/>
    </w:rPr>
  </w:style>
  <w:style w:type="character" w:customStyle="1" w:styleId="CopyrightheadingChar">
    <w:name w:val="Copyright heading Char"/>
    <w:basedOn w:val="TOC1Char"/>
    <w:link w:val="Copyrightheading"/>
    <w:rsid w:val="00CC6BFA"/>
    <w:rPr>
      <w:rFonts w:ascii="Arial" w:hAnsi="Arial"/>
      <w:b/>
      <w:sz w:val="22"/>
      <w:szCs w:val="26"/>
      <w:lang w:eastAsia="en-US"/>
    </w:rPr>
  </w:style>
  <w:style w:type="paragraph" w:customStyle="1" w:styleId="Copyrightsubtitle">
    <w:name w:val="Copyright subtitle"/>
    <w:basedOn w:val="BodyText"/>
    <w:rsid w:val="00CC6BFA"/>
    <w:rPr>
      <w:rFonts w:ascii="Arial" w:hAnsi="Arial"/>
      <w:b/>
      <w:sz w:val="22"/>
      <w:szCs w:val="25"/>
    </w:rPr>
  </w:style>
  <w:style w:type="paragraph" w:customStyle="1" w:styleId="Copyrightbodytext">
    <w:name w:val="Copyright bodytext"/>
    <w:basedOn w:val="BodyText"/>
    <w:link w:val="CopyrightbodytextChar"/>
    <w:qFormat/>
    <w:rsid w:val="00CC6BFA"/>
    <w:pPr>
      <w:spacing w:before="60"/>
    </w:pPr>
  </w:style>
  <w:style w:type="character" w:customStyle="1" w:styleId="CopyrightbodytextChar">
    <w:name w:val="Copyright bodytext Char"/>
    <w:basedOn w:val="BodyTextChar"/>
    <w:link w:val="Copyrightbodytext"/>
    <w:rsid w:val="00CC6BFA"/>
    <w:rPr>
      <w:sz w:val="24"/>
    </w:rPr>
  </w:style>
  <w:style w:type="character" w:customStyle="1" w:styleId="BoxChar">
    <w:name w:val="Box Char"/>
    <w:link w:val="Box"/>
    <w:locked/>
    <w:rsid w:val="00CC6BFA"/>
    <w:rPr>
      <w:rFonts w:ascii="Arial" w:hAnsi="Arial"/>
    </w:rPr>
  </w:style>
  <w:style w:type="paragraph" w:customStyle="1" w:styleId="Heading1NotTOC">
    <w:name w:val="Heading 1 Not TOC"/>
    <w:basedOn w:val="Heading1"/>
    <w:next w:val="BodyText"/>
    <w:rsid w:val="00CC6BFA"/>
    <w:rPr>
      <w:kern w:val="28"/>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399548">
      <w:bodyDiv w:val="1"/>
      <w:marLeft w:val="0"/>
      <w:marRight w:val="0"/>
      <w:marTop w:val="0"/>
      <w:marBottom w:val="0"/>
      <w:divBdr>
        <w:top w:val="none" w:sz="0" w:space="0" w:color="auto"/>
        <w:left w:val="none" w:sz="0" w:space="0" w:color="auto"/>
        <w:bottom w:val="none" w:sz="0" w:space="0" w:color="auto"/>
        <w:right w:val="none" w:sz="0" w:space="0" w:color="auto"/>
      </w:divBdr>
    </w:div>
    <w:div w:id="1901749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header" Target="header8.xml"/><Relationship Id="rId3" Type="http://schemas.openxmlformats.org/officeDocument/2006/relationships/styles" Target="styles.xml"/><Relationship Id="rId21" Type="http://schemas.openxmlformats.org/officeDocument/2006/relationships/header" Target="header5.xml"/><Relationship Id="rId34" Type="http://schemas.openxmlformats.org/officeDocument/2006/relationships/header" Target="header12.xml"/><Relationship Id="rId7" Type="http://schemas.openxmlformats.org/officeDocument/2006/relationships/endnotes" Target="endnotes.xml"/><Relationship Id="rId12" Type="http://schemas.openxmlformats.org/officeDocument/2006/relationships/hyperlink" Target="https://www.pmc.gov.au/government/commonwealth-coat-arms" TargetMode="External"/><Relationship Id="rId17" Type="http://schemas.openxmlformats.org/officeDocument/2006/relationships/header" Target="header3.xml"/><Relationship Id="rId25" Type="http://schemas.openxmlformats.org/officeDocument/2006/relationships/header" Target="header7.xml"/><Relationship Id="rId33" Type="http://schemas.openxmlformats.org/officeDocument/2006/relationships/header" Target="header11.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4.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reativecommons.org/licenses/by/3.0/au" TargetMode="External"/><Relationship Id="rId24" Type="http://schemas.openxmlformats.org/officeDocument/2006/relationships/footer" Target="footer6.xml"/><Relationship Id="rId32" Type="http://schemas.openxmlformats.org/officeDocument/2006/relationships/footer" Target="footer10.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footer" Target="footer5.xml"/><Relationship Id="rId28" Type="http://schemas.openxmlformats.org/officeDocument/2006/relationships/footer" Target="footer8.xml"/><Relationship Id="rId36" Type="http://schemas.openxmlformats.org/officeDocument/2006/relationships/footer" Target="footer12.xml"/><Relationship Id="rId10" Type="http://schemas.openxmlformats.org/officeDocument/2006/relationships/hyperlink" Target="http://creativecommons.org/licenses/by/3.0/au" TargetMode="External"/><Relationship Id="rId19" Type="http://schemas.openxmlformats.org/officeDocument/2006/relationships/footer" Target="footer3.xml"/><Relationship Id="rId31" Type="http://schemas.openxmlformats.org/officeDocument/2006/relationships/footer" Target="footer9.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 Id="rId22" Type="http://schemas.openxmlformats.org/officeDocument/2006/relationships/header" Target="header6.xml"/><Relationship Id="rId27" Type="http://schemas.openxmlformats.org/officeDocument/2006/relationships/footer" Target="footer7.xml"/><Relationship Id="rId30" Type="http://schemas.openxmlformats.org/officeDocument/2006/relationships/header" Target="header10.xml"/><Relationship Id="rId35" Type="http://schemas.openxmlformats.org/officeDocument/2006/relationships/footer" Target="footer11.xml"/></Relationships>
</file>

<file path=word/_rels/settings.xml.rels><?xml version="1.0" encoding="UTF-8" standalone="yes"?>
<Relationships xmlns="http://schemas.openxmlformats.org/package/2006/relationships"><Relationship Id="rId1" Type="http://schemas.openxmlformats.org/officeDocument/2006/relationships/attachedTemplate" Target="file:///G:\office\template2013\chapter_compiler.dotm" TargetMode="External"/></Relationships>
</file>

<file path=word/theme/theme1.xml><?xml version="1.0" encoding="utf-8"?>
<a:theme xmlns:a="http://schemas.openxmlformats.org/drawingml/2006/main" name="ProdCommTheme">
  <a:themeElements>
    <a:clrScheme name="PC colour themeNew">
      <a:dk1>
        <a:sysClr val="windowText" lastClr="000000"/>
      </a:dk1>
      <a:lt1>
        <a:sysClr val="window" lastClr="FFFFFF"/>
      </a:lt1>
      <a:dk2>
        <a:srgbClr val="66BCDB"/>
      </a:dk2>
      <a:lt2>
        <a:srgbClr val="265A9A"/>
      </a:lt2>
      <a:accent1>
        <a:srgbClr val="78A22F"/>
      </a:accent1>
      <a:accent2>
        <a:srgbClr val="4D7028"/>
      </a:accent2>
      <a:accent3>
        <a:srgbClr val="F4B123"/>
      </a:accent3>
      <a:accent4>
        <a:srgbClr val="F15A25"/>
      </a:accent4>
      <a:accent5>
        <a:srgbClr val="A52828"/>
      </a:accent5>
      <a:accent6>
        <a:srgbClr val="8956A3"/>
      </a:accent6>
      <a:hlink>
        <a:srgbClr val="000000"/>
      </a:hlink>
      <a:folHlink>
        <a:srgbClr val="BFBFBF"/>
      </a:folHlink>
    </a:clrScheme>
    <a:fontScheme name="PC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EF8293-8DE3-477C-8B08-6D48D6027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chapter_compiler.dotm</Template>
  <TotalTime>14</TotalTime>
  <Pages>17</Pages>
  <Words>3669</Words>
  <Characters>22585</Characters>
  <Application>Microsoft Office Word</Application>
  <DocSecurity>0</DocSecurity>
  <Lines>188</Lines>
  <Paragraphs>52</Paragraphs>
  <ScaleCrop>false</ScaleCrop>
  <HeadingPairs>
    <vt:vector size="2" baseType="variant">
      <vt:variant>
        <vt:lpstr>Title</vt:lpstr>
      </vt:variant>
      <vt:variant>
        <vt:i4>1</vt:i4>
      </vt:variant>
    </vt:vector>
  </HeadingPairs>
  <TitlesOfParts>
    <vt:vector size="1" baseType="lpstr">
      <vt:lpstr>Trade &amp; Assistance Review 2016-17: Methodological Annex</vt:lpstr>
    </vt:vector>
  </TitlesOfParts>
  <Company/>
  <LinksUpToDate>false</LinksUpToDate>
  <CharactersWithSpaces>26202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Trade &amp; Assistance Review 2016-17: Methodological Annex</dc:title>
  <dc:subject/>
  <dc:creator>Productivity Commission</dc:creator>
  <cp:keywords/>
  <dc:description/>
  <cp:lastModifiedBy>Cross, Michelle</cp:lastModifiedBy>
  <cp:revision>5</cp:revision>
  <cp:lastPrinted>2018-07-08T23:51:00Z</cp:lastPrinted>
  <dcterms:created xsi:type="dcterms:W3CDTF">2018-07-08T23:42:00Z</dcterms:created>
  <dcterms:modified xsi:type="dcterms:W3CDTF">2018-07-08T23:56:00Z</dcterms:modified>
</cp:coreProperties>
</file>